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23411">
      <w:pPr>
        <w:jc w:val="center"/>
        <w:rPr>
          <w:rFonts w:ascii="黑体" w:hAnsi="Times New Roman" w:eastAsia="黑体" w:cs="黑体"/>
          <w:color w:val="000000"/>
        </w:rPr>
      </w:pPr>
      <w:bookmarkStart w:id="0" w:name="YS040100"/>
    </w:p>
    <w:p w14:paraId="3E0AC0CD">
      <w:pPr>
        <w:jc w:val="center"/>
        <w:rPr>
          <w:rFonts w:ascii="黑体" w:hAnsi="Times New Roman" w:eastAsia="黑体" w:cs="黑体"/>
          <w:color w:val="000000"/>
        </w:rPr>
      </w:pPr>
    </w:p>
    <w:bookmarkEnd w:id="0"/>
    <w:p w14:paraId="032850A0">
      <w:pPr>
        <w:jc w:val="center"/>
        <w:rPr>
          <w:rFonts w:ascii="华文中宋" w:hAnsi="华文中宋" w:eastAsia="华文中宋" w:cs="黑体"/>
          <w:color w:val="000000"/>
          <w:sz w:val="36"/>
          <w:szCs w:val="32"/>
        </w:rPr>
      </w:pPr>
      <w:r>
        <w:rPr>
          <w:rFonts w:hint="eastAsia" w:ascii="华文中宋" w:hAnsi="华文中宋" w:eastAsia="华文中宋" w:cs="黑体"/>
          <w:color w:val="000000"/>
          <w:sz w:val="36"/>
          <w:szCs w:val="32"/>
        </w:rPr>
        <w:t>202</w:t>
      </w:r>
      <w:r>
        <w:rPr>
          <w:rFonts w:hint="eastAsia" w:ascii="华文中宋" w:hAnsi="华文中宋" w:eastAsia="华文中宋" w:cs="黑体"/>
          <w:color w:val="000000"/>
          <w:sz w:val="36"/>
          <w:szCs w:val="32"/>
          <w:lang w:val="en-US" w:eastAsia="zh-CN"/>
        </w:rPr>
        <w:t>4</w:t>
      </w:r>
      <w:r>
        <w:rPr>
          <w:rFonts w:hint="eastAsia" w:ascii="华文中宋" w:hAnsi="华文中宋" w:eastAsia="华文中宋" w:cs="黑体"/>
          <w:color w:val="000000"/>
          <w:sz w:val="36"/>
          <w:szCs w:val="32"/>
        </w:rPr>
        <w:t>年度部门决算报表说明</w:t>
      </w:r>
    </w:p>
    <w:p w14:paraId="7044FA1E">
      <w:pPr>
        <w:widowControl/>
        <w:spacing w:line="211" w:lineRule="atLeast"/>
        <w:jc w:val="center"/>
        <w:rPr>
          <w:rFonts w:ascii="华文中宋" w:hAnsi="华文中宋" w:eastAsia="华文中宋" w:cs="宋体"/>
          <w:color w:val="000000"/>
          <w:kern w:val="0"/>
          <w:sz w:val="36"/>
          <w:szCs w:val="32"/>
        </w:rPr>
      </w:pPr>
      <w:bookmarkStart w:id="3" w:name="_GoBack"/>
      <w:bookmarkEnd w:id="3"/>
    </w:p>
    <w:p w14:paraId="58CB87DF">
      <w:pPr>
        <w:jc w:val="center"/>
        <w:rPr>
          <w:rFonts w:ascii="仿宋_GB2312" w:hAnsi="华文中宋" w:eastAsia="仿宋_GB2312" w:cs="黑体"/>
          <w:color w:val="000000"/>
          <w:sz w:val="32"/>
          <w:szCs w:val="32"/>
        </w:rPr>
      </w:pPr>
    </w:p>
    <w:p w14:paraId="391F357A">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一、决算汇编基本情况</w:t>
      </w:r>
    </w:p>
    <w:p w14:paraId="6DA02FF9">
      <w:pPr>
        <w:ind w:firstLine="643" w:firstLineChars="200"/>
        <w:rPr>
          <w:rFonts w:ascii="楷体_GB2312" w:hAnsi="Times New Roman" w:eastAsia="楷体_GB2312" w:cs="Times New Roman"/>
          <w:b/>
          <w:color w:val="000000"/>
          <w:sz w:val="32"/>
          <w:szCs w:val="32"/>
        </w:rPr>
      </w:pPr>
      <w:r>
        <w:rPr>
          <w:rFonts w:hint="eastAsia" w:ascii="楷体_GB2312" w:hAnsi="仿宋" w:eastAsia="楷体_GB2312" w:cs="仿宋"/>
          <w:b/>
          <w:color w:val="000000"/>
          <w:sz w:val="32"/>
          <w:szCs w:val="32"/>
        </w:rPr>
        <w:t>（一）部门机构情况说明。</w:t>
      </w:r>
    </w:p>
    <w:p w14:paraId="2FC7E4BD">
      <w:pPr>
        <w:ind w:firstLine="640" w:firstLineChars="200"/>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u w:val="single"/>
          <w:lang w:val="en-US" w:eastAsia="zh-CN"/>
        </w:rPr>
        <w:t>2024</w:t>
      </w:r>
      <w:r>
        <w:rPr>
          <w:rFonts w:hint="eastAsia" w:ascii="仿宋_GB2312" w:hAnsi="仿宋" w:eastAsia="仿宋_GB2312" w:cs="仿宋"/>
          <w:color w:val="000000"/>
          <w:sz w:val="32"/>
          <w:szCs w:val="32"/>
        </w:rPr>
        <w:t>年度，纳入本部门决算汇编范围的独立核算单位共</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个，比上年增减</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个，分类说明如下：</w:t>
      </w:r>
    </w:p>
    <w:tbl>
      <w:tblPr>
        <w:tblStyle w:val="5"/>
        <w:tblW w:w="8528" w:type="dxa"/>
        <w:tblInd w:w="2" w:type="dxa"/>
        <w:tblLayout w:type="fixed"/>
        <w:tblCellMar>
          <w:top w:w="0" w:type="dxa"/>
          <w:left w:w="0" w:type="dxa"/>
          <w:bottom w:w="0" w:type="dxa"/>
          <w:right w:w="0" w:type="dxa"/>
        </w:tblCellMar>
      </w:tblPr>
      <w:tblGrid>
        <w:gridCol w:w="3199"/>
        <w:gridCol w:w="1092"/>
        <w:gridCol w:w="1056"/>
        <w:gridCol w:w="3181"/>
      </w:tblGrid>
      <w:tr w14:paraId="59628719">
        <w:tblPrEx>
          <w:tblCellMar>
            <w:top w:w="0" w:type="dxa"/>
            <w:left w:w="0" w:type="dxa"/>
            <w:bottom w:w="0" w:type="dxa"/>
            <w:right w:w="0" w:type="dxa"/>
          </w:tblCellMar>
        </w:tblPrEx>
        <w:trPr>
          <w:trHeight w:val="832" w:hRule="atLeast"/>
        </w:trPr>
        <w:tc>
          <w:tcPr>
            <w:tcW w:w="3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EF2ACA">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项目</w:t>
            </w:r>
          </w:p>
        </w:tc>
        <w:tc>
          <w:tcPr>
            <w:tcW w:w="10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B1D8F1C">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数量</w:t>
            </w:r>
          </w:p>
        </w:tc>
        <w:tc>
          <w:tcPr>
            <w:tcW w:w="10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0CE72D4">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比上年增减</w:t>
            </w:r>
          </w:p>
        </w:tc>
        <w:tc>
          <w:tcPr>
            <w:tcW w:w="318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6D5C8F">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变动原因说明</w:t>
            </w:r>
          </w:p>
        </w:tc>
      </w:tr>
      <w:tr w14:paraId="0EB34DC9">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1205B4">
            <w:pPr>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合</w:t>
            </w:r>
            <w:r>
              <w:rPr>
                <w:rFonts w:hint="eastAsia" w:ascii="仿宋_GB2312" w:hAnsi="Times New Roman" w:eastAsia="仿宋_GB2312" w:cs="Times New Roman"/>
                <w:color w:val="000000"/>
                <w:sz w:val="24"/>
                <w:szCs w:val="32"/>
              </w:rPr>
              <w:t>    </w:t>
            </w:r>
            <w:r>
              <w:rPr>
                <w:rFonts w:hint="eastAsia" w:ascii="仿宋_GB2312" w:hAnsi="仿宋" w:eastAsia="仿宋_GB2312" w:cs="仿宋_GB2312"/>
                <w:color w:val="000000"/>
                <w:sz w:val="24"/>
                <w:szCs w:val="32"/>
              </w:rPr>
              <w:t>计</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08F169">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D5B179">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2D0DE3">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r>
      <w:tr w14:paraId="70F7FB71">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8BA94A">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一、按单位类型</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90980D">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B411FE">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D74CEF">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43490130">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41CFC9">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行政单位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5F1C7C">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6B6C0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871CD9">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204646F5">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FD23C6">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65737B">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39929">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70B41B">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31A79029">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709AB1">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行政类事业单位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ED2E0F">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0EA004">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ADD29F">
            <w:pPr>
              <w:rPr>
                <w:rFonts w:hint="eastAsia" w:ascii="仿宋_GB2312" w:hAnsi="仿宋" w:eastAsia="仿宋_GB2312" w:cs="仿宋_GB2312"/>
                <w:color w:val="000000"/>
                <w:sz w:val="24"/>
                <w:szCs w:val="28"/>
              </w:rPr>
            </w:pPr>
          </w:p>
        </w:tc>
      </w:tr>
      <w:tr w14:paraId="18E93244">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DA5765">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公益一类事业单位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CDE22C">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318FD4">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4DB919">
            <w:pPr>
              <w:rPr>
                <w:rFonts w:hint="eastAsia" w:ascii="仿宋_GB2312" w:hAnsi="仿宋" w:eastAsia="仿宋_GB2312" w:cs="仿宋_GB2312"/>
                <w:color w:val="000000"/>
                <w:sz w:val="24"/>
                <w:szCs w:val="28"/>
              </w:rPr>
            </w:pPr>
          </w:p>
        </w:tc>
      </w:tr>
      <w:tr w14:paraId="6DEB6932">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2B09F8">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公益二类事业单位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719E1C">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5C6F2B">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390B87">
            <w:pPr>
              <w:rPr>
                <w:rFonts w:hint="eastAsia" w:ascii="仿宋_GB2312" w:hAnsi="仿宋" w:eastAsia="仿宋_GB2312" w:cs="仿宋_GB2312"/>
                <w:color w:val="000000"/>
                <w:sz w:val="24"/>
                <w:szCs w:val="28"/>
              </w:rPr>
            </w:pPr>
          </w:p>
        </w:tc>
      </w:tr>
      <w:tr w14:paraId="6734FC98">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445D71">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生产经营类事业单位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FC1792">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82DFC6">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F78F11">
            <w:pPr>
              <w:rPr>
                <w:rFonts w:hint="eastAsia" w:ascii="仿宋_GB2312" w:hAnsi="仿宋" w:eastAsia="仿宋_GB2312" w:cs="仿宋_GB2312"/>
                <w:color w:val="000000"/>
                <w:sz w:val="24"/>
                <w:szCs w:val="28"/>
              </w:rPr>
            </w:pPr>
          </w:p>
        </w:tc>
      </w:tr>
      <w:tr w14:paraId="29681EB7">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782E3A">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暂未分类事业单位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3AAB26">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9C2701">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7A19EB">
            <w:pPr>
              <w:rPr>
                <w:rFonts w:hint="eastAsia" w:ascii="仿宋_GB2312" w:hAnsi="仿宋" w:eastAsia="仿宋_GB2312" w:cs="仿宋_GB2312"/>
                <w:color w:val="000000"/>
                <w:sz w:val="24"/>
                <w:szCs w:val="28"/>
              </w:rPr>
            </w:pPr>
          </w:p>
        </w:tc>
      </w:tr>
      <w:tr w14:paraId="1028501D">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F0C1CD">
            <w:pPr>
              <w:rPr>
                <w:rFonts w:hint="eastAsia"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企业</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554192">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52497E">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0F82FB">
            <w:pPr>
              <w:rPr>
                <w:rFonts w:hint="eastAsia" w:ascii="仿宋_GB2312" w:hAnsi="仿宋" w:eastAsia="仿宋_GB2312" w:cs="仿宋_GB2312"/>
                <w:color w:val="000000"/>
                <w:sz w:val="24"/>
                <w:szCs w:val="28"/>
              </w:rPr>
            </w:pPr>
          </w:p>
        </w:tc>
      </w:tr>
      <w:tr w14:paraId="40AB869A">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CA8513">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其他单位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C105A6">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0E99AC">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DE7B8C">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486FC73E">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7C4950">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二、按执行会计制度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75D193">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D24590">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1A3882">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0856F42E">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6E1055">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Times New Roman" w:eastAsia="仿宋_GB2312" w:cs="Times New Roman"/>
                <w:color w:val="000000"/>
                <w:sz w:val="24"/>
                <w:szCs w:val="28"/>
                <w:lang w:val="en-US" w:eastAsia="zh-CN"/>
              </w:rPr>
              <w:t xml:space="preserve"> </w:t>
            </w:r>
            <w:r>
              <w:rPr>
                <w:rFonts w:hint="eastAsia" w:ascii="仿宋_GB2312" w:hAnsi="Times New Roman" w:eastAsia="仿宋_GB2312" w:cs="Times New Roman"/>
                <w:color w:val="000000"/>
                <w:sz w:val="24"/>
                <w:szCs w:val="28"/>
              </w:rPr>
              <w:t>政府会计准则制度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EE7716">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D628D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174C53">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0F44C22E">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510AE4">
            <w:pPr>
              <w:ind w:firstLine="240" w:firstLineChars="100"/>
              <w:rPr>
                <w:rFonts w:hint="eastAsia" w:ascii="仿宋_GB2312" w:hAnsi="仿宋" w:eastAsia="仿宋_GB2312" w:cs="仿宋_GB2312"/>
                <w:color w:val="000000"/>
                <w:sz w:val="24"/>
                <w:szCs w:val="28"/>
                <w:highlight w:val="none"/>
              </w:rPr>
            </w:pPr>
            <w:r>
              <w:rPr>
                <w:rFonts w:hint="eastAsia" w:ascii="仿宋_GB2312" w:hAnsi="仿宋" w:eastAsia="仿宋_GB2312" w:cs="仿宋_GB2312"/>
                <w:color w:val="000000"/>
                <w:sz w:val="24"/>
                <w:szCs w:val="28"/>
                <w:highlight w:val="none"/>
              </w:rPr>
              <w:t>企业会计准则</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164304">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B8408C">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0CB155">
            <w:pPr>
              <w:rPr>
                <w:rFonts w:hint="eastAsia" w:ascii="仿宋_GB2312" w:hAnsi="仿宋" w:eastAsia="仿宋_GB2312" w:cs="仿宋_GB2312"/>
                <w:color w:val="000000"/>
                <w:sz w:val="24"/>
                <w:szCs w:val="28"/>
              </w:rPr>
            </w:pPr>
          </w:p>
        </w:tc>
      </w:tr>
      <w:tr w14:paraId="165E585A">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607651">
            <w:pPr>
              <w:ind w:firstLine="240" w:firstLineChars="100"/>
              <w:rPr>
                <w:rFonts w:hint="eastAsia" w:ascii="仿宋_GB2312" w:hAnsi="仿宋" w:eastAsia="仿宋_GB2312" w:cs="仿宋_GB2312"/>
                <w:color w:val="000000"/>
                <w:sz w:val="24"/>
                <w:szCs w:val="28"/>
                <w:highlight w:val="none"/>
              </w:rPr>
            </w:pPr>
            <w:r>
              <w:rPr>
                <w:rFonts w:hint="eastAsia" w:ascii="仿宋_GB2312" w:hAnsi="仿宋" w:eastAsia="仿宋_GB2312" w:cs="仿宋_GB2312"/>
                <w:color w:val="000000"/>
                <w:sz w:val="24"/>
                <w:szCs w:val="28"/>
                <w:highlight w:val="none"/>
              </w:rPr>
              <w:t>小企业会计准则</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473C60">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A8010C">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0A3D56">
            <w:pPr>
              <w:rPr>
                <w:rFonts w:hint="eastAsia" w:ascii="仿宋_GB2312" w:hAnsi="仿宋" w:eastAsia="仿宋_GB2312" w:cs="仿宋_GB2312"/>
                <w:color w:val="000000"/>
                <w:sz w:val="24"/>
                <w:szCs w:val="28"/>
              </w:rPr>
            </w:pPr>
          </w:p>
        </w:tc>
      </w:tr>
      <w:tr w14:paraId="6A5BFA6C">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74A08">
            <w:pPr>
              <w:ind w:firstLine="220" w:firstLineChars="100"/>
              <w:rPr>
                <w:rFonts w:ascii="仿宋_GB2312" w:hAnsi="仿宋" w:eastAsia="仿宋_GB2312" w:cs="Times New Roman"/>
                <w:sz w:val="24"/>
                <w:szCs w:val="28"/>
              </w:rPr>
            </w:pPr>
            <w:r>
              <w:rPr>
                <w:rFonts w:hint="eastAsia" w:ascii="仿宋_GB2312" w:hAnsi="仿宋" w:eastAsia="仿宋_GB2312" w:cs="仿宋_GB2312"/>
                <w:color w:val="000000"/>
                <w:sz w:val="22"/>
                <w:szCs w:val="24"/>
              </w:rPr>
              <w:t>民间非营利组织会计制度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113D8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84DB3F">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653C49">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7CE1DB28">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951726">
            <w:pPr>
              <w:rPr>
                <w:rFonts w:hint="default" w:ascii="仿宋_GB2312" w:hAnsi="仿宋" w:eastAsia="仿宋_GB2312" w:cs="仿宋_GB2312"/>
                <w:color w:val="000000"/>
                <w:sz w:val="24"/>
                <w:szCs w:val="28"/>
                <w:highlight w:val="none"/>
                <w:lang w:val="en-US" w:eastAsia="zh-CN"/>
              </w:rPr>
            </w:pPr>
            <w:r>
              <w:rPr>
                <w:rFonts w:hint="eastAsia" w:ascii="仿宋_GB2312" w:hAnsi="仿宋" w:eastAsia="仿宋_GB2312" w:cs="仿宋_GB2312"/>
                <w:color w:val="FF0000"/>
                <w:sz w:val="24"/>
                <w:szCs w:val="28"/>
                <w:highlight w:val="none"/>
                <w:lang w:val="en-US" w:eastAsia="zh-CN"/>
              </w:rPr>
              <w:t xml:space="preserve">  </w:t>
            </w:r>
            <w:r>
              <w:rPr>
                <w:rFonts w:hint="eastAsia" w:ascii="仿宋_GB2312" w:hAnsi="仿宋" w:eastAsia="仿宋_GB2312" w:cs="仿宋_GB2312"/>
                <w:color w:val="000000"/>
                <w:sz w:val="22"/>
                <w:szCs w:val="24"/>
                <w:highlight w:val="none"/>
                <w:lang w:val="en-US" w:eastAsia="zh-CN"/>
              </w:rPr>
              <w:t>军工科研事业单位会计制度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222ACF">
            <w:pPr>
              <w:rPr>
                <w:rFonts w:hint="eastAsia"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445487">
            <w:pPr>
              <w:rPr>
                <w:rFonts w:hint="eastAsia"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34FD52">
            <w:pPr>
              <w:rPr>
                <w:rFonts w:hint="eastAsia" w:ascii="仿宋_GB2312" w:hAnsi="仿宋" w:eastAsia="仿宋_GB2312" w:cs="仿宋_GB2312"/>
                <w:color w:val="000000"/>
                <w:sz w:val="24"/>
                <w:szCs w:val="28"/>
              </w:rPr>
            </w:pPr>
          </w:p>
        </w:tc>
      </w:tr>
      <w:tr w14:paraId="6F442437">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A47BBB">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三、按单位预算级次</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AFAC35">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0CED06">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9EDA30">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15A81D9C">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7CB32A">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一级预算单位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C9C760">
            <w:pPr>
              <w:rPr>
                <w:rFonts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5CB9E3">
            <w:pPr>
              <w:rPr>
                <w:rFonts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0D7136">
            <w:pPr>
              <w:rPr>
                <w:rFonts w:ascii="仿宋_GB2312" w:hAnsi="仿宋" w:eastAsia="仿宋_GB2312" w:cs="仿宋_GB2312"/>
                <w:color w:val="000000"/>
                <w:sz w:val="24"/>
                <w:szCs w:val="28"/>
              </w:rPr>
            </w:pPr>
          </w:p>
        </w:tc>
      </w:tr>
      <w:tr w14:paraId="2618A06A">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73CC42">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二级预算单位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5DBA17">
            <w:pPr>
              <w:rPr>
                <w:rFonts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9D025D">
            <w:pPr>
              <w:rPr>
                <w:rFonts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FA9B47">
            <w:pPr>
              <w:rPr>
                <w:rFonts w:ascii="仿宋_GB2312" w:hAnsi="仿宋" w:eastAsia="仿宋_GB2312" w:cs="仿宋_GB2312"/>
                <w:color w:val="000000"/>
                <w:sz w:val="24"/>
                <w:szCs w:val="28"/>
              </w:rPr>
            </w:pPr>
          </w:p>
        </w:tc>
      </w:tr>
      <w:tr w14:paraId="2E88ABF8">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E24750">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三级预算单位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32E3DB">
            <w:pPr>
              <w:rPr>
                <w:rFonts w:ascii="仿宋_GB2312" w:hAnsi="仿宋" w:eastAsia="仿宋_GB2312" w:cs="仿宋_GB2312"/>
                <w:color w:val="000000"/>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E1D3EF">
            <w:pPr>
              <w:rPr>
                <w:rFonts w:ascii="仿宋_GB2312" w:hAnsi="仿宋" w:eastAsia="仿宋_GB2312" w:cs="仿宋_GB2312"/>
                <w:color w:val="000000"/>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64375B">
            <w:pPr>
              <w:rPr>
                <w:rFonts w:ascii="仿宋_GB2312" w:hAnsi="仿宋" w:eastAsia="仿宋_GB2312" w:cs="仿宋_GB2312"/>
                <w:color w:val="000000"/>
                <w:sz w:val="24"/>
                <w:szCs w:val="28"/>
              </w:rPr>
            </w:pPr>
          </w:p>
        </w:tc>
      </w:tr>
      <w:tr w14:paraId="6B5C22C1">
        <w:tblPrEx>
          <w:tblCellMar>
            <w:top w:w="0" w:type="dxa"/>
            <w:left w:w="0" w:type="dxa"/>
            <w:bottom w:w="0" w:type="dxa"/>
            <w:right w:w="0" w:type="dxa"/>
          </w:tblCellMar>
        </w:tblPrEx>
        <w:trPr>
          <w:trHeight w:val="285" w:hRule="atLeast"/>
        </w:trPr>
        <w:tc>
          <w:tcPr>
            <w:tcW w:w="31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C7B0C0">
            <w:pPr>
              <w:rPr>
                <w:rFonts w:hint="eastAsia" w:ascii="仿宋_GB2312" w:hAnsi="仿宋" w:eastAsia="仿宋_GB2312" w:cs="仿宋_GB2312"/>
                <w:color w:val="000000"/>
                <w:sz w:val="24"/>
                <w:szCs w:val="28"/>
              </w:rPr>
            </w:pPr>
            <w:r>
              <w:rPr>
                <w:rFonts w:hint="eastAsia" w:ascii="仿宋_GB2312" w:hAnsi="仿宋" w:eastAsia="仿宋_GB2312" w:cs="仿宋_GB2312"/>
                <w:color w:val="000000"/>
                <w:sz w:val="24"/>
                <w:szCs w:val="28"/>
              </w:rPr>
              <w:t xml:space="preserve">  四级预算单位</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9155D4">
            <w:pPr>
              <w:rPr>
                <w:rFonts w:ascii="仿宋_GB2312" w:hAnsi="仿宋" w:eastAsia="仿宋_GB2312" w:cs="Times New Roman"/>
                <w:sz w:val="24"/>
                <w:szCs w:val="28"/>
              </w:rPr>
            </w:pPr>
          </w:p>
        </w:tc>
        <w:tc>
          <w:tcPr>
            <w:tcW w:w="10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DC4092">
            <w:pPr>
              <w:jc w:val="center"/>
              <w:rPr>
                <w:rFonts w:hint="eastAsia" w:ascii="仿宋_GB2312" w:hAnsi="仿宋" w:eastAsia="仿宋_GB2312" w:cs="Times New Roman"/>
                <w:sz w:val="24"/>
                <w:szCs w:val="28"/>
              </w:rPr>
            </w:pPr>
          </w:p>
        </w:tc>
        <w:tc>
          <w:tcPr>
            <w:tcW w:w="318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A25CE3">
            <w:pPr>
              <w:rPr>
                <w:rFonts w:ascii="仿宋_GB2312" w:hAnsi="仿宋" w:eastAsia="仿宋_GB2312" w:cs="Times New Roman"/>
                <w:sz w:val="24"/>
                <w:szCs w:val="28"/>
              </w:rPr>
            </w:pPr>
          </w:p>
        </w:tc>
      </w:tr>
    </w:tbl>
    <w:p w14:paraId="05258645">
      <w:pPr>
        <w:ind w:firstLine="567"/>
        <w:rPr>
          <w:rFonts w:ascii="仿宋_GB2312" w:hAnsi="仿宋" w:eastAsia="仿宋_GB2312" w:cs="仿宋"/>
          <w:b/>
          <w:color w:val="000000"/>
          <w:sz w:val="32"/>
          <w:szCs w:val="32"/>
        </w:rPr>
      </w:pPr>
      <w:r>
        <w:rPr>
          <w:rFonts w:hint="eastAsia" w:ascii="楷体_GB2312" w:hAnsi="仿宋" w:eastAsia="楷体_GB2312" w:cs="仿宋"/>
          <w:b/>
          <w:color w:val="000000"/>
          <w:sz w:val="32"/>
          <w:szCs w:val="32"/>
        </w:rPr>
        <w:t>（二）部门录入户数说明</w:t>
      </w:r>
      <w:r>
        <w:rPr>
          <w:rFonts w:hint="eastAsia" w:ascii="仿宋_GB2312" w:hAnsi="仿宋" w:eastAsia="仿宋_GB2312" w:cs="仿宋"/>
          <w:b/>
          <w:color w:val="000000"/>
          <w:sz w:val="32"/>
          <w:szCs w:val="32"/>
        </w:rPr>
        <w:t>。</w:t>
      </w:r>
    </w:p>
    <w:p w14:paraId="25C9C981">
      <w:pPr>
        <w:ind w:firstLine="567"/>
        <w:rPr>
          <w:rFonts w:ascii="仿宋_GB2312" w:hAnsi="仿宋" w:eastAsia="仿宋_GB2312" w:cs="仿宋"/>
          <w:b/>
          <w:color w:val="000000"/>
          <w:sz w:val="32"/>
          <w:szCs w:val="32"/>
        </w:rPr>
      </w:pPr>
      <w:r>
        <w:rPr>
          <w:rFonts w:hint="eastAsia" w:ascii="仿宋_GB2312" w:eastAsia="仿宋_GB2312" w:cs="Times New Roman"/>
          <w:color w:val="000000"/>
          <w:sz w:val="32"/>
          <w:szCs w:val="32"/>
          <w:u w:val="single"/>
          <w:lang w:val="en-US" w:eastAsia="zh-CN"/>
        </w:rPr>
        <w:t>2024</w:t>
      </w:r>
      <w:r>
        <w:rPr>
          <w:rFonts w:hint="eastAsia" w:ascii="仿宋_GB2312" w:hAnsi="仿宋" w:eastAsia="仿宋_GB2312" w:cs="仿宋"/>
          <w:color w:val="000000"/>
          <w:sz w:val="32"/>
          <w:szCs w:val="32"/>
        </w:rPr>
        <w:t>年度，本部门决算汇编户数共</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个，比上年增减</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个，分类说明如下：</w:t>
      </w:r>
    </w:p>
    <w:tbl>
      <w:tblPr>
        <w:tblStyle w:val="5"/>
        <w:tblW w:w="8646" w:type="dxa"/>
        <w:tblInd w:w="2" w:type="dxa"/>
        <w:tblLayout w:type="fixed"/>
        <w:tblCellMar>
          <w:top w:w="0" w:type="dxa"/>
          <w:left w:w="0" w:type="dxa"/>
          <w:bottom w:w="0" w:type="dxa"/>
          <w:right w:w="0" w:type="dxa"/>
        </w:tblCellMar>
      </w:tblPr>
      <w:tblGrid>
        <w:gridCol w:w="3602"/>
        <w:gridCol w:w="1082"/>
        <w:gridCol w:w="1092"/>
        <w:gridCol w:w="2870"/>
      </w:tblGrid>
      <w:tr w14:paraId="0E7B0A76">
        <w:tblPrEx>
          <w:tblCellMar>
            <w:top w:w="0" w:type="dxa"/>
            <w:left w:w="0" w:type="dxa"/>
            <w:bottom w:w="0" w:type="dxa"/>
            <w:right w:w="0" w:type="dxa"/>
          </w:tblCellMar>
        </w:tblPrEx>
        <w:trPr>
          <w:wBefore w:w="0" w:type="dxa"/>
          <w:trHeight w:val="60" w:hRule="atLeast"/>
          <w:tblHeader/>
        </w:trPr>
        <w:tc>
          <w:tcPr>
            <w:tcW w:w="36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9F63A">
            <w:pPr>
              <w:spacing w:line="60" w:lineRule="atLeast"/>
              <w:jc w:val="center"/>
              <w:rPr>
                <w:rFonts w:ascii="仿宋_GB2312" w:hAnsi="仿宋" w:eastAsia="仿宋_GB2312" w:cs="Times New Roman"/>
                <w:sz w:val="24"/>
                <w:szCs w:val="28"/>
              </w:rPr>
            </w:pPr>
            <w:r>
              <w:rPr>
                <w:rFonts w:hint="eastAsia" w:ascii="仿宋_GB2312" w:hAnsi="仿宋" w:eastAsia="仿宋_GB2312" w:cs="仿宋_GB2312"/>
                <w:color w:val="000000"/>
                <w:sz w:val="24"/>
                <w:szCs w:val="28"/>
              </w:rPr>
              <w:t>项目</w:t>
            </w:r>
          </w:p>
        </w:tc>
        <w:tc>
          <w:tcPr>
            <w:tcW w:w="108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C293965">
            <w:pPr>
              <w:spacing w:line="60" w:lineRule="atLeast"/>
              <w:jc w:val="center"/>
              <w:rPr>
                <w:rFonts w:ascii="仿宋_GB2312" w:hAnsi="仿宋" w:eastAsia="仿宋_GB2312" w:cs="Times New Roman"/>
                <w:sz w:val="24"/>
                <w:szCs w:val="28"/>
              </w:rPr>
            </w:pPr>
            <w:r>
              <w:rPr>
                <w:rFonts w:hint="eastAsia" w:ascii="仿宋_GB2312" w:hAnsi="仿宋" w:eastAsia="仿宋_GB2312" w:cs="仿宋_GB2312"/>
                <w:color w:val="000000"/>
                <w:sz w:val="24"/>
                <w:szCs w:val="28"/>
              </w:rPr>
              <w:t>数量</w:t>
            </w:r>
          </w:p>
        </w:tc>
        <w:tc>
          <w:tcPr>
            <w:tcW w:w="109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C690CD9">
            <w:pPr>
              <w:spacing w:line="60" w:lineRule="atLeast"/>
              <w:jc w:val="center"/>
              <w:rPr>
                <w:rFonts w:ascii="仿宋_GB2312" w:hAnsi="仿宋" w:eastAsia="仿宋_GB2312" w:cs="Times New Roman"/>
                <w:sz w:val="24"/>
                <w:szCs w:val="28"/>
              </w:rPr>
            </w:pPr>
            <w:r>
              <w:rPr>
                <w:rFonts w:hint="eastAsia" w:ascii="仿宋_GB2312" w:hAnsi="仿宋" w:eastAsia="仿宋_GB2312" w:cs="仿宋_GB2312"/>
                <w:color w:val="000000"/>
                <w:sz w:val="24"/>
                <w:szCs w:val="28"/>
              </w:rPr>
              <w:t>比上年增减</w:t>
            </w:r>
          </w:p>
        </w:tc>
        <w:tc>
          <w:tcPr>
            <w:tcW w:w="287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E097AFF">
            <w:pPr>
              <w:spacing w:line="60" w:lineRule="atLeast"/>
              <w:jc w:val="center"/>
              <w:rPr>
                <w:rFonts w:ascii="仿宋_GB2312" w:hAnsi="仿宋" w:eastAsia="仿宋_GB2312" w:cs="Times New Roman"/>
                <w:sz w:val="24"/>
                <w:szCs w:val="28"/>
              </w:rPr>
            </w:pPr>
            <w:r>
              <w:rPr>
                <w:rFonts w:hint="eastAsia" w:ascii="仿宋_GB2312" w:hAnsi="仿宋" w:eastAsia="仿宋_GB2312" w:cs="仿宋_GB2312"/>
                <w:color w:val="000000"/>
                <w:sz w:val="24"/>
                <w:szCs w:val="28"/>
              </w:rPr>
              <w:t>变动原因说明</w:t>
            </w:r>
          </w:p>
        </w:tc>
      </w:tr>
      <w:tr w14:paraId="03064988">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16D590">
            <w:pPr>
              <w:jc w:val="center"/>
              <w:rPr>
                <w:rFonts w:ascii="仿宋_GB2312" w:hAnsi="仿宋" w:eastAsia="仿宋_GB2312" w:cs="Times New Roman"/>
                <w:sz w:val="24"/>
                <w:szCs w:val="28"/>
              </w:rPr>
            </w:pPr>
            <w:r>
              <w:rPr>
                <w:rFonts w:hint="eastAsia" w:ascii="仿宋_GB2312" w:hAnsi="仿宋" w:eastAsia="仿宋_GB2312" w:cs="仿宋_GB2312"/>
                <w:color w:val="000000"/>
                <w:sz w:val="24"/>
                <w:szCs w:val="28"/>
              </w:rPr>
              <w:t>合</w:t>
            </w: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计</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1FA289">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5F33AD">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D7D3509">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r>
      <w:tr w14:paraId="0C34B41C">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5B3C85">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一、单户表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FAF72FE">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19E747">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0B98274">
            <w:pPr>
              <w:rPr>
                <w:rFonts w:ascii="仿宋_GB2312" w:hAnsi="Times New Roman" w:eastAsia="仿宋_GB2312" w:cs="Times New Roman"/>
                <w:sz w:val="24"/>
                <w:szCs w:val="28"/>
              </w:rPr>
            </w:pPr>
            <w:r>
              <w:rPr>
                <w:rFonts w:hint="eastAsia" w:ascii="仿宋_GB2312" w:hAnsi="Times New Roman" w:eastAsia="仿宋_GB2312" w:cs="仿宋_GB2312"/>
                <w:color w:val="000000"/>
                <w:sz w:val="24"/>
                <w:szCs w:val="28"/>
              </w:rPr>
              <w:t>　</w:t>
            </w:r>
          </w:p>
        </w:tc>
      </w:tr>
      <w:tr w14:paraId="36948AA7">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5417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二、行政单位汇总录入表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1D198F">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5E6D2F0">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5E3E5F">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18C933C9">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824E94">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三、事业单位汇总录入表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3BD5815">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D46E84">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1BAA82">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59BF697C">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0ACB7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四、</w:t>
            </w:r>
            <w:r>
              <w:rPr>
                <w:rFonts w:hint="eastAsia" w:ascii="仿宋_GB2312" w:hAnsi="仿宋" w:eastAsia="仿宋_GB2312" w:cs="仿宋_GB2312"/>
                <w:color w:val="000000"/>
                <w:sz w:val="22"/>
                <w:szCs w:val="24"/>
              </w:rPr>
              <w:t>经费自理事业单位汇总录入表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F7974F">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56A51D">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125613">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3E39D71A">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B0799E">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五、乡镇汇总录入表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F8504F8">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EBBF2E">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7F7DD2">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2C50DDF8">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B368B9">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六、其他单位汇总录入表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6FD726">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89387B">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678B61">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59015103">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5EC088">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七、经费差额表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05228AB">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C13EE52">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6491F58">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25336D0F">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3CD0C6">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八、调整表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5B2D52">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3E3730">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4C218C">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14:paraId="306653EE">
        <w:tblPrEx>
          <w:tblCellMar>
            <w:top w:w="0" w:type="dxa"/>
            <w:left w:w="0" w:type="dxa"/>
            <w:bottom w:w="0" w:type="dxa"/>
            <w:right w:w="0" w:type="dxa"/>
          </w:tblCellMar>
        </w:tblPrEx>
        <w:trPr>
          <w:wBefore w:w="0" w:type="dxa"/>
          <w:trHeight w:val="300" w:hRule="atLeast"/>
        </w:trPr>
        <w:tc>
          <w:tcPr>
            <w:tcW w:w="3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D744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九、叠加汇总表</w:t>
            </w:r>
          </w:p>
        </w:tc>
        <w:tc>
          <w:tcPr>
            <w:tcW w:w="108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D9199C">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4F5DC21">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28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2A98C7">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bl>
    <w:p w14:paraId="25E97820">
      <w:pPr>
        <w:rPr>
          <w:rFonts w:ascii="仿宋_GB2312" w:hAnsi="仿宋" w:eastAsia="仿宋_GB2312" w:cs="仿宋"/>
          <w:color w:val="000000"/>
          <w:sz w:val="32"/>
          <w:szCs w:val="32"/>
        </w:rPr>
      </w:pPr>
      <w:r>
        <w:rPr>
          <w:rFonts w:hint="eastAsia" w:ascii="仿宋_GB2312" w:hAnsi="仿宋" w:eastAsia="仿宋_GB2312" w:cs="仿宋"/>
          <w:color w:val="000000"/>
          <w:sz w:val="32"/>
          <w:szCs w:val="32"/>
        </w:rPr>
        <w:t>注：主管部门使用经费差额表代编收支及使用调整表调整收支重复汇总数的情况需另作说明，包括代编（或调整）的依据、涉及的单位和金额</w:t>
      </w:r>
    </w:p>
    <w:p w14:paraId="4A8C939B">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二、基础数据核对情况</w:t>
      </w:r>
    </w:p>
    <w:p w14:paraId="2A3226C6">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14:paraId="3F902A10">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14:paraId="12EA14C9">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（1）本部门本年度实际收到的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仿宋_GB2312" w:eastAsia="仿宋_GB2312" w:cs="Times New Roman"/>
          <w:color w:val="000000"/>
          <w:sz w:val="32"/>
          <w:szCs w:val="32"/>
          <w:u w:val="single"/>
        </w:rPr>
        <w:t> 21.47</w:t>
      </w:r>
      <w:r>
        <w:rPr>
          <w:rFonts w:hint="eastAsia" w:ascii="仿宋_GB2312" w:hAnsi="仿宋" w:eastAsia="仿宋_GB2312" w:cs="仿宋"/>
          <w:color w:val="000000"/>
          <w:sz w:val="32"/>
          <w:szCs w:val="32"/>
        </w:rPr>
        <w:t>万元，财政部门拨款对账单</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万元。对差额原因进行说明。</w:t>
      </w:r>
    </w:p>
    <w:p w14:paraId="2EABE9E6">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（2）本部门本年度政府性基金预算财政拨款收入</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万元。对差额原因进行说明。</w:t>
      </w:r>
    </w:p>
    <w:p w14:paraId="74B04672">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（3）本部门本年度国有资本经营预算财政拨款收入</w:t>
      </w:r>
      <w:r>
        <w:rPr>
          <w:rFonts w:hint="eastAsia" w:ascii="仿宋_GB2312" w:eastAsia="仿宋_GB2312" w:cs="Times New Roman"/>
          <w:color w:val="000000"/>
          <w:sz w:val="32"/>
          <w:szCs w:val="32"/>
          <w:u w:val="single"/>
        </w:rPr>
        <w:t>0</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万元。对差额原因进行说明。</w:t>
      </w:r>
    </w:p>
    <w:p w14:paraId="7D9DCFFA">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2．其他需要说明的情况。</w:t>
      </w:r>
    </w:p>
    <w:p w14:paraId="15B7C9FD">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14:paraId="4F6F28E8">
      <w:pPr>
        <w:ind w:firstLine="709"/>
        <w:rPr>
          <w:rFonts w:ascii="仿宋_GB2312" w:hAnsi="仿宋" w:eastAsia="仿宋_GB2312" w:cs="Times New Roman"/>
          <w:color w:val="000000"/>
          <w:sz w:val="32"/>
          <w:szCs w:val="32"/>
        </w:rPr>
      </w:pPr>
      <w:r>
        <w:rPr>
          <w:rFonts w:hint="eastAsia" w:ascii="仿宋_GB2312" w:hAnsi="仿宋" w:eastAsia="仿宋_GB2312" w:cs="仿宋"/>
          <w:sz w:val="32"/>
          <w:szCs w:val="32"/>
        </w:rPr>
        <w:t>1．</w:t>
      </w:r>
      <w:bookmarkStart w:id="1" w:name="_Hlk164258420"/>
      <w:bookmarkStart w:id="2" w:name="_Hlk164258577"/>
      <w:r>
        <w:rPr>
          <w:rFonts w:hint="eastAsia" w:ascii="仿宋_GB2312" w:hAnsi="仿宋" w:eastAsia="仿宋_GB2312" w:cs="仿宋"/>
          <w:sz w:val="32"/>
          <w:szCs w:val="32"/>
        </w:rPr>
        <w:t>全口径、</w:t>
      </w:r>
      <w:r>
        <w:rPr>
          <w:rFonts w:hint="eastAsia" w:ascii="仿宋_GB2312" w:hAnsi="仿宋" w:eastAsia="仿宋_GB2312" w:cs="仿宋"/>
          <w:bCs/>
          <w:sz w:val="32"/>
          <w:szCs w:val="32"/>
        </w:rPr>
        <w:t>一般</w:t>
      </w:r>
      <w:r>
        <w:rPr>
          <w:rFonts w:hint="eastAsia" w:ascii="仿宋_GB2312" w:hAnsi="仿宋" w:eastAsia="仿宋_GB2312" w:cs="仿宋"/>
          <w:sz w:val="32"/>
          <w:szCs w:val="32"/>
        </w:rPr>
        <w:t>公共预算财政拨款和政府性基金预算财政拨款的结转和结余资金本年年初数与上年年末数不一致的情况说明，包括会计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、归集调入、归集调出、归集上缴和缴回资金及单位内部调剂等情况（附表</w:t>
      </w:r>
      <w:r>
        <w:rPr>
          <w:rFonts w:hint="eastAsia" w:ascii="仿宋_GB2312" w:hAnsi="仿宋" w:eastAsia="仿宋_GB2312" w:cs="仿宋"/>
          <w:bCs/>
          <w:sz w:val="32"/>
          <w:szCs w:val="32"/>
        </w:rPr>
        <w:t>1</w:t>
      </w:r>
      <w:r>
        <w:rPr>
          <w:rFonts w:ascii="仿宋_GB2312" w:hAnsi="仿宋" w:eastAsia="仿宋_GB2312" w:cs="仿宋"/>
          <w:bCs/>
          <w:sz w:val="32"/>
          <w:szCs w:val="32"/>
          <w:lang w:val="en"/>
        </w:rPr>
        <w:t>-1</w:t>
      </w:r>
      <w:r>
        <w:rPr>
          <w:rFonts w:hint="eastAsia" w:ascii="仿宋_GB2312" w:hAnsi="仿宋" w:eastAsia="仿宋_GB2312" w:cs="仿宋"/>
          <w:sz w:val="32"/>
          <w:szCs w:val="32"/>
        </w:rPr>
        <w:t>）。</w:t>
      </w:r>
      <w:bookmarkEnd w:id="1"/>
      <w:r>
        <w:rPr>
          <w:rFonts w:hint="eastAsia" w:ascii="仿宋_GB2312" w:hAnsi="仿宋" w:eastAsia="仿宋_GB2312" w:cs="仿宋"/>
          <w:sz w:val="32"/>
          <w:szCs w:val="32"/>
        </w:rPr>
        <w:t>按照法定会计政策变更追溯调整形成的差异，在“其他”栏目填列并在备注予以说明。</w:t>
      </w:r>
      <w:r>
        <w:rPr>
          <w:rFonts w:hint="eastAsia" w:ascii="仿宋_GB2312" w:hAnsi="仿宋" w:eastAsia="仿宋_GB2312" w:cs="仿宋"/>
          <w:color w:val="000000"/>
          <w:sz w:val="32"/>
          <w:szCs w:val="32"/>
        </w:rPr>
        <w:t>非财政拨款结余和专用结余本年年初数与上年年末数不一致的情况说明（附表</w:t>
      </w:r>
      <w:r>
        <w:rPr>
          <w:rFonts w:ascii="仿宋_GB2312" w:hAnsi="仿宋" w:eastAsia="仿宋_GB2312" w:cs="仿宋"/>
          <w:color w:val="000000"/>
          <w:sz w:val="32"/>
          <w:szCs w:val="32"/>
          <w:lang w:val="en"/>
        </w:rPr>
        <w:t>1-2</w:t>
      </w:r>
      <w:r>
        <w:rPr>
          <w:rFonts w:hint="eastAsia" w:ascii="仿宋_GB2312" w:hAnsi="仿宋" w:eastAsia="仿宋_GB2312" w:cs="仿宋"/>
          <w:color w:val="000000"/>
          <w:sz w:val="32"/>
          <w:szCs w:val="32"/>
        </w:rPr>
        <w:t>）</w:t>
      </w:r>
      <w:bookmarkEnd w:id="2"/>
      <w:r>
        <w:rPr>
          <w:rFonts w:hint="eastAsia" w:ascii="仿宋_GB2312" w:hAnsi="仿宋" w:eastAsia="仿宋_GB2312" w:cs="仿宋"/>
          <w:color w:val="000000"/>
          <w:sz w:val="32"/>
          <w:szCs w:val="32"/>
        </w:rPr>
        <w:t>。</w:t>
      </w:r>
    </w:p>
    <w:p w14:paraId="718717A3">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2．主要指标上下年变动幅度超过10%，其中机构人员指标上下年有变动的，应具体核实并说明原因（附表</w:t>
      </w:r>
      <w:r>
        <w:rPr>
          <w:rFonts w:hint="eastAsia" w:ascii="仿宋_GB2312" w:hAnsi="仿宋" w:eastAsia="仿宋_GB2312" w:cs="仿宋"/>
          <w:bCs/>
          <w:color w:val="000000"/>
          <w:sz w:val="32"/>
          <w:szCs w:val="32"/>
        </w:rPr>
        <w:t>2</w:t>
      </w:r>
      <w:r>
        <w:rPr>
          <w:rFonts w:hint="eastAsia" w:ascii="仿宋_GB2312" w:hAnsi="仿宋" w:eastAsia="仿宋_GB2312" w:cs="仿宋"/>
          <w:color w:val="000000"/>
          <w:sz w:val="32"/>
          <w:szCs w:val="32"/>
        </w:rPr>
        <w:t>）。</w:t>
      </w:r>
    </w:p>
    <w:p w14:paraId="0B0A2284">
      <w:pPr>
        <w:ind w:firstLine="709"/>
        <w:rPr>
          <w:rFonts w:hint="eastAsia" w:ascii="黑体" w:hAnsi="黑体" w:eastAsia="黑体" w:cs="Times New Roman"/>
          <w:color w:val="000000"/>
          <w:sz w:val="32"/>
          <w:szCs w:val="32"/>
          <w:lang w:val="en-US" w:eastAsia="zh-CN"/>
        </w:rPr>
      </w:pPr>
      <w:r>
        <w:rPr>
          <w:rFonts w:hint="eastAsia" w:ascii="宋体" w:hAnsi="宋体" w:cs="宋体"/>
          <w:color w:val="000000"/>
          <w:sz w:val="32"/>
          <w:szCs w:val="32"/>
        </w:rPr>
        <w:t> </w:t>
      </w:r>
      <w:r>
        <w:rPr>
          <w:rFonts w:hint="eastAsia" w:ascii="黑体" w:hAnsi="黑体" w:eastAsia="黑体" w:cs="黑体"/>
          <w:color w:val="000000"/>
          <w:sz w:val="32"/>
          <w:szCs w:val="32"/>
        </w:rPr>
        <w:t>三、报表审核情况</w:t>
      </w:r>
    </w:p>
    <w:p w14:paraId="0CBDF109">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审核情况。</w:t>
      </w:r>
    </w:p>
    <w:tbl>
      <w:tblPr>
        <w:tblStyle w:val="5"/>
        <w:tblW w:w="8528" w:type="dxa"/>
        <w:tblInd w:w="2" w:type="dxa"/>
        <w:tblLayout w:type="fixed"/>
        <w:tblCellMar>
          <w:top w:w="0" w:type="dxa"/>
          <w:left w:w="0" w:type="dxa"/>
          <w:bottom w:w="0" w:type="dxa"/>
          <w:right w:w="0" w:type="dxa"/>
        </w:tblCellMar>
      </w:tblPr>
      <w:tblGrid>
        <w:gridCol w:w="1827"/>
        <w:gridCol w:w="1259"/>
        <w:gridCol w:w="1787"/>
        <w:gridCol w:w="3655"/>
      </w:tblGrid>
      <w:tr w14:paraId="589291B0">
        <w:tblPrEx>
          <w:tblCellMar>
            <w:top w:w="0" w:type="dxa"/>
            <w:left w:w="0" w:type="dxa"/>
            <w:bottom w:w="0" w:type="dxa"/>
            <w:right w:w="0" w:type="dxa"/>
          </w:tblCellMar>
        </w:tblPrEx>
        <w:trPr>
          <w:wBefore w:w="0" w:type="dxa"/>
          <w:trHeight w:val="60" w:hRule="atLeast"/>
        </w:trPr>
        <w:tc>
          <w:tcPr>
            <w:tcW w:w="182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97F02">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审核项目</w:t>
            </w:r>
          </w:p>
        </w:tc>
        <w:tc>
          <w:tcPr>
            <w:tcW w:w="125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3E22B0A">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数量</w:t>
            </w:r>
          </w:p>
        </w:tc>
        <w:tc>
          <w:tcPr>
            <w:tcW w:w="178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F361B3D">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提示内容</w:t>
            </w:r>
          </w:p>
        </w:tc>
        <w:tc>
          <w:tcPr>
            <w:tcW w:w="36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2BDA67A">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原因说明</w:t>
            </w:r>
          </w:p>
        </w:tc>
      </w:tr>
      <w:tr w14:paraId="18D59BF5">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C17662">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一、审核公式</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B2F2983">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0FCBBE0">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DDF3DE">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2DA01780">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7100B3">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1.表间公式</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98263E">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6F9AFD">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519D8F">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26927961">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4EAC32">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A0-XXX</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B9B0E1">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255698">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D8BDF7D">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3D4B417B">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AF5114">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A0-XXX</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7E221F">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0F978A5">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EC2A12">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7F301498">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E2C3DE">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656BD27">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7B92FA9">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46BF6CA">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12217355">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763A5A">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2.表内公式</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061AB4">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160C17">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1D2DA14">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17861DB7">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94929">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AXXX</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00524F3">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FE322D">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74263CC">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3420A10E">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9D6C94">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AXXX</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FC4F9D">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XX条</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0D854C">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3F6A35">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217F9C4B">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9425BF">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5A3A97">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CFD4E3">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3F5561">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5A1C5A0D">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D272D5">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二、审核模板</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881A97C">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24F612">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F256B6">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089A1E1B">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BA37AE">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1</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4ACA64">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XX个单位</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032B4C">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B86481">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5E057AC1">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CB7114">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2</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ECAAA0">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XX个单位</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55ACC8C">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B0C164">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r w14:paraId="67DDE50F">
        <w:tblPrEx>
          <w:tblCellMar>
            <w:top w:w="0" w:type="dxa"/>
            <w:left w:w="0" w:type="dxa"/>
            <w:bottom w:w="0" w:type="dxa"/>
            <w:right w:w="0" w:type="dxa"/>
          </w:tblCellMar>
        </w:tblPrEx>
        <w:trPr>
          <w:wBefore w:w="0" w:type="dxa"/>
          <w:trHeight w:val="60" w:hRule="atLeast"/>
        </w:trPr>
        <w:tc>
          <w:tcPr>
            <w:tcW w:w="182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F0F99">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2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D03B522">
            <w:pPr>
              <w:spacing w:line="60" w:lineRule="atLeast"/>
              <w:jc w:val="center"/>
              <w:rPr>
                <w:rFonts w:ascii="仿宋_GB2312" w:hAnsi="Times New Roman" w:eastAsia="仿宋_GB2312" w:cs="Times New Roman"/>
                <w:sz w:val="24"/>
                <w:szCs w:val="24"/>
              </w:rPr>
            </w:pPr>
            <w:r>
              <w:rPr>
                <w:rFonts w:hint="eastAsia" w:ascii="仿宋_GB2312" w:hAnsi="仿宋" w:eastAsia="仿宋_GB2312" w:cs="仿宋"/>
                <w:color w:val="000000"/>
                <w:sz w:val="24"/>
                <w:szCs w:val="24"/>
              </w:rPr>
              <w:t>…</w:t>
            </w:r>
          </w:p>
        </w:tc>
        <w:tc>
          <w:tcPr>
            <w:tcW w:w="178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FFAA68">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c>
          <w:tcPr>
            <w:tcW w:w="3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78EA4A">
            <w:pPr>
              <w:spacing w:line="60" w:lineRule="atLeast"/>
              <w:rPr>
                <w:rFonts w:ascii="仿宋_GB2312" w:hAnsi="Times New Roman" w:eastAsia="仿宋_GB2312" w:cs="Times New Roman"/>
                <w:sz w:val="24"/>
                <w:szCs w:val="24"/>
              </w:rPr>
            </w:pPr>
            <w:r>
              <w:rPr>
                <w:rFonts w:hint="eastAsia" w:ascii="仿宋_GB2312" w:hAnsi="仿宋" w:eastAsia="仿宋_GB2312" w:cs="仿宋"/>
                <w:color w:val="000000"/>
                <w:sz w:val="24"/>
                <w:szCs w:val="24"/>
              </w:rPr>
              <w:t>　</w:t>
            </w:r>
          </w:p>
        </w:tc>
      </w:tr>
    </w:tbl>
    <w:p w14:paraId="00AC92E9">
      <w:pPr>
        <w:ind w:firstLine="709"/>
        <w:rPr>
          <w:rFonts w:ascii="黑体" w:hAnsi="黑体" w:eastAsia="黑体" w:cs="Times New Roman"/>
          <w:color w:val="000000"/>
          <w:sz w:val="32"/>
          <w:szCs w:val="32"/>
        </w:rPr>
      </w:pPr>
      <w:r>
        <w:rPr>
          <w:rFonts w:hint="eastAsia" w:ascii="黑体" w:hAnsi="黑体" w:eastAsia="黑体" w:cs="黑体"/>
          <w:color w:val="000000"/>
          <w:sz w:val="32"/>
          <w:szCs w:val="32"/>
        </w:rPr>
        <w:t>四、决算数据其他需要说明的情况</w:t>
      </w:r>
    </w:p>
    <w:p w14:paraId="4E795330">
      <w:pPr>
        <w:ind w:firstLine="709"/>
        <w:rPr>
          <w:rFonts w:ascii="仿宋_GB2312" w:hAnsi="仿宋" w:eastAsia="仿宋_GB2312" w:cs="仿宋"/>
          <w:sz w:val="32"/>
          <w:szCs w:val="32"/>
        </w:rPr>
      </w:pPr>
      <w:r>
        <w:rPr>
          <w:rFonts w:hint="eastAsia" w:ascii="仿宋_GB2312" w:hAnsi="仿宋" w:eastAsia="仿宋_GB2312" w:cs="仿宋"/>
          <w:color w:val="000000"/>
          <w:sz w:val="32"/>
          <w:szCs w:val="32"/>
        </w:rPr>
        <w:t>1．“收入决算表”中</w:t>
      </w:r>
      <w:r>
        <w:rPr>
          <w:rFonts w:hint="eastAsia" w:ascii="仿宋_GB2312" w:hAnsi="仿宋" w:eastAsia="仿宋_GB2312" w:cs="仿宋"/>
          <w:color w:val="000000"/>
          <w:spacing w:val="6"/>
          <w:sz w:val="32"/>
          <w:szCs w:val="32"/>
        </w:rPr>
        <w:t>其他收入的具体构成情况，</w:t>
      </w:r>
      <w:r>
        <w:rPr>
          <w:rFonts w:hint="eastAsia" w:ascii="仿宋_GB2312" w:hAnsi="仿宋" w:eastAsia="仿宋_GB2312" w:cs="仿宋"/>
          <w:color w:val="000000"/>
          <w:sz w:val="32"/>
          <w:szCs w:val="32"/>
        </w:rPr>
        <w:t>说明单位从同级</w:t>
      </w:r>
      <w:r>
        <w:rPr>
          <w:rFonts w:hint="eastAsia" w:ascii="仿宋_GB2312" w:hAnsi="仿宋" w:eastAsia="仿宋_GB2312" w:cs="仿宋"/>
          <w:sz w:val="32"/>
          <w:szCs w:val="32"/>
        </w:rPr>
        <w:t>财政以外的同级政府部门取得的横向转拨财政款、从上级或下级政府（包括政府财政和政府部门）取得的各类财政款，纳入单位预算管理的投资收益、利息收入、捐赠收入、事业单位固定资产出租收入等情况（附表</w:t>
      </w:r>
      <w:r>
        <w:rPr>
          <w:rFonts w:hint="eastAsia" w:ascii="仿宋_GB2312" w:hAnsi="仿宋" w:eastAsia="仿宋_GB2312" w:cs="仿宋"/>
          <w:bCs/>
          <w:sz w:val="32"/>
          <w:szCs w:val="32"/>
        </w:rPr>
        <w:t>3</w:t>
      </w:r>
      <w:r>
        <w:rPr>
          <w:rFonts w:hint="eastAsia" w:ascii="仿宋_GB2312" w:hAnsi="仿宋" w:eastAsia="仿宋_GB2312" w:cs="仿宋"/>
          <w:sz w:val="32"/>
          <w:szCs w:val="32"/>
        </w:rPr>
        <w:t>）。</w:t>
      </w:r>
    </w:p>
    <w:p w14:paraId="3A3D9EFB">
      <w:pPr>
        <w:ind w:firstLine="709"/>
        <w:rPr>
          <w:rFonts w:ascii="仿宋_GB2312" w:hAnsi="仿宋" w:eastAsia="仿宋_GB2312" w:cs="仿宋"/>
          <w:sz w:val="32"/>
          <w:szCs w:val="32"/>
        </w:rPr>
      </w:pPr>
      <w:r>
        <w:rPr>
          <w:rFonts w:hint="eastAsia" w:ascii="仿宋_GB2312" w:hAnsi="仿宋" w:eastAsia="仿宋_GB2312" w:cs="仿宋"/>
          <w:sz w:val="32"/>
          <w:szCs w:val="32"/>
        </w:rPr>
        <w:t>2.年末结转结余扣除经营亏损后如为负数，按资金性质分别</w:t>
      </w:r>
      <w:r>
        <w:rPr>
          <w:rFonts w:hint="eastAsia" w:ascii="仿宋_GB2312" w:hAnsi="仿宋" w:eastAsia="仿宋_GB2312" w:cs="仿宋"/>
          <w:color w:val="000000"/>
          <w:sz w:val="32"/>
          <w:szCs w:val="32"/>
        </w:rPr>
        <w:t>说明情况。</w:t>
      </w:r>
    </w:p>
    <w:p w14:paraId="146E7D3D">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3．“项目支出决算明细表”中列支“工资福利支出”和“对个人和家庭的补助”的依据及说明。</w:t>
      </w:r>
    </w:p>
    <w:p w14:paraId="4F5147F0">
      <w:pPr>
        <w:ind w:firstLine="709"/>
        <w:rPr>
          <w:rFonts w:ascii="仿宋_GB2312" w:hAnsi="仿宋" w:eastAsia="仿宋_GB2312" w:cs="Times New Roman"/>
          <w:color w:val="FF0000"/>
          <w:sz w:val="32"/>
          <w:szCs w:val="32"/>
        </w:rPr>
      </w:pPr>
      <w:r>
        <w:rPr>
          <w:rFonts w:hint="eastAsia" w:ascii="仿宋_GB2312" w:hAnsi="仿宋" w:eastAsia="仿宋_GB2312" w:cs="仿宋"/>
          <w:color w:val="000000"/>
          <w:sz w:val="32"/>
          <w:szCs w:val="32"/>
        </w:rPr>
        <w:t>4.“三公”经费统计数</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p>
    <w:p w14:paraId="603F805C">
      <w:pPr>
        <w:ind w:firstLine="709"/>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5.行政单位、参照公务员法管理的事业单位机关运行经费支出情况，以及与上年数对比变动原因说明。</w:t>
      </w:r>
    </w:p>
    <w:p w14:paraId="5B2DA967">
      <w:pPr>
        <w:ind w:firstLine="709"/>
        <w:rPr>
          <w:rFonts w:ascii="仿宋_GB2312" w:hAnsi="仿宋" w:eastAsia="仿宋_GB2312" w:cs="仿宋"/>
          <w:sz w:val="32"/>
          <w:szCs w:val="32"/>
        </w:rPr>
      </w:pPr>
      <w:r>
        <w:rPr>
          <w:rFonts w:hint="eastAsia" w:ascii="仿宋_GB2312" w:hAnsi="仿宋" w:eastAsia="仿宋_GB2312" w:cs="仿宋"/>
          <w:bCs/>
          <w:sz w:val="32"/>
          <w:szCs w:val="32"/>
        </w:rPr>
        <w:t>6.政府采购支出情况，包括采购类型、采购规模和授予中小企业合同金额等。</w:t>
      </w:r>
    </w:p>
    <w:p w14:paraId="254DCBC7">
      <w:pPr>
        <w:ind w:firstLine="709"/>
        <w:rPr>
          <w:rFonts w:hint="eastAsia" w:ascii="仿宋_GB2312" w:hAnsi="仿宋" w:eastAsia="仿宋_GB2312" w:cs="仿宋"/>
          <w:sz w:val="32"/>
          <w:szCs w:val="32"/>
        </w:rPr>
      </w:pPr>
      <w:r>
        <w:rPr>
          <w:rFonts w:hint="eastAsia" w:ascii="仿宋_GB2312" w:hAnsi="仿宋" w:eastAsia="仿宋_GB2312" w:cs="仿宋"/>
          <w:bCs/>
          <w:sz w:val="32"/>
          <w:szCs w:val="32"/>
        </w:rPr>
        <w:t>7.“收入支出决算总表”中如全年预算数大于年初预算数，</w:t>
      </w:r>
      <w:r>
        <w:rPr>
          <w:rFonts w:hint="eastAsia" w:ascii="仿宋_GB2312" w:hAnsi="仿宋" w:eastAsia="仿宋_GB2312" w:cs="仿宋"/>
          <w:sz w:val="32"/>
          <w:szCs w:val="32"/>
        </w:rPr>
        <w:t>说明单位财政拨款预算和非财政拨款预算调整情况以及经审批或备案的文件依据。</w:t>
      </w:r>
    </w:p>
    <w:p w14:paraId="71C7F9F8">
      <w:pPr>
        <w:ind w:firstLine="709"/>
        <w:rPr>
          <w:rFonts w:ascii="仿宋_GB2312" w:hAnsi="仿宋" w:eastAsia="仿宋_GB2312" w:cs="仿宋"/>
          <w:bCs/>
          <w:sz w:val="32"/>
          <w:szCs w:val="32"/>
        </w:rPr>
      </w:pPr>
      <w:r>
        <w:rPr>
          <w:rFonts w:ascii="仿宋_GB2312" w:hAnsi="仿宋" w:eastAsia="仿宋_GB2312" w:cs="仿宋"/>
          <w:bCs/>
          <w:sz w:val="32"/>
          <w:szCs w:val="32"/>
          <w:lang w:val="en"/>
        </w:rPr>
        <w:t>8</w:t>
      </w:r>
      <w:r>
        <w:rPr>
          <w:rFonts w:hint="eastAsia" w:ascii="仿宋_GB2312" w:hAnsi="仿宋" w:eastAsia="仿宋_GB2312" w:cs="仿宋"/>
          <w:bCs/>
          <w:sz w:val="32"/>
          <w:szCs w:val="32"/>
        </w:rPr>
        <w:t>.中央部门财政拨款结转和结余情况（附表4）。</w:t>
      </w:r>
    </w:p>
    <w:p w14:paraId="16BCCAAD">
      <w:pPr>
        <w:ind w:firstLine="709"/>
        <w:rPr>
          <w:dstrike/>
        </w:rPr>
      </w:pPr>
      <w:r>
        <w:rPr>
          <w:rFonts w:ascii="仿宋_GB2312" w:hAnsi="仿宋" w:eastAsia="仿宋_GB2312" w:cs="仿宋"/>
          <w:bCs/>
          <w:sz w:val="32"/>
          <w:szCs w:val="32"/>
          <w:lang w:val="en"/>
        </w:rPr>
        <w:t>9</w:t>
      </w:r>
      <w:r>
        <w:rPr>
          <w:rFonts w:hint="eastAsia" w:ascii="仿宋_GB2312" w:hAnsi="仿宋" w:eastAsia="仿宋_GB2312" w:cs="仿宋"/>
          <w:bCs/>
          <w:sz w:val="32"/>
          <w:szCs w:val="32"/>
        </w:rPr>
        <w:t>.</w:t>
      </w:r>
      <w:r>
        <w:rPr>
          <w:rFonts w:ascii="仿宋_GB2312" w:hAnsi="仿宋" w:eastAsia="仿宋_GB2312" w:cs="仿宋"/>
          <w:sz w:val="32"/>
          <w:szCs w:val="32"/>
        </w:rPr>
        <w:t>其他需要说明的问题。</w:t>
      </w:r>
      <w:r>
        <w:rPr>
          <w:rFonts w:hint="eastAsia" w:ascii="仿宋_GB2312" w:hAnsi="仿宋" w:eastAsia="仿宋_GB2312" w:cs="仿宋"/>
          <w:sz w:val="32"/>
          <w:szCs w:val="32"/>
        </w:rPr>
        <w:t>如</w:t>
      </w:r>
      <w:r>
        <w:rPr>
          <w:rFonts w:hint="eastAsia" w:ascii="仿宋_GB2312" w:hAnsi="仿宋" w:eastAsia="仿宋_GB2312" w:cs="仿宋"/>
          <w:bCs/>
          <w:sz w:val="32"/>
          <w:szCs w:val="32"/>
        </w:rPr>
        <w:t>中央单位驻外机构有关情况（附表5、6）、查询模板提示中需要说明的问题等，部门所属预算单位数量与预算草案中预算单位数量、决算报表中独立核算机构数不一致的，请作出说明。</w:t>
      </w:r>
    </w:p>
    <w:p w14:paraId="68A37C38">
      <w:pPr>
        <w:ind w:firstLine="709"/>
        <w:rPr>
          <w:rFonts w:hint="eastAsia" w:eastAsia="宋体"/>
          <w:strike w:val="0"/>
          <w:dstrike/>
          <w:lang w:val="en-US" w:eastAsia="zh-CN"/>
        </w:rPr>
      </w:pPr>
    </w:p>
    <w:sectPr>
      <w:footerReference r:id="rId3" w:type="default"/>
      <w:pgSz w:w="23757" w:h="16783" w:orient="landscape"/>
      <w:pgMar w:top="1588" w:right="1440" w:bottom="1588" w:left="1440" w:header="851" w:footer="992" w:gutter="0"/>
      <w:cols w:equalWidth="0" w:num="2">
        <w:col w:w="10226" w:space="425"/>
        <w:col w:w="1022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50642">
    <w:pPr>
      <w:pStyle w:val="3"/>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p>
  <w:p w14:paraId="49836A3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YTY4ZGU2Y2FiYWNiYjU5NmVjNzE4MTA0YzIxZWYifQ=="/>
  </w:docVars>
  <w:rsids>
    <w:rsidRoot w:val="001B26F2"/>
    <w:rsid w:val="00023154"/>
    <w:rsid w:val="00090405"/>
    <w:rsid w:val="000A3178"/>
    <w:rsid w:val="000B246E"/>
    <w:rsid w:val="0012224A"/>
    <w:rsid w:val="00136E29"/>
    <w:rsid w:val="001B26F2"/>
    <w:rsid w:val="002033BC"/>
    <w:rsid w:val="00297C31"/>
    <w:rsid w:val="002A0E76"/>
    <w:rsid w:val="0036359A"/>
    <w:rsid w:val="003C31BA"/>
    <w:rsid w:val="003C4F79"/>
    <w:rsid w:val="003F5234"/>
    <w:rsid w:val="00437814"/>
    <w:rsid w:val="00464418"/>
    <w:rsid w:val="004906CD"/>
    <w:rsid w:val="00492AAC"/>
    <w:rsid w:val="00496F52"/>
    <w:rsid w:val="00534EC6"/>
    <w:rsid w:val="00566ADB"/>
    <w:rsid w:val="00576AEF"/>
    <w:rsid w:val="0059347A"/>
    <w:rsid w:val="005B4F27"/>
    <w:rsid w:val="005B6891"/>
    <w:rsid w:val="005D304B"/>
    <w:rsid w:val="0061320D"/>
    <w:rsid w:val="0061736D"/>
    <w:rsid w:val="00650E4C"/>
    <w:rsid w:val="00725630"/>
    <w:rsid w:val="007468D8"/>
    <w:rsid w:val="007703E7"/>
    <w:rsid w:val="00770799"/>
    <w:rsid w:val="00773EC9"/>
    <w:rsid w:val="007B426A"/>
    <w:rsid w:val="007B6985"/>
    <w:rsid w:val="007D7C0C"/>
    <w:rsid w:val="007D7DAF"/>
    <w:rsid w:val="008269B8"/>
    <w:rsid w:val="00842F46"/>
    <w:rsid w:val="00887116"/>
    <w:rsid w:val="008A09DB"/>
    <w:rsid w:val="008D4C2D"/>
    <w:rsid w:val="009A0F86"/>
    <w:rsid w:val="00A54687"/>
    <w:rsid w:val="00A762DB"/>
    <w:rsid w:val="00B531C2"/>
    <w:rsid w:val="00B77366"/>
    <w:rsid w:val="00B92148"/>
    <w:rsid w:val="00B96CA2"/>
    <w:rsid w:val="00BA7B89"/>
    <w:rsid w:val="00BF3D10"/>
    <w:rsid w:val="00BF503B"/>
    <w:rsid w:val="00C12426"/>
    <w:rsid w:val="00C31AF0"/>
    <w:rsid w:val="00C35AD5"/>
    <w:rsid w:val="00C61C1C"/>
    <w:rsid w:val="00C65E77"/>
    <w:rsid w:val="00CC0BB8"/>
    <w:rsid w:val="00D22BAB"/>
    <w:rsid w:val="00D4168B"/>
    <w:rsid w:val="00D54D31"/>
    <w:rsid w:val="00DC2636"/>
    <w:rsid w:val="00DD2016"/>
    <w:rsid w:val="00E15D4E"/>
    <w:rsid w:val="00E74348"/>
    <w:rsid w:val="00E90AC3"/>
    <w:rsid w:val="00EC1C4C"/>
    <w:rsid w:val="00EC3BAD"/>
    <w:rsid w:val="00EE262E"/>
    <w:rsid w:val="00F03A19"/>
    <w:rsid w:val="00F04397"/>
    <w:rsid w:val="00F204A1"/>
    <w:rsid w:val="00F21267"/>
    <w:rsid w:val="00F70304"/>
    <w:rsid w:val="00F76F15"/>
    <w:rsid w:val="00F80DFC"/>
    <w:rsid w:val="00FE04FC"/>
    <w:rsid w:val="02BD0636"/>
    <w:rsid w:val="07DD5238"/>
    <w:rsid w:val="0B6D21B4"/>
    <w:rsid w:val="0D424CDC"/>
    <w:rsid w:val="130B6213"/>
    <w:rsid w:val="1C861465"/>
    <w:rsid w:val="1DCF2D91"/>
    <w:rsid w:val="1FB65BFB"/>
    <w:rsid w:val="22136D6D"/>
    <w:rsid w:val="24BC2F35"/>
    <w:rsid w:val="36FF7FDA"/>
    <w:rsid w:val="39DE48F8"/>
    <w:rsid w:val="3B5A6639"/>
    <w:rsid w:val="42FA438F"/>
    <w:rsid w:val="444F53B6"/>
    <w:rsid w:val="448D50AE"/>
    <w:rsid w:val="45BC56D3"/>
    <w:rsid w:val="466510E8"/>
    <w:rsid w:val="4F30143E"/>
    <w:rsid w:val="57C253EC"/>
    <w:rsid w:val="5B6139A8"/>
    <w:rsid w:val="5F8F0E2A"/>
    <w:rsid w:val="67AC378A"/>
    <w:rsid w:val="67EEA1DE"/>
    <w:rsid w:val="6A5F6709"/>
    <w:rsid w:val="6D7E35D4"/>
    <w:rsid w:val="6FA13541"/>
    <w:rsid w:val="71904599"/>
    <w:rsid w:val="72EFB22D"/>
    <w:rsid w:val="73DE551A"/>
    <w:rsid w:val="750929A0"/>
    <w:rsid w:val="77FF323B"/>
    <w:rsid w:val="7961380D"/>
    <w:rsid w:val="7A4F8B02"/>
    <w:rsid w:val="7B6BA8DA"/>
    <w:rsid w:val="9FEF911E"/>
    <w:rsid w:val="B1FCF407"/>
    <w:rsid w:val="C7364F04"/>
    <w:rsid w:val="CEDD16C5"/>
    <w:rsid w:val="EDDEC42F"/>
    <w:rsid w:val="EFFD58AD"/>
    <w:rsid w:val="F6DF0680"/>
    <w:rsid w:val="F7FD2B95"/>
    <w:rsid w:val="FBFEEA01"/>
    <w:rsid w:val="FDDE9AEE"/>
    <w:rsid w:val="FFFB39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6">
    <w:name w:val="Default Paragraph Font"/>
    <w:unhideWhenUsed/>
    <w:uiPriority w:val="0"/>
  </w:style>
  <w:style w:type="table" w:default="1" w:styleId="5">
    <w:name w:val="Normal Table"/>
    <w:unhideWhenUsed/>
    <w:uiPriority w:val="0"/>
    <w:tblPr>
      <w:tblStyle w:val="5"/>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qFormat/>
    <w:uiPriority w:val="0"/>
    <w:rPr>
      <w:rFonts w:ascii="Calibri" w:hAnsi="Calibri" w:eastAsia="宋体" w:cs="Calibri"/>
      <w:kern w:val="2"/>
      <w:sz w:val="18"/>
      <w:szCs w:val="18"/>
    </w:rPr>
  </w:style>
  <w:style w:type="character" w:customStyle="1" w:styleId="8">
    <w:name w:val="页眉 字符"/>
    <w:qFormat/>
    <w:uiPriority w:val="0"/>
    <w:rPr>
      <w:rFonts w:ascii="Calibri" w:hAnsi="Calibri" w:eastAsia="宋体" w:cs="Calibri"/>
      <w:kern w:val="2"/>
      <w:sz w:val="18"/>
      <w:szCs w:val="18"/>
    </w:rPr>
  </w:style>
  <w:style w:type="paragraph" w:styleId="9">
    <w:name w:val=""/>
    <w:semiHidden/>
    <w:uiPriority w:val="0"/>
    <w:rPr>
      <w:rFonts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1481</Words>
  <Characters>1534</Characters>
  <Lines>14</Lines>
  <Paragraphs>4</Paragraphs>
  <TotalTime>6</TotalTime>
  <ScaleCrop>false</ScaleCrop>
  <LinksUpToDate>false</LinksUpToDate>
  <CharactersWithSpaces>1688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2022-01-01T22:58:00Z</dcterms:created>
  <dc:creator>admin</dc:creator>
  <cp:lastModifiedBy>寒千岁</cp:lastModifiedBy>
  <dcterms:modified xsi:type="dcterms:W3CDTF">2025-08-28T10:38:20Z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1357D8C139814219BE5E1328D41E9863_13</vt:lpwstr>
  </property>
  <property fmtid="{D5CDD505-2E9C-101B-9397-08002B2CF9AE}" pid="4" name="KSOTemplateDocerSaveRecord">
    <vt:lpwstr>eyJoZGlkIjoiZTJkNWZmZTE3YmYyMjJkZmEyZGI5MjVlNzZhN2ExN2EiLCJ1c2VySWQiOiIzOTUyODEzNjcifQ==</vt:lpwstr>
  </property>
</Properties>
</file>