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1.</w:t>
      </w:r>
      <w:r>
        <w:rPr>
          <w:rFonts w:hint="eastAsia"/>
          <w:b/>
        </w:rPr>
        <w:t xml:space="preserve"> </w:t>
      </w:r>
      <w:r>
        <w:rPr>
          <w:rFonts w:hint="eastAsia" w:ascii="仿宋_GB2312" w:hAnsi="Times New Roman" w:eastAsia="仿宋_GB2312" w:cs="Times New Roman"/>
          <w:b/>
          <w:sz w:val="32"/>
          <w:szCs w:val="32"/>
        </w:rPr>
        <w:t>项目支出绩效自评表</w:t>
      </w:r>
    </w:p>
    <w:tbl>
      <w:tblPr>
        <w:tblStyle w:val="4"/>
        <w:tblW w:w="8928" w:type="dxa"/>
        <w:jc w:val="center"/>
        <w:tblLayout w:type="fixed"/>
        <w:tblCellMar>
          <w:top w:w="0" w:type="dxa"/>
          <w:left w:w="108" w:type="dxa"/>
          <w:bottom w:w="0" w:type="dxa"/>
          <w:right w:w="108" w:type="dxa"/>
        </w:tblCellMar>
      </w:tblPr>
      <w:tblGrid>
        <w:gridCol w:w="578"/>
        <w:gridCol w:w="963"/>
        <w:gridCol w:w="1092"/>
        <w:gridCol w:w="462"/>
        <w:gridCol w:w="960"/>
        <w:gridCol w:w="1395"/>
        <w:gridCol w:w="970"/>
        <w:gridCol w:w="277"/>
        <w:gridCol w:w="280"/>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spacing w:line="320" w:lineRule="exact"/>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（2024年度）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西城园管理系统升级改造（四期）</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390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西城园管委会（区科委）</w:t>
            </w: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西城园管委会（区科委）</w:t>
            </w: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（元）</w:t>
            </w: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ascii="宋体" w:hAnsi="宋体" w:eastAsia="宋体" w:cs="宋体"/>
                <w:kern w:val="0"/>
                <w:sz w:val="18"/>
                <w:szCs w:val="18"/>
              </w:rPr>
              <w:t>52900</w:t>
            </w: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52900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bookmarkStart w:id="0" w:name="_GoBack"/>
            <w:bookmarkEnd w:id="0"/>
          </w:p>
        </w:tc>
        <w:tc>
          <w:tcPr>
            <w:tcW w:w="13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52900</w:t>
            </w: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52900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5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487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47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367"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87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基于数字西城园创新服务平台已有成果，持续提升西城园数字化信息化建设水平，聚焦政策精准匹配服务，构建多层级标签体系，结合政策智能分析，精准推送惠企政策，主动为企业服务，打造新业态新模式下的企业创新服务载体。强化政策兑现，基于新修订的政策策略，建立从政策预约到资金兑付的全流程业务服务体系，优化业务办理流程，打造政策兑现的闭环管理服务能力，支撑西城园管委会社会治理能力和治理水平的提升。</w:t>
            </w:r>
          </w:p>
        </w:tc>
        <w:tc>
          <w:tcPr>
            <w:tcW w:w="347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14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3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97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16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系统开发数量</w:t>
            </w:r>
          </w:p>
        </w:tc>
        <w:tc>
          <w:tcPr>
            <w:tcW w:w="139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1套</w:t>
            </w:r>
          </w:p>
        </w:tc>
        <w:tc>
          <w:tcPr>
            <w:tcW w:w="970" w:type="dxa"/>
            <w:tcBorders>
              <w:top w:val="nil"/>
              <w:left w:val="nil"/>
              <w:bottom w:val="single" w:color="auto" w:sz="4" w:space="0"/>
              <w:right w:val="single" w:color="auto" w:sz="4" w:space="0"/>
            </w:tcBorders>
            <w:vAlign w:val="center"/>
          </w:tcPr>
          <w:p>
            <w:pPr>
              <w:widowControl/>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0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系统正常运行率</w:t>
            </w:r>
          </w:p>
        </w:tc>
        <w:tc>
          <w:tcPr>
            <w:tcW w:w="139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≥99.9%</w:t>
            </w:r>
          </w:p>
        </w:tc>
        <w:tc>
          <w:tcPr>
            <w:tcW w:w="97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0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系统故障率</w:t>
            </w:r>
          </w:p>
        </w:tc>
        <w:tc>
          <w:tcPr>
            <w:tcW w:w="139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≤0.1%</w:t>
            </w:r>
          </w:p>
        </w:tc>
        <w:tc>
          <w:tcPr>
            <w:tcW w:w="97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0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故障响应率</w:t>
            </w:r>
          </w:p>
        </w:tc>
        <w:tc>
          <w:tcPr>
            <w:tcW w:w="139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≥100%</w:t>
            </w:r>
          </w:p>
        </w:tc>
        <w:tc>
          <w:tcPr>
            <w:tcW w:w="97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4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验收时间</w:t>
            </w:r>
          </w:p>
        </w:tc>
        <w:tc>
          <w:tcPr>
            <w:tcW w:w="139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18个月</w:t>
            </w:r>
          </w:p>
        </w:tc>
        <w:tc>
          <w:tcPr>
            <w:tcW w:w="97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项目成本控制数</w:t>
            </w:r>
          </w:p>
        </w:tc>
        <w:tc>
          <w:tcPr>
            <w:tcW w:w="1395"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项目质量保障金5.29万元</w:t>
            </w:r>
          </w:p>
        </w:tc>
        <w:tc>
          <w:tcPr>
            <w:tcW w:w="97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9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推动西城园数据资源复用和价值挖掘水平提升</w:t>
            </w:r>
          </w:p>
        </w:tc>
        <w:tc>
          <w:tcPr>
            <w:tcW w:w="1395"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对现有的信息系统进行深入发掘，达到资源复用的目的。对于现有的应用系统，进行资源梳理和分析，厘清应用系统数据资源内容，从而为资源价值挖掘奠定基础。平台建成后，将形成适合西城园企业发展的数据综合管理体系和业务分析应用体系</w:t>
            </w:r>
          </w:p>
        </w:tc>
        <w:tc>
          <w:tcPr>
            <w:tcW w:w="970" w:type="dxa"/>
            <w:tcBorders>
              <w:top w:val="nil"/>
              <w:left w:val="nil"/>
              <w:bottom w:val="single" w:color="auto" w:sz="4" w:space="0"/>
              <w:right w:val="single" w:color="auto" w:sz="4" w:space="0"/>
            </w:tcBorders>
            <w:vAlign w:val="center"/>
          </w:tcPr>
          <w:p>
            <w:pPr>
              <w:widowControl/>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471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提升企业个性化服务水平和园区精细化管理能力</w:t>
            </w:r>
          </w:p>
        </w:tc>
        <w:tc>
          <w:tcPr>
            <w:tcW w:w="1395"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在研究、规划、实施过程中，将形成一套有益的方法、策略和经验，完成西城园信息化数字化持续提升的目标，为西城区园区精细化管理及发展规划等工作提供数据和业务支撑</w:t>
            </w:r>
          </w:p>
        </w:tc>
        <w:tc>
          <w:tcPr>
            <w:tcW w:w="970"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37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依托中关村西城园企业级数据资源整合成果，有效提升政府内部各部门间的协同监管能力，提高公共管理效率，降低公共管理成本</w:t>
            </w:r>
          </w:p>
        </w:tc>
        <w:tc>
          <w:tcPr>
            <w:tcW w:w="1395" w:type="dxa"/>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提高政务工作效率</w:t>
            </w:r>
          </w:p>
        </w:tc>
        <w:tc>
          <w:tcPr>
            <w:tcW w:w="970" w:type="dxa"/>
            <w:tcBorders>
              <w:top w:val="nil"/>
              <w:left w:val="nil"/>
              <w:bottom w:val="single" w:color="auto" w:sz="4" w:space="0"/>
              <w:right w:val="single" w:color="auto" w:sz="4" w:space="0"/>
            </w:tcBorders>
            <w:vAlign w:val="center"/>
          </w:tcPr>
          <w:p>
            <w:pPr>
              <w:widowControl/>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4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422"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 xml:space="preserve">使用部门对项目支撑情况表示满意 </w:t>
            </w:r>
          </w:p>
        </w:tc>
        <w:tc>
          <w:tcPr>
            <w:tcW w:w="139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20"/>
                <w:szCs w:val="20"/>
                <w:lang w:bidi="ar"/>
              </w:rPr>
              <w:t>≥90%</w:t>
            </w:r>
          </w:p>
        </w:tc>
        <w:tc>
          <w:tcPr>
            <w:tcW w:w="970" w:type="dxa"/>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bl>
    <w:p>
      <w:pPr>
        <w:spacing w:line="600" w:lineRule="exact"/>
        <w:rPr>
          <w:rFonts w:hint="eastAsia" w:ascii="宋体" w:hAnsi="宋体" w:eastAsia="宋体" w:cs="宋体"/>
          <w:b/>
          <w:color w:val="000000"/>
          <w:kern w:val="0"/>
          <w:sz w:val="22"/>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2787C"/>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1F8E"/>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05A"/>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189"/>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95B"/>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AAA"/>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10453A1"/>
    <w:rsid w:val="01440ADC"/>
    <w:rsid w:val="01D11E44"/>
    <w:rsid w:val="02B52BB1"/>
    <w:rsid w:val="03A72CD4"/>
    <w:rsid w:val="05244C04"/>
    <w:rsid w:val="06193E47"/>
    <w:rsid w:val="06FA078E"/>
    <w:rsid w:val="07213B0B"/>
    <w:rsid w:val="09C87C20"/>
    <w:rsid w:val="0A4727EA"/>
    <w:rsid w:val="0B1775CB"/>
    <w:rsid w:val="0C13545C"/>
    <w:rsid w:val="0C4D412E"/>
    <w:rsid w:val="0C600298"/>
    <w:rsid w:val="0D14337E"/>
    <w:rsid w:val="0DE447E7"/>
    <w:rsid w:val="10AB2DAE"/>
    <w:rsid w:val="126A672B"/>
    <w:rsid w:val="12B502A0"/>
    <w:rsid w:val="13032A63"/>
    <w:rsid w:val="13A861F8"/>
    <w:rsid w:val="13F56CD0"/>
    <w:rsid w:val="142F5081"/>
    <w:rsid w:val="149D4529"/>
    <w:rsid w:val="14D20038"/>
    <w:rsid w:val="14DB0B20"/>
    <w:rsid w:val="172C410D"/>
    <w:rsid w:val="184D6399"/>
    <w:rsid w:val="18875E34"/>
    <w:rsid w:val="18DA2CA2"/>
    <w:rsid w:val="192B37F7"/>
    <w:rsid w:val="19BB20A7"/>
    <w:rsid w:val="1B1279E0"/>
    <w:rsid w:val="1B1953F0"/>
    <w:rsid w:val="1BC4632B"/>
    <w:rsid w:val="1C4B33CC"/>
    <w:rsid w:val="1CEB17DB"/>
    <w:rsid w:val="1D1B071C"/>
    <w:rsid w:val="1D57134A"/>
    <w:rsid w:val="1E2E6CAE"/>
    <w:rsid w:val="1E3E0425"/>
    <w:rsid w:val="1FA74AFF"/>
    <w:rsid w:val="20913E67"/>
    <w:rsid w:val="22AD23EA"/>
    <w:rsid w:val="24573050"/>
    <w:rsid w:val="25BF4E46"/>
    <w:rsid w:val="2766790B"/>
    <w:rsid w:val="27F571A0"/>
    <w:rsid w:val="29897C68"/>
    <w:rsid w:val="2A340D54"/>
    <w:rsid w:val="2C4D0195"/>
    <w:rsid w:val="2C5940C2"/>
    <w:rsid w:val="2E9E7150"/>
    <w:rsid w:val="31A426E0"/>
    <w:rsid w:val="31D2423D"/>
    <w:rsid w:val="33DB119F"/>
    <w:rsid w:val="34763F0B"/>
    <w:rsid w:val="34855F02"/>
    <w:rsid w:val="352B2724"/>
    <w:rsid w:val="35FA480B"/>
    <w:rsid w:val="369D4069"/>
    <w:rsid w:val="376D6445"/>
    <w:rsid w:val="384343BA"/>
    <w:rsid w:val="3A981C1F"/>
    <w:rsid w:val="3B574912"/>
    <w:rsid w:val="3E585A2C"/>
    <w:rsid w:val="3F6F0374"/>
    <w:rsid w:val="4091503A"/>
    <w:rsid w:val="40C31235"/>
    <w:rsid w:val="41AF16F5"/>
    <w:rsid w:val="41F5284A"/>
    <w:rsid w:val="42194560"/>
    <w:rsid w:val="422528BB"/>
    <w:rsid w:val="43253B2E"/>
    <w:rsid w:val="44973C09"/>
    <w:rsid w:val="4661180D"/>
    <w:rsid w:val="466E125A"/>
    <w:rsid w:val="46C55D32"/>
    <w:rsid w:val="47D2250F"/>
    <w:rsid w:val="48617E73"/>
    <w:rsid w:val="48F778DE"/>
    <w:rsid w:val="4A6B022C"/>
    <w:rsid w:val="4A79049A"/>
    <w:rsid w:val="4ADD5D57"/>
    <w:rsid w:val="4B250F2D"/>
    <w:rsid w:val="4BED0BE3"/>
    <w:rsid w:val="4DE26B4B"/>
    <w:rsid w:val="4E245DE6"/>
    <w:rsid w:val="4F8A163C"/>
    <w:rsid w:val="51D63C2F"/>
    <w:rsid w:val="52363197"/>
    <w:rsid w:val="52E975ED"/>
    <w:rsid w:val="535C5332"/>
    <w:rsid w:val="53B95419"/>
    <w:rsid w:val="540F64F4"/>
    <w:rsid w:val="54A7463A"/>
    <w:rsid w:val="576704A0"/>
    <w:rsid w:val="58473F83"/>
    <w:rsid w:val="58C736B4"/>
    <w:rsid w:val="59213F27"/>
    <w:rsid w:val="594100E8"/>
    <w:rsid w:val="59944EE6"/>
    <w:rsid w:val="5AB72C45"/>
    <w:rsid w:val="5B4B1706"/>
    <w:rsid w:val="5C1C3C13"/>
    <w:rsid w:val="5C92385C"/>
    <w:rsid w:val="5CB15CB1"/>
    <w:rsid w:val="5D621C31"/>
    <w:rsid w:val="5D992EF0"/>
    <w:rsid w:val="5E6817EF"/>
    <w:rsid w:val="603121CB"/>
    <w:rsid w:val="618F234F"/>
    <w:rsid w:val="62675499"/>
    <w:rsid w:val="62952C7B"/>
    <w:rsid w:val="63EB7ACC"/>
    <w:rsid w:val="6457297F"/>
    <w:rsid w:val="647C087A"/>
    <w:rsid w:val="6514014A"/>
    <w:rsid w:val="685704E8"/>
    <w:rsid w:val="68A85D09"/>
    <w:rsid w:val="68BC62E9"/>
    <w:rsid w:val="69A2741A"/>
    <w:rsid w:val="6A462DBA"/>
    <w:rsid w:val="6B882A5F"/>
    <w:rsid w:val="6CCD532A"/>
    <w:rsid w:val="6E1246A2"/>
    <w:rsid w:val="6E9401A3"/>
    <w:rsid w:val="6F9A019A"/>
    <w:rsid w:val="6FB21742"/>
    <w:rsid w:val="7003164F"/>
    <w:rsid w:val="707D08F9"/>
    <w:rsid w:val="70E07A11"/>
    <w:rsid w:val="71C26DF7"/>
    <w:rsid w:val="723212AA"/>
    <w:rsid w:val="732B5740"/>
    <w:rsid w:val="74F11803"/>
    <w:rsid w:val="76F258B6"/>
    <w:rsid w:val="772419FF"/>
    <w:rsid w:val="78740059"/>
    <w:rsid w:val="791A035D"/>
    <w:rsid w:val="79CF77E3"/>
    <w:rsid w:val="7A461319"/>
    <w:rsid w:val="7AEF298A"/>
    <w:rsid w:val="7C1A0C1A"/>
    <w:rsid w:val="7E762BBE"/>
    <w:rsid w:val="7F7B1E8D"/>
    <w:rsid w:val="7FA20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170</Words>
  <Characters>970</Characters>
  <Lines>8</Lines>
  <Paragraphs>2</Paragraphs>
  <TotalTime>3</TotalTime>
  <ScaleCrop>false</ScaleCrop>
  <LinksUpToDate>false</LinksUpToDate>
  <CharactersWithSpaces>1138</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Biran</cp:lastModifiedBy>
  <dcterms:modified xsi:type="dcterms:W3CDTF">2025-08-29T04:27:42Z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50D1308E87A4486A9EB624B37E6C60D9</vt:lpwstr>
  </property>
</Properties>
</file>