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Spec="center" w:tblpY="625"/>
        <w:tblOverlap w:val="never"/>
        <w:tblW w:w="5081" w:type="pct"/>
        <w:jc w:val="center"/>
        <w:tblLayout w:type="autofit"/>
        <w:tblCellMar>
          <w:top w:w="0" w:type="dxa"/>
          <w:left w:w="108" w:type="dxa"/>
          <w:bottom w:w="0" w:type="dxa"/>
          <w:right w:w="108" w:type="dxa"/>
        </w:tblCellMar>
      </w:tblPr>
      <w:tblGrid>
        <w:gridCol w:w="970"/>
        <w:gridCol w:w="1210"/>
        <w:gridCol w:w="1409"/>
        <w:gridCol w:w="683"/>
        <w:gridCol w:w="1308"/>
        <w:gridCol w:w="239"/>
        <w:gridCol w:w="2973"/>
        <w:gridCol w:w="1438"/>
        <w:gridCol w:w="804"/>
        <w:gridCol w:w="190"/>
        <w:gridCol w:w="1023"/>
        <w:gridCol w:w="383"/>
        <w:gridCol w:w="861"/>
        <w:gridCol w:w="913"/>
      </w:tblGrid>
      <w:tr>
        <w:tblPrEx>
          <w:tblCellMar>
            <w:top w:w="0" w:type="dxa"/>
            <w:left w:w="108" w:type="dxa"/>
            <w:bottom w:w="0" w:type="dxa"/>
            <w:right w:w="108" w:type="dxa"/>
          </w:tblCellMar>
        </w:tblPrEx>
        <w:trPr>
          <w:trHeight w:val="405" w:hRule="atLeast"/>
          <w:jc w:val="center"/>
        </w:trPr>
        <w:tc>
          <w:tcPr>
            <w:tcW w:w="5000" w:type="pct"/>
            <w:gridSpan w:val="14"/>
            <w:tcBorders>
              <w:top w:val="nil"/>
              <w:left w:val="nil"/>
              <w:bottom w:val="nil"/>
              <w:right w:val="nil"/>
            </w:tcBorders>
            <w:vAlign w:val="center"/>
          </w:tcPr>
          <w:p>
            <w:pPr>
              <w:widowControl/>
              <w:jc w:val="center"/>
              <w:textAlignment w:val="center"/>
              <w:rPr>
                <w:rFonts w:hint="eastAsia" w:ascii="宋体" w:hAnsi="宋体" w:eastAsia="宋体" w:cs="宋体"/>
                <w:b/>
                <w:bCs/>
                <w:color w:val="000000"/>
                <w:sz w:val="32"/>
                <w:szCs w:val="32"/>
              </w:rPr>
            </w:pPr>
            <w:r>
              <w:rPr>
                <w:rFonts w:hint="eastAsia" w:ascii="宋体" w:hAnsi="宋体" w:eastAsia="宋体" w:cs="宋体"/>
                <w:b/>
                <w:bCs/>
                <w:color w:val="000000"/>
                <w:kern w:val="0"/>
                <w:sz w:val="32"/>
                <w:szCs w:val="32"/>
                <w:lang w:bidi="ar"/>
              </w:rPr>
              <w:t>项目支出绩效自评表</w:t>
            </w:r>
          </w:p>
        </w:tc>
      </w:tr>
      <w:tr>
        <w:tblPrEx>
          <w:tblCellMar>
            <w:top w:w="0" w:type="dxa"/>
            <w:left w:w="108" w:type="dxa"/>
            <w:bottom w:w="0" w:type="dxa"/>
            <w:right w:w="108" w:type="dxa"/>
          </w:tblCellMar>
        </w:tblPrEx>
        <w:trPr>
          <w:trHeight w:val="300" w:hRule="atLeast"/>
          <w:jc w:val="center"/>
        </w:trPr>
        <w:tc>
          <w:tcPr>
            <w:tcW w:w="5000" w:type="pct"/>
            <w:gridSpan w:val="14"/>
            <w:tcBorders>
              <w:top w:val="nil"/>
              <w:left w:val="nil"/>
              <w:bottom w:val="nil"/>
              <w:right w:val="nil"/>
            </w:tcBorders>
          </w:tcPr>
          <w:p>
            <w:pPr>
              <w:widowControl/>
              <w:jc w:val="center"/>
              <w:textAlignment w:val="top"/>
              <w:rPr>
                <w:rFonts w:hint="eastAsia" w:ascii="宋体" w:hAnsi="宋体" w:eastAsia="宋体" w:cs="宋体"/>
                <w:color w:val="000000"/>
                <w:sz w:val="22"/>
              </w:rPr>
            </w:pPr>
            <w:r>
              <w:rPr>
                <w:rFonts w:hint="eastAsia" w:ascii="宋体" w:hAnsi="宋体" w:eastAsia="宋体" w:cs="宋体"/>
                <w:color w:val="000000"/>
                <w:kern w:val="0"/>
                <w:sz w:val="22"/>
                <w:lang w:bidi="ar"/>
              </w:rPr>
              <w:t>（2024年度）</w:t>
            </w:r>
          </w:p>
        </w:tc>
      </w:tr>
      <w:tr>
        <w:tblPrEx>
          <w:tblCellMar>
            <w:top w:w="0" w:type="dxa"/>
            <w:left w:w="108" w:type="dxa"/>
            <w:bottom w:w="0" w:type="dxa"/>
            <w:right w:w="108" w:type="dxa"/>
          </w:tblCellMar>
        </w:tblPrEx>
        <w:trPr>
          <w:trHeight w:val="300" w:hRule="atLeast"/>
          <w:jc w:val="center"/>
        </w:trPr>
        <w:tc>
          <w:tcPr>
            <w:tcW w:w="75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项目名称</w:t>
            </w:r>
          </w:p>
        </w:tc>
        <w:tc>
          <w:tcPr>
            <w:tcW w:w="4242" w:type="pct"/>
            <w:gridSpan w:val="1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法律服务费</w:t>
            </w:r>
          </w:p>
        </w:tc>
      </w:tr>
      <w:tr>
        <w:tblPrEx>
          <w:tblCellMar>
            <w:top w:w="0" w:type="dxa"/>
            <w:left w:w="108" w:type="dxa"/>
            <w:bottom w:w="0" w:type="dxa"/>
            <w:right w:w="108" w:type="dxa"/>
          </w:tblCellMar>
        </w:tblPrEx>
        <w:trPr>
          <w:trHeight w:val="300" w:hRule="atLeast"/>
          <w:jc w:val="center"/>
        </w:trPr>
        <w:tc>
          <w:tcPr>
            <w:tcW w:w="75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主管部门</w:t>
            </w:r>
          </w:p>
        </w:tc>
        <w:tc>
          <w:tcPr>
            <w:tcW w:w="2295"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kern w:val="0"/>
                <w:sz w:val="18"/>
                <w:szCs w:val="18"/>
              </w:rPr>
              <w:t>西城园管委会（区科委）</w:t>
            </w: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实施单位</w:t>
            </w:r>
          </w:p>
        </w:tc>
        <w:tc>
          <w:tcPr>
            <w:tcW w:w="1169" w:type="pct"/>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西城园管委会（区科委）</w:t>
            </w:r>
          </w:p>
        </w:tc>
      </w:tr>
      <w:tr>
        <w:tblPrEx>
          <w:tblCellMar>
            <w:top w:w="0" w:type="dxa"/>
            <w:left w:w="108" w:type="dxa"/>
            <w:bottom w:w="0" w:type="dxa"/>
            <w:right w:w="108" w:type="dxa"/>
          </w:tblCellMar>
        </w:tblPrEx>
        <w:trPr>
          <w:trHeight w:val="300" w:hRule="atLeast"/>
          <w:jc w:val="center"/>
        </w:trPr>
        <w:tc>
          <w:tcPr>
            <w:tcW w:w="757"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项目资金（万元）</w:t>
            </w:r>
          </w:p>
        </w:tc>
        <w:tc>
          <w:tcPr>
            <w:tcW w:w="726"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5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p>
        </w:tc>
        <w:tc>
          <w:tcPr>
            <w:tcW w:w="1114"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全年预算数</w:t>
            </w: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全年执行数</w:t>
            </w:r>
          </w:p>
        </w:tc>
        <w:tc>
          <w:tcPr>
            <w:tcW w:w="42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分值</w:t>
            </w:r>
          </w:p>
        </w:tc>
        <w:tc>
          <w:tcPr>
            <w:tcW w:w="432"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执行率</w:t>
            </w:r>
          </w:p>
        </w:tc>
        <w:tc>
          <w:tcPr>
            <w:tcW w:w="3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tblPrEx>
          <w:tblCellMar>
            <w:top w:w="0" w:type="dxa"/>
            <w:left w:w="108" w:type="dxa"/>
            <w:bottom w:w="0" w:type="dxa"/>
            <w:right w:w="108" w:type="dxa"/>
          </w:tblCellMar>
        </w:tblPrEx>
        <w:trPr>
          <w:trHeight w:val="300" w:hRule="atLeast"/>
          <w:jc w:val="center"/>
        </w:trPr>
        <w:tc>
          <w:tcPr>
            <w:tcW w:w="75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26" w:type="pct"/>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年度资金总额</w:t>
            </w:r>
          </w:p>
        </w:tc>
        <w:tc>
          <w:tcPr>
            <w:tcW w:w="45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p>
        </w:tc>
        <w:tc>
          <w:tcPr>
            <w:tcW w:w="1114"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10万</w:t>
            </w: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10万</w:t>
            </w:r>
          </w:p>
        </w:tc>
        <w:tc>
          <w:tcPr>
            <w:tcW w:w="42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32"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3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108" w:type="dxa"/>
            <w:bottom w:w="0" w:type="dxa"/>
            <w:right w:w="108" w:type="dxa"/>
          </w:tblCellMar>
        </w:tblPrEx>
        <w:trPr>
          <w:trHeight w:val="300" w:hRule="atLeast"/>
          <w:jc w:val="center"/>
        </w:trPr>
        <w:tc>
          <w:tcPr>
            <w:tcW w:w="75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2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其中：当年财政拨款</w:t>
            </w:r>
          </w:p>
        </w:tc>
        <w:tc>
          <w:tcPr>
            <w:tcW w:w="45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bookmarkStart w:id="0" w:name="_GoBack"/>
            <w:bookmarkEnd w:id="0"/>
          </w:p>
        </w:tc>
        <w:tc>
          <w:tcPr>
            <w:tcW w:w="1114"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10万</w:t>
            </w: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10万</w:t>
            </w:r>
          </w:p>
        </w:tc>
        <w:tc>
          <w:tcPr>
            <w:tcW w:w="42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32"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3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0" w:type="dxa"/>
            <w:left w:w="108" w:type="dxa"/>
            <w:bottom w:w="0" w:type="dxa"/>
            <w:right w:w="108" w:type="dxa"/>
          </w:tblCellMar>
        </w:tblPrEx>
        <w:trPr>
          <w:trHeight w:val="300" w:hRule="atLeast"/>
          <w:jc w:val="center"/>
        </w:trPr>
        <w:tc>
          <w:tcPr>
            <w:tcW w:w="75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26" w:type="pct"/>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r>
              <w:rPr>
                <w:rStyle w:val="8"/>
                <w:rFonts w:hint="default"/>
                <w:lang w:bidi="ar"/>
              </w:rPr>
              <w:t>上年结转资金</w:t>
            </w:r>
          </w:p>
        </w:tc>
        <w:tc>
          <w:tcPr>
            <w:tcW w:w="45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111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32"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3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0" w:type="dxa"/>
            <w:left w:w="108" w:type="dxa"/>
            <w:bottom w:w="0" w:type="dxa"/>
            <w:right w:w="108" w:type="dxa"/>
          </w:tblCellMar>
        </w:tblPrEx>
        <w:trPr>
          <w:trHeight w:val="300" w:hRule="atLeast"/>
          <w:jc w:val="center"/>
        </w:trPr>
        <w:tc>
          <w:tcPr>
            <w:tcW w:w="75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2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Style w:val="8"/>
                <w:rFonts w:hint="default"/>
                <w:lang w:bidi="ar"/>
              </w:rPr>
              <w:t>其他资金</w:t>
            </w:r>
          </w:p>
        </w:tc>
        <w:tc>
          <w:tcPr>
            <w:tcW w:w="45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1114"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777"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1"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432"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3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0" w:type="dxa"/>
            <w:left w:w="108" w:type="dxa"/>
            <w:bottom w:w="0" w:type="dxa"/>
            <w:right w:w="108" w:type="dxa"/>
          </w:tblCellMar>
        </w:tblPrEx>
        <w:trPr>
          <w:trHeight w:val="300" w:hRule="atLeast"/>
          <w:jc w:val="center"/>
        </w:trPr>
        <w:tc>
          <w:tcPr>
            <w:tcW w:w="337"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年度总体目标</w:t>
            </w:r>
          </w:p>
        </w:tc>
        <w:tc>
          <w:tcPr>
            <w:tcW w:w="2715" w:type="pct"/>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预期目标</w:t>
            </w:r>
          </w:p>
        </w:tc>
        <w:tc>
          <w:tcPr>
            <w:tcW w:w="1947" w:type="pct"/>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实际完成情况</w:t>
            </w:r>
          </w:p>
        </w:tc>
      </w:tr>
      <w:tr>
        <w:tblPrEx>
          <w:tblCellMar>
            <w:top w:w="0" w:type="dxa"/>
            <w:left w:w="108" w:type="dxa"/>
            <w:bottom w:w="0" w:type="dxa"/>
            <w:right w:w="108" w:type="dxa"/>
          </w:tblCellMar>
        </w:tblPrEx>
        <w:trPr>
          <w:trHeight w:val="234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2715" w:type="pct"/>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目标1：推进法治政府建设，提供法律保障</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目标2：日常运转涉及的一系列政府工作规定、外部服务企业涉及的相关产业政策等给予专业法律服务</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 目标3：园区业务发展和维护自身利益的需要，对西城园管委会重大决策、规范性文件、行政行为及签订合同等具 体业务提供专业法律意</w:t>
            </w:r>
          </w:p>
        </w:tc>
        <w:tc>
          <w:tcPr>
            <w:tcW w:w="1947" w:type="pct"/>
            <w:gridSpan w:val="7"/>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全面推进法治政府建设，通过培训、审查等提供法律保障，行政行为零败诉；为政府日常运转及外部企业设计的相关产业政策等给与提供法律服务，审核文件、评估风险，无政策纠纷；围绕园区需求提供专项支持，参与决策、审核文件及合同，防范风险，保障权益。</w:t>
            </w:r>
          </w:p>
          <w:p>
            <w:pPr>
              <w:widowControl/>
              <w:jc w:val="left"/>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300" w:hRule="atLeast"/>
          <w:jc w:val="center"/>
        </w:trPr>
        <w:tc>
          <w:tcPr>
            <w:tcW w:w="337"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绩</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效</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指</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标</w:t>
            </w:r>
          </w:p>
        </w:tc>
        <w:tc>
          <w:tcPr>
            <w:tcW w:w="420"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一级指标</w:t>
            </w:r>
          </w:p>
        </w:tc>
        <w:tc>
          <w:tcPr>
            <w:tcW w:w="489"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二级指标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三级指标</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年度指标值</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实际完成值</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分值</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得分</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偏差原因分析及改进措施</w:t>
            </w: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产出指标</w:t>
            </w:r>
          </w:p>
        </w:tc>
        <w:tc>
          <w:tcPr>
            <w:tcW w:w="48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数量指标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指标1：律师团队配备</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专业律师团队负责管委会法务工作</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指标2：工作效率</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及时有效审议答复，一般三个工作日</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1125"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质量指标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指标1：服务于西城园园区企业，改善西城园管委会办公服务环境</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专业队伍对我委内部日常运转涉及的一系列政府工作规定、外部服务企业涉及的相关产业政策等给予专业法律服务，保障西城园管委会高效履职。</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5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时效指标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指标1：合同约定时间</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按合同约定，主任会审议后按照合同约定时间支出</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27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成本指标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指标1：三方比价同类行业</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10万元每年</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20</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20</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效益指标</w:t>
            </w:r>
          </w:p>
        </w:tc>
        <w:tc>
          <w:tcPr>
            <w:tcW w:w="489" w:type="pct"/>
            <w:vMerge w:val="restart"/>
            <w:tcBorders>
              <w:top w:val="single" w:color="000000" w:sz="4" w:space="0"/>
              <w:left w:val="single" w:color="000000" w:sz="4" w:space="0"/>
              <w:bottom w:val="nil"/>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经济效益指标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指标1：推进“法治政府”建设</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发挥法律专业人才协助管委会全面推进依法行政中的作用</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continue"/>
            <w:tcBorders>
              <w:top w:val="single" w:color="000000" w:sz="4" w:space="0"/>
              <w:left w:val="single" w:color="000000" w:sz="4" w:space="0"/>
              <w:bottom w:val="nil"/>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指标2：坚持依法行政</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依法行政、高效履职、精准服务</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144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restart"/>
            <w:tcBorders>
              <w:top w:val="single" w:color="000000" w:sz="4" w:space="0"/>
              <w:left w:val="single" w:color="000000" w:sz="4" w:space="0"/>
              <w:bottom w:val="nil"/>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社会效益指标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指标1：提供法律保障</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依法行政、高效履职、精准服务随园区业务发展和维护自身利益的需要，对管委会重大决策、规范性文件、行政行为及签订合同等具体业务提供专业法律意见建议</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96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continue"/>
            <w:tcBorders>
              <w:top w:val="single" w:color="000000" w:sz="4" w:space="0"/>
              <w:left w:val="single" w:color="000000" w:sz="4" w:space="0"/>
              <w:bottom w:val="nil"/>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指标2：提升法律服务能力</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会同区相关部门开展政策宣传、培训和咨询指导，帮助企业提高财务和统计化水平，更好享受各级优惠政策</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120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可持续影响指标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指标1：营造法律保护意识</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法律服务对我委内部日常运转涉及的一系列政府工作规定、外部服务企业涉及的相关产业政策等给予专业法律服务，保障管委会高效履职。</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指标2：加强依法实施和评估</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依法行政和法治保障，协调解决实施过程中遇到的问题</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8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满意度指标</w:t>
            </w:r>
          </w:p>
        </w:tc>
        <w:tc>
          <w:tcPr>
            <w:tcW w:w="48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服务对象满意度指标</w:t>
            </w: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指标1：为法治政府建设，提供法律保障</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做到位有法可依，有法必依，满意度达到100%</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450" w:hRule="atLeast"/>
          <w:jc w:val="center"/>
        </w:trPr>
        <w:tc>
          <w:tcPr>
            <w:tcW w:w="337"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rPr>
            </w:pPr>
          </w:p>
        </w:tc>
        <w:tc>
          <w:tcPr>
            <w:tcW w:w="42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48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774"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指标2：坚持依法行政</w:t>
            </w:r>
          </w:p>
        </w:tc>
        <w:tc>
          <w:tcPr>
            <w:tcW w:w="1032"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高效履职、精准服务满意度达到100%</w:t>
            </w:r>
          </w:p>
        </w:tc>
        <w:tc>
          <w:tcPr>
            <w:tcW w:w="498" w:type="pc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完成</w:t>
            </w:r>
          </w:p>
        </w:tc>
        <w:tc>
          <w:tcPr>
            <w:tcW w:w="34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w:t>
            </w:r>
          </w:p>
        </w:tc>
        <w:tc>
          <w:tcPr>
            <w:tcW w:w="488"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w:t>
            </w:r>
          </w:p>
        </w:tc>
        <w:tc>
          <w:tcPr>
            <w:tcW w:w="615"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hint="eastAsia" w:asciiTheme="minorEastAsia" w:hAnsiTheme="minorEastAsia" w:cstheme="minorEastAsia"/>
                <w:color w:val="000000"/>
                <w:sz w:val="18"/>
                <w:szCs w:val="18"/>
              </w:rPr>
            </w:pPr>
          </w:p>
        </w:tc>
      </w:tr>
      <w:tr>
        <w:tblPrEx>
          <w:tblCellMar>
            <w:top w:w="0" w:type="dxa"/>
            <w:left w:w="108" w:type="dxa"/>
            <w:bottom w:w="0" w:type="dxa"/>
            <w:right w:w="108" w:type="dxa"/>
          </w:tblCellMar>
        </w:tblPrEx>
        <w:trPr>
          <w:trHeight w:val="285" w:hRule="atLeast"/>
          <w:jc w:val="center"/>
        </w:trPr>
        <w:tc>
          <w:tcPr>
            <w:tcW w:w="3551" w:type="pct"/>
            <w:gridSpan w:val="8"/>
            <w:tcBorders>
              <w:top w:val="nil"/>
              <w:left w:val="single" w:color="000000" w:sz="8" w:space="0"/>
              <w:bottom w:val="single" w:color="000000" w:sz="8" w:space="0"/>
              <w:right w:val="single" w:color="000000" w:sz="8"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总分</w:t>
            </w:r>
          </w:p>
        </w:tc>
        <w:tc>
          <w:tcPr>
            <w:tcW w:w="345" w:type="pct"/>
            <w:gridSpan w:val="2"/>
            <w:tcBorders>
              <w:top w:val="nil"/>
              <w:left w:val="nil"/>
              <w:bottom w:val="single" w:color="000000" w:sz="8" w:space="0"/>
              <w:right w:val="single" w:color="000000" w:sz="8" w:space="0"/>
            </w:tcBorders>
            <w:vAlign w:val="center"/>
          </w:tcPr>
          <w:p>
            <w:pPr>
              <w:widowControl/>
              <w:spacing w:line="320" w:lineRule="exact"/>
              <w:jc w:val="center"/>
              <w:textAlignment w:val="center"/>
              <w:rPr>
                <w:rFonts w:hint="eastAsia"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100</w:t>
            </w:r>
          </w:p>
        </w:tc>
        <w:tc>
          <w:tcPr>
            <w:tcW w:w="488" w:type="pct"/>
            <w:gridSpan w:val="2"/>
            <w:tcBorders>
              <w:top w:val="nil"/>
              <w:left w:val="nil"/>
              <w:bottom w:val="single" w:color="000000" w:sz="8" w:space="0"/>
              <w:right w:val="single" w:color="000000" w:sz="8" w:space="0"/>
            </w:tcBorders>
            <w:vAlign w:val="center"/>
          </w:tcPr>
          <w:p>
            <w:pPr>
              <w:widowControl/>
              <w:spacing w:line="320" w:lineRule="exact"/>
              <w:jc w:val="center"/>
              <w:rPr>
                <w:rFonts w:hint="eastAsia" w:asciiTheme="minorEastAsia" w:hAnsiTheme="minorEastAsia" w:cstheme="minorEastAsia"/>
                <w:color w:val="000000"/>
                <w:sz w:val="18"/>
                <w:szCs w:val="18"/>
              </w:rPr>
            </w:pPr>
          </w:p>
        </w:tc>
        <w:tc>
          <w:tcPr>
            <w:tcW w:w="615" w:type="pct"/>
            <w:gridSpan w:val="2"/>
            <w:tcBorders>
              <w:top w:val="nil"/>
              <w:left w:val="nil"/>
              <w:bottom w:val="single" w:color="000000" w:sz="8" w:space="0"/>
              <w:right w:val="single" w:color="000000" w:sz="8" w:space="0"/>
            </w:tcBorders>
            <w:noWrap/>
            <w:vAlign w:val="center"/>
          </w:tcPr>
          <w:p>
            <w:pPr>
              <w:widowControl/>
              <w:spacing w:line="320" w:lineRule="exact"/>
              <w:rPr>
                <w:rFonts w:hint="eastAsia" w:asciiTheme="minorEastAsia" w:hAnsiTheme="minorEastAsia" w:cstheme="minorEastAsia"/>
                <w:color w:val="000000"/>
                <w:sz w:val="18"/>
                <w:szCs w:val="18"/>
              </w:rPr>
            </w:pPr>
          </w:p>
        </w:tc>
      </w:tr>
    </w:tbl>
    <w:p>
      <w:pPr>
        <w:spacing w:line="600" w:lineRule="exact"/>
        <w:rPr>
          <w:rFonts w:hint="eastAsia" w:ascii="宋体" w:hAnsi="宋体" w:eastAsia="宋体" w:cs="宋体"/>
          <w:b/>
          <w:color w:val="000000"/>
          <w:kern w:val="0"/>
          <w:sz w:val="22"/>
          <w:szCs w:val="24"/>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27F28"/>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4F93"/>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D2F"/>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37E65"/>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9C87C20"/>
    <w:rsid w:val="4BED0BE3"/>
    <w:rsid w:val="4D2C10DC"/>
    <w:rsid w:val="6B423169"/>
    <w:rsid w:val="6C224E86"/>
    <w:rsid w:val="75D05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font31"/>
    <w:basedOn w:val="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202</Words>
  <Characters>1158</Characters>
  <Lines>9</Lines>
  <Paragraphs>2</Paragraphs>
  <TotalTime>1</TotalTime>
  <ScaleCrop>false</ScaleCrop>
  <LinksUpToDate>false</LinksUpToDate>
  <CharactersWithSpaces>1358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Biran</cp:lastModifiedBy>
  <dcterms:modified xsi:type="dcterms:W3CDTF">2025-08-29T04:21:56Z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FA2D957608DD4A72AC5B38112950BA93</vt:lpwstr>
  </property>
</Properties>
</file>