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928" w:type="dxa"/>
        <w:jc w:val="center"/>
        <w:tblInd w:w="0" w:type="dxa"/>
        <w:tblLayout w:type="fixed"/>
        <w:tblCellMar>
          <w:top w:w="0" w:type="dxa"/>
          <w:left w:w="108" w:type="dxa"/>
          <w:bottom w:w="0" w:type="dxa"/>
          <w:right w:w="108" w:type="dxa"/>
        </w:tblCellMar>
      </w:tblPr>
      <w:tblGrid>
        <w:gridCol w:w="578"/>
        <w:gridCol w:w="894"/>
        <w:gridCol w:w="1161"/>
        <w:gridCol w:w="729"/>
        <w:gridCol w:w="1170"/>
        <w:gridCol w:w="60"/>
        <w:gridCol w:w="915"/>
        <w:gridCol w:w="1020"/>
        <w:gridCol w:w="170"/>
        <w:gridCol w:w="280"/>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tblPrEx>
          <w:tblLayout w:type="fixed"/>
          <w:tblCellMar>
            <w:top w:w="0" w:type="dxa"/>
            <w:left w:w="108" w:type="dxa"/>
            <w:bottom w:w="0" w:type="dxa"/>
            <w:right w:w="108" w:type="dxa"/>
          </w:tblCellMar>
        </w:tblPrEx>
        <w:trPr>
          <w:trHeight w:val="291" w:hRule="exact"/>
          <w:jc w:val="center"/>
        </w:trPr>
        <w:tc>
          <w:tcPr>
            <w:tcW w:w="147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45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规范化建设经费</w:t>
            </w:r>
          </w:p>
        </w:tc>
      </w:tr>
      <w:tr>
        <w:tblPrEx>
          <w:tblLayout w:type="fixed"/>
          <w:tblCellMar>
            <w:top w:w="0" w:type="dxa"/>
            <w:left w:w="108" w:type="dxa"/>
            <w:bottom w:w="0" w:type="dxa"/>
            <w:right w:w="108" w:type="dxa"/>
          </w:tblCellMar>
        </w:tblPrEx>
        <w:trPr>
          <w:trHeight w:val="589" w:hRule="exact"/>
          <w:jc w:val="center"/>
        </w:trPr>
        <w:tc>
          <w:tcPr>
            <w:tcW w:w="147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03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北京市西城区市场监督管理局</w:t>
            </w:r>
          </w:p>
        </w:tc>
        <w:tc>
          <w:tcPr>
            <w:tcW w:w="119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highlight w:val="none"/>
                <w:lang w:eastAsia="zh-CN"/>
              </w:rPr>
              <w:t>北京市西城区市场监督管理局</w:t>
            </w:r>
          </w:p>
        </w:tc>
      </w:tr>
      <w:tr>
        <w:tblPrEx>
          <w:tblLayout w:type="fixed"/>
          <w:tblCellMar>
            <w:top w:w="0" w:type="dxa"/>
            <w:left w:w="108" w:type="dxa"/>
            <w:bottom w:w="0" w:type="dxa"/>
            <w:right w:w="108" w:type="dxa"/>
          </w:tblCellMar>
        </w:tblPrEx>
        <w:trPr>
          <w:trHeight w:val="291" w:hRule="exact"/>
          <w:jc w:val="center"/>
        </w:trPr>
        <w:tc>
          <w:tcPr>
            <w:tcW w:w="147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9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19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47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9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15.625367</w:t>
            </w:r>
          </w:p>
        </w:tc>
        <w:tc>
          <w:tcPr>
            <w:tcW w:w="11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15.625367</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val="en-US" w:eastAsia="zh-CN"/>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47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9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15.625367</w:t>
            </w:r>
          </w:p>
        </w:tc>
        <w:tc>
          <w:tcPr>
            <w:tcW w:w="11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15.625367</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val="en-US" w:eastAsia="zh-CN"/>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47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47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492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379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29"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highlight w:val="none"/>
              </w:rPr>
              <w:t>为落实市场监管总局关于加强市场监督管理所标准化规范化建设的指导意见，全面推进市场监督管理所标准化规范化建设，完善和健全市场监管所工作标准体系，推动基层治理能力和水平全面提升，更好地服务</w:t>
            </w:r>
            <w:bookmarkStart w:id="0" w:name="OLE_LINK2"/>
            <w:r>
              <w:rPr>
                <w:rFonts w:hint="eastAsia" w:ascii="宋体" w:hAnsi="宋体" w:eastAsia="宋体" w:cs="宋体"/>
                <w:kern w:val="0"/>
                <w:sz w:val="18"/>
                <w:szCs w:val="18"/>
                <w:highlight w:val="none"/>
                <w:lang w:eastAsia="zh-CN"/>
              </w:rPr>
              <w:t>群众及区域发展</w:t>
            </w:r>
            <w:r>
              <w:rPr>
                <w:rFonts w:hint="eastAsia" w:ascii="宋体" w:hAnsi="宋体" w:eastAsia="宋体" w:cs="宋体"/>
                <w:kern w:val="0"/>
                <w:sz w:val="18"/>
                <w:szCs w:val="18"/>
                <w:highlight w:val="none"/>
              </w:rPr>
              <w:t>。</w:t>
            </w:r>
            <w:bookmarkEnd w:id="0"/>
          </w:p>
        </w:tc>
        <w:tc>
          <w:tcPr>
            <w:tcW w:w="34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达到</w:t>
            </w:r>
            <w:bookmarkStart w:id="1" w:name="_GoBack"/>
            <w:bookmarkEnd w:id="1"/>
            <w:r>
              <w:rPr>
                <w:rFonts w:hint="eastAsia" w:ascii="宋体" w:hAnsi="宋体" w:eastAsia="宋体" w:cs="宋体"/>
                <w:kern w:val="0"/>
                <w:sz w:val="18"/>
                <w:szCs w:val="18"/>
                <w:lang w:val="en-US" w:eastAsia="zh-CN"/>
              </w:rPr>
              <w:t>预期目标。</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8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11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 完成率</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90%</w:t>
            </w: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kern w:val="0"/>
                <w:sz w:val="18"/>
                <w:szCs w:val="18"/>
                <w:lang w:val="en-US" w:eastAsia="zh-CN"/>
              </w:rPr>
              <w:t>100%</w:t>
            </w: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6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指标1：支出费用</w:t>
            </w:r>
            <w:r>
              <w:rPr>
                <w:rFonts w:hint="eastAsia" w:ascii="宋体" w:hAnsi="宋体" w:eastAsia="宋体" w:cs="宋体"/>
                <w:color w:val="000000"/>
                <w:kern w:val="0"/>
                <w:sz w:val="18"/>
                <w:szCs w:val="18"/>
                <w:lang w:eastAsia="zh-CN"/>
              </w:rPr>
              <w:t>小于等于</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16万元</w:t>
            </w: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rPr>
            </w:pPr>
            <w:r>
              <w:rPr>
                <w:rFonts w:hint="eastAsia" w:ascii="宋体" w:hAnsi="宋体" w:eastAsia="宋体" w:cs="宋体"/>
                <w:kern w:val="0"/>
                <w:sz w:val="18"/>
                <w:szCs w:val="18"/>
                <w:lang w:val="en-US" w:eastAsia="zh-CN"/>
              </w:rPr>
              <w:t>15.625367万元</w:t>
            </w: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1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指标1：打造职责清晰、功能齐全、运转协调、履职高效的市场监管所</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有效</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有效</w:t>
            </w:r>
          </w:p>
        </w:tc>
        <w:tc>
          <w:tcPr>
            <w:tcW w:w="4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9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0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5"/>
                <w:szCs w:val="15"/>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5"/>
                <w:szCs w:val="15"/>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5"/>
                <w:szCs w:val="15"/>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6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p>
        </w:tc>
        <w:tc>
          <w:tcPr>
            <w:tcW w:w="10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p>
        </w:tc>
        <w:tc>
          <w:tcPr>
            <w:tcW w:w="4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9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52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spacing w:line="600" w:lineRule="exact"/>
        <w:rPr>
          <w:rFonts w:ascii="宋体" w:hAnsi="宋体" w:eastAsia="宋体" w:cs="宋体"/>
          <w:b/>
          <w:color w:val="000000"/>
          <w:kern w:val="0"/>
          <w:sz w:val="22"/>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3676184"/>
    <w:rsid w:val="08A15E0B"/>
    <w:rsid w:val="0AB37889"/>
    <w:rsid w:val="0CB369C4"/>
    <w:rsid w:val="14217232"/>
    <w:rsid w:val="152E2651"/>
    <w:rsid w:val="198C0E7F"/>
    <w:rsid w:val="1A0C27A9"/>
    <w:rsid w:val="22CE0782"/>
    <w:rsid w:val="28D57A6D"/>
    <w:rsid w:val="2DB3415B"/>
    <w:rsid w:val="2DDC4473"/>
    <w:rsid w:val="30194BD8"/>
    <w:rsid w:val="315C0F78"/>
    <w:rsid w:val="323F207C"/>
    <w:rsid w:val="32F42296"/>
    <w:rsid w:val="353C15B4"/>
    <w:rsid w:val="36E669E3"/>
    <w:rsid w:val="372B1D4F"/>
    <w:rsid w:val="37F069E5"/>
    <w:rsid w:val="38275444"/>
    <w:rsid w:val="383A6FB5"/>
    <w:rsid w:val="3A0C7CEF"/>
    <w:rsid w:val="3D592FFB"/>
    <w:rsid w:val="43AF4BC9"/>
    <w:rsid w:val="4858459B"/>
    <w:rsid w:val="4A5D5095"/>
    <w:rsid w:val="4BCE432E"/>
    <w:rsid w:val="506F5872"/>
    <w:rsid w:val="50997226"/>
    <w:rsid w:val="528F7B3D"/>
    <w:rsid w:val="55177674"/>
    <w:rsid w:val="55BA7A06"/>
    <w:rsid w:val="578014F7"/>
    <w:rsid w:val="5B7B3565"/>
    <w:rsid w:val="5C58266D"/>
    <w:rsid w:val="5FEC3EAA"/>
    <w:rsid w:val="6B00613B"/>
    <w:rsid w:val="70EE25C1"/>
    <w:rsid w:val="7A717950"/>
    <w:rsid w:val="7F9D2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line="560" w:lineRule="exact"/>
      <w:ind w:firstLine="880" w:firstLineChars="200"/>
    </w:pPr>
    <w:rPr>
      <w:rFonts w:ascii="仿宋_GB2312" w:hAnsi="仿宋_GB2312" w:eastAsia="仿宋_GB2312"/>
      <w:kern w:val="1"/>
      <w:sz w:val="32"/>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175</Words>
  <Characters>1002</Characters>
  <Lines>8</Lines>
  <Paragraphs>2</Paragraphs>
  <TotalTime>30</TotalTime>
  <ScaleCrop>false</ScaleCrop>
  <LinksUpToDate>false</LinksUpToDate>
  <CharactersWithSpaces>1175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计财科</cp:lastModifiedBy>
  <cp:lastPrinted>2025-08-27T06:07:00Z</cp:lastPrinted>
  <dcterms:modified xsi:type="dcterms:W3CDTF">2025-08-28T11:09:39Z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