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2"/>
          <w:szCs w:val="3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黑体" w:eastAsia="黑体"/>
          <w:b/>
          <w:sz w:val="28"/>
          <w:szCs w:val="28"/>
        </w:rPr>
      </w:pPr>
      <w:r>
        <w:rPr>
          <w:rFonts w:hint="eastAsia" w:ascii="黑体" w:eastAsia="黑体"/>
          <w:b/>
          <w:sz w:val="28"/>
          <w:szCs w:val="28"/>
        </w:rPr>
        <w:t>一、部门基本情况</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（一）机构</w:t>
      </w:r>
      <w:r>
        <w:rPr>
          <w:rFonts w:ascii="仿宋_GB2312" w:eastAsia="仿宋_GB2312"/>
          <w:sz w:val="28"/>
          <w:szCs w:val="28"/>
        </w:rPr>
        <w:t>设置、</w:t>
      </w:r>
      <w:r>
        <w:rPr>
          <w:rFonts w:hint="eastAsia" w:ascii="仿宋_GB2312" w:eastAsia="仿宋_GB2312"/>
          <w:sz w:val="28"/>
          <w:szCs w:val="28"/>
        </w:rPr>
        <w:t>职责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中国共产主义青年团北京市西城区委员会是北京市西城区各级团组织的领导机关，所属事业单位是北京市西城区志愿服务指导中心。其主要职责是：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领导全区共青团工作，组织全区共青团组织围绕首都改革、发展、稳定大局开展工作，在区域政治、经济、社会、文化建设中积极发挥党的助手作用。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围绕区委、区政府中心工作，推进全区青少年精神文明建设；负责指导并组织实施全区青少年的思想理论教育、宣传文化活动。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负责全区共青团工作和青年工作的理论研究；向区委、区政府反映青少年思想状况，参与协调处理各种与青少年权益相关的工作。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4.</w:t>
      </w:r>
      <w:r>
        <w:rPr>
          <w:rFonts w:hint="eastAsia" w:ascii="仿宋_GB2312" w:hAnsi="仿宋_GB2312" w:eastAsia="仿宋_GB2312" w:cs="仿宋_GB2312"/>
          <w:kern w:val="0"/>
          <w:sz w:val="28"/>
          <w:szCs w:val="28"/>
        </w:rPr>
        <w:t>负责研究指导全区团的组织建设和干部队伍建设，推进全区团的基层组织建设；协助有关部门开展青年人力资源开发工作。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5.</w:t>
      </w:r>
      <w:r>
        <w:rPr>
          <w:rFonts w:hint="eastAsia" w:ascii="仿宋_GB2312" w:hAnsi="仿宋_GB2312" w:eastAsia="仿宋_GB2312" w:cs="仿宋_GB2312"/>
          <w:kern w:val="0"/>
          <w:sz w:val="28"/>
          <w:szCs w:val="28"/>
        </w:rPr>
        <w:t>负责全区青年统战工作，指导区青联和区少先队工作委员会开展工作。负责全区青少年对外交流工作。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6.</w:t>
      </w:r>
      <w:r>
        <w:rPr>
          <w:rFonts w:hint="eastAsia" w:ascii="仿宋_GB2312" w:hAnsi="仿宋_GB2312" w:eastAsia="仿宋_GB2312" w:cs="仿宋_GB2312"/>
          <w:kern w:val="0"/>
          <w:sz w:val="28"/>
          <w:szCs w:val="28"/>
        </w:rPr>
        <w:t>统筹协调和指导全区志愿者工作。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hAnsi="仿宋_GB2312" w:eastAsia="仿宋_GB2312" w:cs="仿宋_GB2312"/>
          <w:kern w:val="0"/>
          <w:sz w:val="28"/>
          <w:szCs w:val="28"/>
          <w:lang w:val="en-US" w:eastAsia="zh-CN"/>
        </w:rPr>
        <w:t>7.</w:t>
      </w:r>
      <w:r>
        <w:rPr>
          <w:rFonts w:hint="eastAsia" w:ascii="仿宋_GB2312" w:hAnsi="仿宋_GB2312" w:eastAsia="仿宋_GB2312" w:cs="仿宋_GB2312"/>
          <w:kern w:val="0"/>
          <w:sz w:val="28"/>
          <w:szCs w:val="28"/>
        </w:rPr>
        <w:t>承办区委、区政府和上级业务指导部门交办的其他事项。</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黑体" w:eastAsia="黑体"/>
          <w:b/>
          <w:sz w:val="28"/>
          <w:szCs w:val="28"/>
        </w:rPr>
      </w:pPr>
      <w:r>
        <w:rPr>
          <w:rFonts w:hint="eastAsia" w:ascii="黑体" w:eastAsia="黑体"/>
          <w:b/>
          <w:sz w:val="28"/>
          <w:szCs w:val="28"/>
        </w:rPr>
        <w:t>二、收入支出决算总体情况说明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_GB2312" w:eastAsia="仿宋_GB2312"/>
          <w:sz w:val="28"/>
          <w:szCs w:val="28"/>
          <w:lang w:eastAsia="zh-CN"/>
        </w:rPr>
        <w:t>2024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1939.38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68.77</w:t>
      </w:r>
      <w:r>
        <w:rPr>
          <w:rFonts w:hint="eastAsia" w:ascii="仿宋_GB2312" w:eastAsia="仿宋_GB2312"/>
          <w:sz w:val="28"/>
          <w:szCs w:val="28"/>
        </w:rPr>
        <w:t>万元，下降</w:t>
      </w:r>
      <w:r>
        <w:rPr>
          <w:rFonts w:hint="eastAsia" w:ascii="仿宋_GB2312" w:eastAsia="仿宋_GB2312"/>
          <w:sz w:val="28"/>
          <w:szCs w:val="28"/>
          <w:lang w:val="en-US" w:eastAsia="zh-CN"/>
        </w:rPr>
        <w:t>3.42</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（一</w:t>
      </w:r>
      <w:r>
        <w:rPr>
          <w:rFonts w:ascii="仿宋_GB2312" w:eastAsia="仿宋_GB2312"/>
          <w:sz w:val="28"/>
          <w:szCs w:val="28"/>
        </w:rPr>
        <w:t>）</w:t>
      </w:r>
      <w:r>
        <w:rPr>
          <w:rFonts w:hint="eastAsia" w:ascii="仿宋_GB2312" w:eastAsia="仿宋_GB2312"/>
          <w:sz w:val="28"/>
          <w:szCs w:val="28"/>
        </w:rPr>
        <w:t>收入决算</w:t>
      </w:r>
      <w:r>
        <w:rPr>
          <w:rFonts w:ascii="仿宋_GB2312" w:eastAsia="仿宋_GB2312"/>
          <w:sz w:val="28"/>
          <w:szCs w:val="28"/>
        </w:rPr>
        <w:t>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年度本年收入合计</w:t>
      </w:r>
      <w:r>
        <w:rPr>
          <w:rFonts w:ascii="仿宋_GB2312" w:eastAsia="仿宋_GB2312"/>
          <w:sz w:val="28"/>
          <w:szCs w:val="28"/>
        </w:rPr>
        <w:t>1939.38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68.77</w:t>
      </w:r>
      <w:r>
        <w:rPr>
          <w:rFonts w:hint="eastAsia" w:ascii="仿宋_GB2312" w:eastAsia="仿宋_GB2312"/>
          <w:sz w:val="28"/>
          <w:szCs w:val="28"/>
        </w:rPr>
        <w:t>万元，下降</w:t>
      </w:r>
      <w:r>
        <w:rPr>
          <w:rFonts w:hint="eastAsia" w:ascii="仿宋_GB2312" w:eastAsia="仿宋_GB2312"/>
          <w:sz w:val="28"/>
          <w:szCs w:val="28"/>
          <w:lang w:val="en-US" w:eastAsia="zh-CN"/>
        </w:rPr>
        <w:t>3.42</w:t>
      </w:r>
      <w:r>
        <w:rPr>
          <w:rFonts w:hint="eastAsia" w:ascii="仿宋_GB2312" w:eastAsia="仿宋_GB2312"/>
          <w:sz w:val="28"/>
          <w:szCs w:val="28"/>
        </w:rPr>
        <w:t>%</w:t>
      </w:r>
      <w:r>
        <w:rPr>
          <w:rFonts w:hint="eastAsia" w:ascii="仿宋_GB2312" w:eastAsia="仿宋_GB2312"/>
          <w:sz w:val="28"/>
          <w:szCs w:val="28"/>
          <w:lang w:eastAsia="zh-CN"/>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pPr>
      <w:r>
        <w:rPr>
          <w:rFonts w:hint="eastAsia" w:ascii="仿宋_GB2312" w:eastAsia="仿宋_GB2312"/>
          <w:sz w:val="28"/>
          <w:szCs w:val="28"/>
        </w:rPr>
        <w:t>1.财政拨款收入</w:t>
      </w:r>
      <w:r>
        <w:rPr>
          <w:rFonts w:ascii="仿宋_GB2312" w:eastAsia="仿宋_GB2312"/>
          <w:sz w:val="28"/>
          <w:szCs w:val="28"/>
        </w:rPr>
        <w:t>1939.38</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。其中：一般公共预算财政拨款收入</w:t>
      </w:r>
      <w:r>
        <w:rPr>
          <w:rFonts w:ascii="仿宋_GB2312" w:eastAsia="仿宋_GB2312"/>
          <w:sz w:val="28"/>
          <w:szCs w:val="28"/>
        </w:rPr>
        <w:t>1939.38</w:t>
      </w:r>
      <w:r>
        <w:rPr>
          <w:rFonts w:hint="eastAsia" w:ascii="仿宋_GB2312" w:eastAsia="仿宋_GB2312"/>
          <w:sz w:val="28"/>
          <w:szCs w:val="28"/>
        </w:rPr>
        <w:t>万元，占收入合计的</w:t>
      </w:r>
      <w:r>
        <w:rPr>
          <w:rFonts w:hint="eastAsia" w:ascii="仿宋_GB2312" w:eastAsia="仿宋_GB2312"/>
          <w:sz w:val="28"/>
          <w:szCs w:val="28"/>
          <w:lang w:eastAsia="zh-CN"/>
        </w:rPr>
        <w:t>100</w:t>
      </w:r>
      <w:r>
        <w:rPr>
          <w:rFonts w:hint="eastAsia" w:ascii="仿宋_GB2312" w:eastAsia="仿宋_GB2312"/>
          <w:sz w:val="28"/>
          <w:szCs w:val="28"/>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3.事业收入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cs="Droid Sans"/>
          <w:color w:val="000000"/>
          <w:sz w:val="32"/>
          <w:szCs w:val="32"/>
          <w:highlight w:val="none"/>
          <w:lang w:eastAsia="zh-CN"/>
        </w:rPr>
      </w:pPr>
      <w:r>
        <w:rPr>
          <w:rFonts w:hint="eastAsia" w:ascii="仿宋_GB2312" w:eastAsia="仿宋_GB2312"/>
          <w:sz w:val="28"/>
          <w:szCs w:val="28"/>
        </w:rPr>
        <w:t>6.其他收入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0"/>
        <w:jc w:val="center"/>
      </w:pPr>
      <w:r>
        <w:rPr>
          <w:rFonts w:hint="eastAsia" w:ascii="仿宋_GB2312" w:eastAsia="仿宋_GB2312"/>
          <w:color w:val="000000"/>
          <w:sz w:val="32"/>
          <w:szCs w:val="32"/>
          <w:highlight w:val="none"/>
          <w:lang w:val="en-US" w:eastAsia="zh-CN"/>
        </w:rPr>
        <w:t>图1：收入决算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3"/>
        <w:textAlignment w:val="auto"/>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73"/>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1939.38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68.77</w:t>
      </w:r>
      <w:r>
        <w:rPr>
          <w:rFonts w:hint="eastAsia" w:ascii="仿宋_GB2312" w:eastAsia="仿宋_GB2312"/>
          <w:sz w:val="28"/>
          <w:szCs w:val="28"/>
        </w:rPr>
        <w:t>万元，下降</w:t>
      </w:r>
      <w:r>
        <w:rPr>
          <w:rFonts w:hint="eastAsia" w:ascii="仿宋_GB2312" w:eastAsia="仿宋_GB2312"/>
          <w:sz w:val="28"/>
          <w:szCs w:val="28"/>
          <w:lang w:val="en-US" w:eastAsia="zh-CN"/>
        </w:rPr>
        <w:t>3.42</w:t>
      </w:r>
      <w:r>
        <w:rPr>
          <w:rFonts w:hint="eastAsia" w:ascii="仿宋_GB2312" w:eastAsia="仿宋_GB2312"/>
          <w:sz w:val="28"/>
          <w:szCs w:val="28"/>
        </w:rPr>
        <w:t>%，其中：基本支出</w:t>
      </w:r>
      <w:r>
        <w:rPr>
          <w:rFonts w:ascii="仿宋_GB2312" w:eastAsia="仿宋_GB2312"/>
          <w:sz w:val="28"/>
          <w:szCs w:val="28"/>
        </w:rPr>
        <w:t>956.11</w:t>
      </w:r>
      <w:r>
        <w:rPr>
          <w:rFonts w:hint="eastAsia" w:ascii="仿宋_GB2312" w:eastAsia="仿宋_GB2312"/>
          <w:sz w:val="28"/>
          <w:szCs w:val="28"/>
        </w:rPr>
        <w:t>万元，占支出合计的</w:t>
      </w:r>
      <w:r>
        <w:rPr>
          <w:rFonts w:hint="eastAsia" w:ascii="仿宋_GB2312" w:eastAsia="仿宋_GB2312"/>
          <w:sz w:val="28"/>
          <w:szCs w:val="28"/>
          <w:lang w:eastAsia="zh-CN"/>
        </w:rPr>
        <w:t>49.3</w:t>
      </w:r>
      <w:r>
        <w:rPr>
          <w:rFonts w:hint="eastAsia" w:ascii="仿宋_GB2312" w:eastAsia="仿宋_GB2312"/>
          <w:sz w:val="28"/>
          <w:szCs w:val="28"/>
        </w:rPr>
        <w:t>%；项目支出</w:t>
      </w:r>
      <w:r>
        <w:rPr>
          <w:rFonts w:ascii="仿宋_GB2312" w:eastAsia="仿宋_GB2312"/>
          <w:sz w:val="28"/>
          <w:szCs w:val="28"/>
        </w:rPr>
        <w:t>983.27</w:t>
      </w:r>
      <w:r>
        <w:rPr>
          <w:rFonts w:hint="eastAsia" w:ascii="仿宋_GB2312" w:eastAsia="仿宋_GB2312"/>
          <w:sz w:val="28"/>
          <w:szCs w:val="28"/>
        </w:rPr>
        <w:t>万元，占支出合计的</w:t>
      </w:r>
      <w:r>
        <w:rPr>
          <w:rFonts w:hint="eastAsia" w:ascii="仿宋_GB2312" w:eastAsia="仿宋_GB2312"/>
          <w:sz w:val="28"/>
          <w:szCs w:val="28"/>
          <w:lang w:eastAsia="zh-CN"/>
        </w:rPr>
        <w:t>50.7</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keepNext w:val="0"/>
        <w:keepLines w:val="0"/>
        <w:pageBreakBefore w:val="0"/>
        <w:widowControl w:val="0"/>
        <w:tabs>
          <w:tab w:val="center" w:pos="6979"/>
        </w:tabs>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1939.38</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68.77</w:t>
      </w:r>
      <w:r>
        <w:rPr>
          <w:rFonts w:hint="eastAsia" w:ascii="仿宋_GB2312" w:eastAsia="仿宋_GB2312"/>
          <w:sz w:val="28"/>
          <w:szCs w:val="28"/>
        </w:rPr>
        <w:t>万元，下降</w:t>
      </w:r>
      <w:r>
        <w:rPr>
          <w:rFonts w:hint="eastAsia" w:ascii="仿宋_GB2312" w:eastAsia="仿宋_GB2312"/>
          <w:sz w:val="28"/>
          <w:szCs w:val="28"/>
          <w:lang w:val="en-US" w:eastAsia="zh-CN"/>
        </w:rPr>
        <w:t>3.42</w:t>
      </w:r>
      <w:r>
        <w:rPr>
          <w:rFonts w:hint="eastAsia" w:ascii="仿宋_GB2312" w:eastAsia="仿宋_GB2312"/>
          <w:sz w:val="28"/>
          <w:szCs w:val="28"/>
        </w:rPr>
        <w:t>%。主要原因：</w:t>
      </w:r>
    </w:p>
    <w:p>
      <w:pPr>
        <w:keepNext w:val="0"/>
        <w:keepLines w:val="0"/>
        <w:pageBreakBefore w:val="0"/>
        <w:widowControl w:val="0"/>
        <w:numPr>
          <w:ilvl w:val="0"/>
          <w:numId w:val="1"/>
        </w:numPr>
        <w:tabs>
          <w:tab w:val="center" w:pos="6979"/>
        </w:tabs>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本年度</w:t>
      </w:r>
      <w:r>
        <w:rPr>
          <w:rFonts w:hint="eastAsia" w:ascii="仿宋_GB2312" w:eastAsia="仿宋_GB2312"/>
          <w:sz w:val="28"/>
          <w:szCs w:val="28"/>
          <w:lang w:eastAsia="zh-CN"/>
        </w:rPr>
        <w:t>单位内</w:t>
      </w:r>
      <w:r>
        <w:rPr>
          <w:rFonts w:hint="eastAsia" w:ascii="仿宋_GB2312" w:eastAsia="仿宋_GB2312"/>
          <w:sz w:val="28"/>
          <w:szCs w:val="28"/>
        </w:rPr>
        <w:t>人员调动</w:t>
      </w:r>
      <w:r>
        <w:rPr>
          <w:rFonts w:hint="eastAsia" w:ascii="仿宋_GB2312" w:eastAsia="仿宋_GB2312"/>
          <w:sz w:val="28"/>
          <w:szCs w:val="28"/>
          <w:lang w:eastAsia="zh-CN"/>
        </w:rPr>
        <w:t>，对应人员经费和公用经费预算变动</w:t>
      </w:r>
      <w:r>
        <w:rPr>
          <w:rFonts w:hint="eastAsia" w:ascii="仿宋_GB2312" w:eastAsia="仿宋_GB2312"/>
          <w:sz w:val="28"/>
          <w:szCs w:val="28"/>
        </w:rPr>
        <w:t>。</w:t>
      </w:r>
    </w:p>
    <w:p>
      <w:pPr>
        <w:keepNext w:val="0"/>
        <w:keepLines w:val="0"/>
        <w:pageBreakBefore w:val="0"/>
        <w:widowControl w:val="0"/>
        <w:numPr>
          <w:ilvl w:val="0"/>
          <w:numId w:val="1"/>
        </w:numPr>
        <w:tabs>
          <w:tab w:val="center" w:pos="6979"/>
        </w:tabs>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lang w:eastAsia="zh-CN"/>
        </w:rPr>
        <w:t>按照</w:t>
      </w:r>
      <w:r>
        <w:rPr>
          <w:rFonts w:hint="eastAsia" w:ascii="仿宋_GB2312" w:eastAsia="仿宋_GB2312"/>
          <w:sz w:val="28"/>
          <w:szCs w:val="28"/>
        </w:rPr>
        <w:t>全区预算编制要求，结合单位</w:t>
      </w:r>
      <w:r>
        <w:rPr>
          <w:rFonts w:hint="eastAsia" w:ascii="仿宋_GB2312" w:eastAsia="仿宋_GB2312"/>
          <w:sz w:val="28"/>
          <w:szCs w:val="28"/>
          <w:lang w:eastAsia="zh-CN"/>
        </w:rPr>
        <w:t>年度</w:t>
      </w:r>
      <w:r>
        <w:rPr>
          <w:rFonts w:hint="eastAsia" w:ascii="仿宋_GB2312" w:eastAsia="仿宋_GB2312"/>
          <w:sz w:val="28"/>
          <w:szCs w:val="28"/>
        </w:rPr>
        <w:t>工作实际需要，在2024年预算编制工作中对全年项目经费支出进行了整体预算压减</w:t>
      </w:r>
      <w:r>
        <w:rPr>
          <w:rFonts w:hint="eastAsia" w:ascii="仿宋_GB2312" w:eastAsia="仿宋_GB2312"/>
          <w:sz w:val="28"/>
          <w:szCs w:val="28"/>
          <w:lang w:eastAsia="zh-CN"/>
        </w:rPr>
        <w:t>，同时，</w:t>
      </w:r>
      <w:bookmarkStart w:id="0" w:name="OLE_LINK2"/>
      <w:r>
        <w:rPr>
          <w:rFonts w:hint="eastAsia" w:ascii="仿宋_GB2312" w:eastAsia="仿宋_GB2312"/>
          <w:sz w:val="28"/>
          <w:szCs w:val="28"/>
          <w:lang w:eastAsia="zh-CN"/>
        </w:rPr>
        <w:t>根据本年度各项目开展情况，部分项目于年中进行了预算调剂</w:t>
      </w:r>
      <w:r>
        <w:rPr>
          <w:rFonts w:hint="eastAsia" w:ascii="仿宋_GB2312" w:eastAsia="仿宋_GB2312"/>
          <w:sz w:val="28"/>
          <w:szCs w:val="28"/>
        </w:rPr>
        <w:t>。</w:t>
      </w:r>
      <w:bookmarkEnd w:id="0"/>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黑体" w:eastAsia="黑体"/>
          <w:b/>
          <w:sz w:val="28"/>
          <w:szCs w:val="28"/>
        </w:rPr>
      </w:pPr>
      <w:r>
        <w:rPr>
          <w:rFonts w:hint="eastAsia" w:ascii="黑体" w:eastAsia="黑体"/>
          <w:b/>
          <w:sz w:val="28"/>
          <w:szCs w:val="28"/>
        </w:rPr>
        <w:t>四、一般公共预算财政拨款支出决算情况说明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1939.38</w:t>
      </w:r>
      <w:r>
        <w:rPr>
          <w:rFonts w:hint="eastAsia" w:ascii="仿宋_GB2312" w:eastAsia="仿宋_GB2312"/>
          <w:sz w:val="28"/>
          <w:szCs w:val="28"/>
        </w:rPr>
        <w:t>万元，主要用于以下方面（按大类）：一般公共服务支出</w:t>
      </w:r>
      <w:r>
        <w:rPr>
          <w:rFonts w:hint="eastAsia" w:ascii="仿宋_GB2312" w:eastAsia="仿宋_GB2312"/>
          <w:sz w:val="28"/>
          <w:szCs w:val="28"/>
          <w:lang w:val="en-US" w:eastAsia="zh-CN"/>
        </w:rPr>
        <w:t>1615.27</w:t>
      </w:r>
      <w:r>
        <w:rPr>
          <w:rFonts w:hint="eastAsia" w:ascii="仿宋_GB2312" w:eastAsia="仿宋_GB2312"/>
          <w:sz w:val="28"/>
          <w:szCs w:val="28"/>
        </w:rPr>
        <w:t>万元，占本年财政拨款支出</w:t>
      </w:r>
      <w:r>
        <w:rPr>
          <w:rFonts w:hint="eastAsia" w:ascii="仿宋_GB2312" w:eastAsia="仿宋_GB2312"/>
          <w:sz w:val="28"/>
          <w:szCs w:val="28"/>
          <w:lang w:val="en-US" w:eastAsia="zh-CN"/>
        </w:rPr>
        <w:t>83.29</w:t>
      </w:r>
      <w:r>
        <w:rPr>
          <w:rFonts w:hint="eastAsia" w:ascii="仿宋_GB2312" w:eastAsia="仿宋_GB2312"/>
          <w:sz w:val="28"/>
          <w:szCs w:val="28"/>
        </w:rPr>
        <w:t>%；</w:t>
      </w:r>
      <w:r>
        <w:rPr>
          <w:rFonts w:hint="eastAsia" w:ascii="仿宋_GB2312" w:eastAsia="仿宋_GB2312"/>
          <w:sz w:val="28"/>
          <w:szCs w:val="28"/>
          <w:lang w:eastAsia="zh-CN"/>
        </w:rPr>
        <w:t>教育支出</w:t>
      </w:r>
      <w:r>
        <w:rPr>
          <w:rFonts w:hint="eastAsia" w:ascii="仿宋_GB2312" w:eastAsia="仿宋_GB2312"/>
          <w:sz w:val="28"/>
          <w:szCs w:val="28"/>
          <w:lang w:val="en-US" w:eastAsia="zh-CN"/>
        </w:rPr>
        <w:t>1.34万元，占</w:t>
      </w:r>
      <w:r>
        <w:rPr>
          <w:rFonts w:hint="eastAsia" w:ascii="仿宋_GB2312" w:eastAsia="仿宋_GB2312"/>
          <w:sz w:val="28"/>
          <w:szCs w:val="28"/>
        </w:rPr>
        <w:t>本年财政拨款支出</w:t>
      </w:r>
      <w:r>
        <w:rPr>
          <w:rFonts w:hint="eastAsia" w:ascii="仿宋_GB2312" w:eastAsia="仿宋_GB2312"/>
          <w:sz w:val="28"/>
          <w:szCs w:val="28"/>
          <w:lang w:val="en-US" w:eastAsia="zh-CN"/>
        </w:rPr>
        <w:t>0.07</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lang w:val="en-US" w:eastAsia="zh-CN"/>
        </w:rPr>
        <w:t>106.75万元，占</w:t>
      </w:r>
      <w:r>
        <w:rPr>
          <w:rFonts w:hint="eastAsia" w:ascii="仿宋_GB2312" w:eastAsia="仿宋_GB2312"/>
          <w:sz w:val="28"/>
          <w:szCs w:val="28"/>
        </w:rPr>
        <w:t>本年财政拨款支出</w:t>
      </w:r>
      <w:r>
        <w:rPr>
          <w:rFonts w:hint="eastAsia" w:ascii="仿宋_GB2312" w:eastAsia="仿宋_GB2312"/>
          <w:sz w:val="28"/>
          <w:szCs w:val="28"/>
          <w:lang w:val="en-US" w:eastAsia="zh-CN"/>
        </w:rPr>
        <w:t>5.50</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lang w:val="en-US" w:eastAsia="zh-CN"/>
        </w:rPr>
        <w:t>65.19万元，占</w:t>
      </w:r>
      <w:r>
        <w:rPr>
          <w:rFonts w:hint="eastAsia" w:ascii="仿宋_GB2312" w:eastAsia="仿宋_GB2312"/>
          <w:sz w:val="28"/>
          <w:szCs w:val="28"/>
        </w:rPr>
        <w:t>本年财政拨款支出</w:t>
      </w:r>
      <w:r>
        <w:rPr>
          <w:rFonts w:hint="eastAsia" w:ascii="仿宋_GB2312" w:eastAsia="仿宋_GB2312"/>
          <w:sz w:val="28"/>
          <w:szCs w:val="28"/>
          <w:lang w:val="en-US" w:eastAsia="zh-CN"/>
        </w:rPr>
        <w:t>3.36</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lang w:val="en-US" w:eastAsia="zh-CN"/>
        </w:rPr>
        <w:t>150.83万元，占</w:t>
      </w:r>
      <w:r>
        <w:rPr>
          <w:rFonts w:hint="eastAsia" w:ascii="仿宋_GB2312" w:eastAsia="仿宋_GB2312"/>
          <w:sz w:val="28"/>
          <w:szCs w:val="28"/>
        </w:rPr>
        <w:t>本年财政拨款支出</w:t>
      </w:r>
      <w:r>
        <w:rPr>
          <w:rFonts w:hint="eastAsia" w:ascii="仿宋_GB2312" w:eastAsia="仿宋_GB2312"/>
          <w:sz w:val="28"/>
          <w:szCs w:val="28"/>
          <w:lang w:val="en-US" w:eastAsia="zh-CN"/>
        </w:rPr>
        <w:t>7.78</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“一般公共服务支出”（类）202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1615.27</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1712.24万元，完成率94.34%</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群众团体事务</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1615.27</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1712.24万元，完成率94.34%</w:t>
      </w:r>
      <w:r>
        <w:rPr>
          <w:rFonts w:hint="eastAsia" w:ascii="仿宋_GB2312" w:eastAsia="仿宋_GB2312"/>
          <w:sz w:val="28"/>
          <w:szCs w:val="28"/>
        </w:rPr>
        <w:t>。</w:t>
      </w:r>
      <w:r>
        <w:rPr>
          <w:rFonts w:hint="eastAsia" w:ascii="仿宋_GB2312" w:eastAsia="仿宋_GB2312"/>
          <w:sz w:val="28"/>
          <w:szCs w:val="28"/>
          <w:lang w:eastAsia="zh-CN"/>
        </w:rPr>
        <w:t>偏差</w:t>
      </w:r>
      <w:r>
        <w:rPr>
          <w:rFonts w:hint="eastAsia" w:ascii="仿宋_GB2312" w:eastAsia="仿宋_GB2312"/>
          <w:sz w:val="28"/>
          <w:szCs w:val="28"/>
        </w:rPr>
        <w:t>原因：</w:t>
      </w:r>
      <w:r>
        <w:rPr>
          <w:rFonts w:hint="eastAsia" w:ascii="仿宋_GB2312" w:eastAsia="仿宋_GB2312"/>
          <w:sz w:val="28"/>
          <w:szCs w:val="28"/>
          <w:lang w:eastAsia="zh-CN"/>
        </w:rPr>
        <w:t>根据本年度各项目开展情况，部分项目于年中进行了预算调剂</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w:t>
      </w:r>
      <w:r>
        <w:rPr>
          <w:rFonts w:hint="eastAsia" w:ascii="仿宋_GB2312" w:eastAsia="仿宋_GB2312"/>
          <w:sz w:val="28"/>
          <w:szCs w:val="28"/>
          <w:lang w:eastAsia="zh-CN"/>
        </w:rPr>
        <w:t>教育支出</w:t>
      </w:r>
      <w:r>
        <w:rPr>
          <w:rFonts w:hint="eastAsia" w:ascii="仿宋_GB2312" w:eastAsia="仿宋_GB2312"/>
          <w:sz w:val="28"/>
          <w:szCs w:val="28"/>
        </w:rPr>
        <w:t>”(类)202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1.34</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2.68万元，完成率50.00%</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进修及培训</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1.34</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2.68万元，完成率50.00%</w:t>
      </w:r>
      <w:r>
        <w:rPr>
          <w:rFonts w:hint="eastAsia" w:ascii="仿宋_GB2312" w:eastAsia="仿宋_GB2312"/>
          <w:sz w:val="28"/>
          <w:szCs w:val="28"/>
        </w:rPr>
        <w:t>。</w:t>
      </w:r>
      <w:r>
        <w:rPr>
          <w:rFonts w:hint="eastAsia" w:ascii="仿宋_GB2312" w:eastAsia="仿宋_GB2312"/>
          <w:sz w:val="28"/>
          <w:szCs w:val="28"/>
          <w:lang w:eastAsia="zh-CN"/>
        </w:rPr>
        <w:t>偏差</w:t>
      </w:r>
      <w:r>
        <w:rPr>
          <w:rFonts w:hint="eastAsia" w:ascii="仿宋_GB2312" w:eastAsia="仿宋_GB2312"/>
          <w:sz w:val="28"/>
          <w:szCs w:val="28"/>
        </w:rPr>
        <w:t>原因：</w:t>
      </w:r>
      <w:r>
        <w:rPr>
          <w:rFonts w:hint="eastAsia" w:ascii="仿宋_GB2312" w:eastAsia="仿宋_GB2312"/>
          <w:sz w:val="28"/>
          <w:szCs w:val="28"/>
          <w:lang w:eastAsia="zh-CN"/>
        </w:rPr>
        <w:t>按照区财政局要求，于年中调剂</w:t>
      </w:r>
      <w:r>
        <w:rPr>
          <w:rFonts w:hint="eastAsia" w:ascii="仿宋_GB2312" w:eastAsia="仿宋_GB2312"/>
          <w:sz w:val="28"/>
          <w:szCs w:val="28"/>
          <w:lang w:val="en-US" w:eastAsia="zh-CN"/>
        </w:rPr>
        <w:t>50%培训费预算金额</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w:t>
      </w:r>
      <w:r>
        <w:rPr>
          <w:rFonts w:hint="eastAsia" w:ascii="仿宋_GB2312" w:eastAsia="仿宋_GB2312"/>
          <w:sz w:val="28"/>
          <w:szCs w:val="28"/>
          <w:lang w:eastAsia="zh-CN"/>
        </w:rPr>
        <w:t>社会保障和就业支出</w:t>
      </w:r>
      <w:r>
        <w:rPr>
          <w:rFonts w:hint="eastAsia" w:ascii="仿宋_GB2312" w:eastAsia="仿宋_GB2312"/>
          <w:sz w:val="28"/>
          <w:szCs w:val="28"/>
        </w:rPr>
        <w:t>”（</w:t>
      </w:r>
      <w:r>
        <w:rPr>
          <w:rFonts w:hint="eastAsia" w:ascii="仿宋_GB2312" w:eastAsia="仿宋_GB2312"/>
          <w:sz w:val="28"/>
          <w:szCs w:val="28"/>
          <w:lang w:eastAsia="zh-CN"/>
        </w:rPr>
        <w:t>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106.75</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112.82万元，完成率94.62%</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行政事业单位养老支出</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106.75</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112.82万元，完成率94.62%</w:t>
      </w:r>
      <w:r>
        <w:rPr>
          <w:rFonts w:hint="eastAsia" w:ascii="仿宋_GB2312" w:eastAsia="仿宋_GB2312"/>
          <w:sz w:val="28"/>
          <w:szCs w:val="28"/>
        </w:rPr>
        <w:t>。</w:t>
      </w:r>
      <w:r>
        <w:rPr>
          <w:rFonts w:hint="eastAsia" w:ascii="仿宋_GB2312" w:eastAsia="仿宋_GB2312"/>
          <w:sz w:val="28"/>
          <w:szCs w:val="28"/>
          <w:lang w:eastAsia="zh-CN"/>
        </w:rPr>
        <w:t>偏差</w:t>
      </w:r>
      <w:r>
        <w:rPr>
          <w:rFonts w:hint="eastAsia" w:ascii="仿宋_GB2312" w:eastAsia="仿宋_GB2312"/>
          <w:sz w:val="28"/>
          <w:szCs w:val="28"/>
        </w:rPr>
        <w:t>原因：</w:t>
      </w:r>
      <w:r>
        <w:rPr>
          <w:rFonts w:hint="eastAsia" w:ascii="仿宋_GB2312" w:eastAsia="仿宋_GB2312"/>
          <w:sz w:val="28"/>
          <w:szCs w:val="28"/>
          <w:lang w:eastAsia="zh-CN"/>
        </w:rPr>
        <w:t>本年度单位内人员调动</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w:t>
      </w:r>
      <w:r>
        <w:rPr>
          <w:rFonts w:hint="eastAsia" w:ascii="仿宋_GB2312" w:eastAsia="仿宋_GB2312"/>
          <w:sz w:val="28"/>
          <w:szCs w:val="28"/>
          <w:lang w:eastAsia="zh-CN"/>
        </w:rPr>
        <w:t>卫生健康支出</w:t>
      </w:r>
      <w:r>
        <w:rPr>
          <w:rFonts w:hint="eastAsia" w:ascii="仿宋_GB2312" w:eastAsia="仿宋_GB2312"/>
          <w:sz w:val="28"/>
          <w:szCs w:val="28"/>
        </w:rPr>
        <w:t>”（</w:t>
      </w:r>
      <w:r>
        <w:rPr>
          <w:rFonts w:hint="eastAsia" w:ascii="仿宋_GB2312" w:eastAsia="仿宋_GB2312"/>
          <w:sz w:val="28"/>
          <w:szCs w:val="28"/>
          <w:lang w:eastAsia="zh-CN"/>
        </w:rPr>
        <w:t>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65.19</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64.61万元，完成率100.90%</w:t>
      </w:r>
      <w:r>
        <w:rPr>
          <w:rFonts w:hint="eastAsia" w:ascii="仿宋_GB2312" w:eastAsia="仿宋_GB2312"/>
          <w:sz w:val="28"/>
          <w:szCs w:val="28"/>
        </w:rPr>
        <w:t>。其中：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行政事业单位医疗</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65.19</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64.61万元，完成率100.90%</w:t>
      </w:r>
      <w:r>
        <w:rPr>
          <w:rFonts w:hint="eastAsia" w:ascii="仿宋_GB2312" w:eastAsia="仿宋_GB2312"/>
          <w:sz w:val="28"/>
          <w:szCs w:val="28"/>
        </w:rPr>
        <w:t>。</w:t>
      </w:r>
      <w:r>
        <w:rPr>
          <w:rFonts w:hint="eastAsia" w:ascii="仿宋_GB2312" w:eastAsia="仿宋_GB2312"/>
          <w:sz w:val="28"/>
          <w:szCs w:val="28"/>
          <w:lang w:eastAsia="zh-CN"/>
        </w:rPr>
        <w:t>偏差</w:t>
      </w:r>
      <w:r>
        <w:rPr>
          <w:rFonts w:hint="eastAsia" w:ascii="仿宋_GB2312" w:eastAsia="仿宋_GB2312"/>
          <w:sz w:val="28"/>
          <w:szCs w:val="28"/>
        </w:rPr>
        <w:t>原因：</w:t>
      </w:r>
      <w:r>
        <w:rPr>
          <w:rFonts w:hint="eastAsia" w:ascii="仿宋_GB2312" w:eastAsia="仿宋_GB2312"/>
          <w:sz w:val="28"/>
          <w:szCs w:val="28"/>
          <w:lang w:eastAsia="zh-CN"/>
        </w:rPr>
        <w:t>本年度追加部分人员医保款项预算</w:t>
      </w:r>
      <w:r>
        <w:rPr>
          <w:rFonts w:hint="eastAsia" w:ascii="仿宋_GB2312" w:eastAsia="仿宋_GB2312"/>
          <w:sz w:val="28"/>
          <w:szCs w:val="28"/>
        </w:rPr>
        <w:t>。</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w:t>
      </w:r>
      <w:r>
        <w:rPr>
          <w:rFonts w:hint="eastAsia" w:ascii="仿宋_GB2312" w:eastAsia="仿宋_GB2312"/>
          <w:sz w:val="28"/>
          <w:szCs w:val="28"/>
          <w:lang w:eastAsia="zh-CN"/>
        </w:rPr>
        <w:t>住房保障支出</w:t>
      </w:r>
      <w:r>
        <w:rPr>
          <w:rFonts w:hint="eastAsia" w:ascii="仿宋_GB2312" w:eastAsia="仿宋_GB2312"/>
          <w:sz w:val="28"/>
          <w:szCs w:val="28"/>
        </w:rPr>
        <w:t>”（</w:t>
      </w:r>
      <w:r>
        <w:rPr>
          <w:rFonts w:hint="eastAsia" w:ascii="仿宋_GB2312" w:eastAsia="仿宋_GB2312"/>
          <w:sz w:val="28"/>
          <w:szCs w:val="28"/>
          <w:lang w:eastAsia="zh-CN"/>
        </w:rPr>
        <w:t>类</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150.83</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132.19万元，完成率114.10%</w:t>
      </w:r>
      <w:r>
        <w:rPr>
          <w:rFonts w:hint="eastAsia" w:ascii="仿宋_GB2312" w:eastAsia="仿宋_GB2312"/>
          <w:sz w:val="28"/>
          <w:szCs w:val="28"/>
        </w:rPr>
        <w:t>。其中：</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住</w:t>
      </w:r>
      <w:bookmarkStart w:id="1" w:name="_GoBack"/>
      <w:bookmarkEnd w:id="1"/>
      <w:r>
        <w:rPr>
          <w:rFonts w:hint="eastAsia" w:ascii="仿宋_GB2312" w:eastAsia="仿宋_GB2312"/>
          <w:sz w:val="28"/>
          <w:szCs w:val="28"/>
          <w:lang w:eastAsia="zh-CN"/>
        </w:rPr>
        <w:t>房改革支出</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150.83</w:t>
      </w:r>
      <w:r>
        <w:rPr>
          <w:rFonts w:hint="eastAsia" w:ascii="仿宋_GB2312" w:eastAsia="仿宋_GB2312"/>
          <w:sz w:val="28"/>
          <w:szCs w:val="28"/>
        </w:rPr>
        <w:t>万元</w:t>
      </w:r>
      <w:r>
        <w:rPr>
          <w:rFonts w:hint="eastAsia" w:ascii="仿宋_GB2312" w:eastAsia="仿宋_GB2312"/>
          <w:sz w:val="28"/>
          <w:szCs w:val="28"/>
          <w:lang w:eastAsia="zh-CN"/>
        </w:rPr>
        <w:t>，年初预算</w:t>
      </w:r>
      <w:r>
        <w:rPr>
          <w:rFonts w:hint="eastAsia" w:ascii="仿宋_GB2312" w:eastAsia="仿宋_GB2312"/>
          <w:sz w:val="28"/>
          <w:szCs w:val="28"/>
          <w:lang w:val="en-US" w:eastAsia="zh-CN"/>
        </w:rPr>
        <w:t>132.19万元，完成率114.10%</w:t>
      </w:r>
      <w:r>
        <w:rPr>
          <w:rFonts w:hint="eastAsia" w:ascii="仿宋_GB2312" w:eastAsia="仿宋_GB2312"/>
          <w:sz w:val="28"/>
          <w:szCs w:val="28"/>
        </w:rPr>
        <w:t>。</w:t>
      </w:r>
      <w:r>
        <w:rPr>
          <w:rFonts w:hint="eastAsia" w:ascii="仿宋_GB2312" w:eastAsia="仿宋_GB2312"/>
          <w:sz w:val="28"/>
          <w:szCs w:val="28"/>
          <w:lang w:eastAsia="zh-CN"/>
        </w:rPr>
        <w:t>偏差</w:t>
      </w:r>
      <w:r>
        <w:rPr>
          <w:rFonts w:hint="eastAsia" w:ascii="仿宋_GB2312" w:eastAsia="仿宋_GB2312"/>
          <w:sz w:val="28"/>
          <w:szCs w:val="28"/>
        </w:rPr>
        <w:t>原因：</w:t>
      </w:r>
      <w:r>
        <w:rPr>
          <w:rFonts w:hint="eastAsia" w:ascii="仿宋_GB2312" w:eastAsia="仿宋_GB2312"/>
          <w:sz w:val="28"/>
          <w:szCs w:val="28"/>
          <w:lang w:eastAsia="zh-CN"/>
        </w:rPr>
        <w:t>本年度追加无房新职工住房补贴</w:t>
      </w:r>
      <w:r>
        <w:rPr>
          <w:rFonts w:hint="eastAsia" w:ascii="仿宋_GB2312" w:eastAsia="仿宋_GB2312"/>
          <w:sz w:val="28"/>
          <w:szCs w:val="28"/>
        </w:rPr>
        <w:t>。</w:t>
      </w:r>
    </w:p>
    <w:p>
      <w:pPr>
        <w:keepNext w:val="0"/>
        <w:keepLines w:val="0"/>
        <w:pageBreakBefore w:val="0"/>
        <w:widowControl w:val="0"/>
        <w:kinsoku/>
        <w:wordWrap/>
        <w:overflowPunct/>
        <w:topLinePunct w:val="0"/>
        <w:bidi w:val="0"/>
        <w:snapToGrid/>
        <w:spacing w:line="560" w:lineRule="exact"/>
        <w:ind w:firstLine="560" w:firstLineChars="200"/>
        <w:textAlignment w:val="auto"/>
        <w:rPr>
          <w:rFonts w:hint="eastAsia" w:ascii="仿宋_GB2312" w:eastAsia="仿宋_GB2312"/>
          <w:sz w:val="28"/>
          <w:szCs w:val="28"/>
        </w:rPr>
      </w:pPr>
      <w:r>
        <w:rPr>
          <w:rFonts w:hint="eastAsia" w:ascii="黑体" w:eastAsia="黑体"/>
          <w:b/>
          <w:sz w:val="28"/>
          <w:szCs w:val="28"/>
        </w:rPr>
        <w:t>五、政府性基金预算财政拨款支出决算情况说明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jc w:val="left"/>
        <w:textAlignment w:val="auto"/>
        <w:rPr>
          <w:rFonts w:ascii="仿宋_GB2312" w:eastAsia="仿宋_GB2312"/>
          <w:sz w:val="28"/>
          <w:szCs w:val="28"/>
        </w:rPr>
      </w:pPr>
      <w:r>
        <w:rPr>
          <w:rFonts w:hint="eastAsia" w:ascii="仿宋_GB2312" w:eastAsia="仿宋_GB2312"/>
          <w:sz w:val="28"/>
          <w:szCs w:val="28"/>
        </w:rPr>
        <w:t>（一）政府性基金预算财政拨款支出决算总体情况</w:t>
      </w:r>
    </w:p>
    <w:p>
      <w:pPr>
        <w:keepNext w:val="0"/>
        <w:keepLines w:val="0"/>
        <w:pageBreakBefore w:val="0"/>
        <w:widowControl w:val="0"/>
        <w:tabs>
          <w:tab w:val="center" w:pos="6979"/>
        </w:tabs>
        <w:kinsoku/>
        <w:wordWrap/>
        <w:overflowPunct/>
        <w:topLinePunct w:val="0"/>
        <w:bidi w:val="0"/>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年度政府性基金预算财政拨款支出</w:t>
      </w:r>
      <w:r>
        <w:rPr>
          <w:rFonts w:ascii="仿宋_GB2312" w:eastAsia="仿宋_GB2312"/>
          <w:sz w:val="28"/>
          <w:szCs w:val="28"/>
        </w:rPr>
        <w:t>0</w:t>
      </w:r>
      <w:r>
        <w:rPr>
          <w:rFonts w:hint="eastAsia" w:ascii="仿宋_GB2312" w:eastAsia="仿宋_GB2312"/>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年度国有资本经营预算财政</w:t>
      </w:r>
      <w:r>
        <w:rPr>
          <w:rFonts w:ascii="仿宋_GB2312" w:eastAsia="仿宋_GB2312"/>
          <w:sz w:val="28"/>
          <w:szCs w:val="28"/>
        </w:rPr>
        <w:t>拨款</w:t>
      </w:r>
      <w:r>
        <w:rPr>
          <w:rFonts w:hint="eastAsia" w:ascii="仿宋_GB2312" w:eastAsia="仿宋_GB2312"/>
          <w:sz w:val="28"/>
          <w:szCs w:val="28"/>
        </w:rPr>
        <w:t>收入总</w:t>
      </w:r>
      <w:r>
        <w:rPr>
          <w:rFonts w:ascii="仿宋_GB2312" w:eastAsia="仿宋_GB2312"/>
          <w:sz w:val="28"/>
          <w:szCs w:val="28"/>
        </w:rPr>
        <w:t>计0</w:t>
      </w:r>
      <w:r>
        <w:rPr>
          <w:rFonts w:hint="eastAsia" w:ascii="仿宋_GB2312" w:eastAsia="仿宋_GB2312"/>
          <w:sz w:val="28"/>
          <w:szCs w:val="28"/>
        </w:rPr>
        <w:t>万元，国有资本经营预算财政</w:t>
      </w:r>
      <w:r>
        <w:rPr>
          <w:rFonts w:ascii="仿宋_GB2312" w:eastAsia="仿宋_GB2312"/>
          <w:sz w:val="28"/>
          <w:szCs w:val="28"/>
        </w:rPr>
        <w:t>拨款</w:t>
      </w:r>
      <w:r>
        <w:rPr>
          <w:rFonts w:hint="eastAsia" w:ascii="仿宋_GB2312" w:eastAsia="仿宋_GB2312"/>
          <w:sz w:val="28"/>
          <w:szCs w:val="28"/>
        </w:rPr>
        <w:t>支出总</w:t>
      </w:r>
      <w:r>
        <w:rPr>
          <w:rFonts w:ascii="仿宋_GB2312" w:eastAsia="仿宋_GB2312"/>
          <w:sz w:val="28"/>
          <w:szCs w:val="28"/>
        </w:rPr>
        <w:t>计0</w:t>
      </w:r>
      <w:r>
        <w:rPr>
          <w:rFonts w:hint="eastAsia" w:ascii="仿宋_GB2312" w:eastAsia="仿宋_GB2312"/>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eastAsia="黑体"/>
          <w:sz w:val="28"/>
          <w:szCs w:val="28"/>
        </w:rPr>
      </w:pPr>
      <w:r>
        <w:rPr>
          <w:rFonts w:hint="eastAsia" w:ascii="黑体" w:eastAsia="黑体"/>
          <w:b/>
          <w:sz w:val="28"/>
          <w:szCs w:val="28"/>
        </w:rPr>
        <w:t>七、财政拨款基本支出决算情况说明</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ascii="仿宋_GB2312" w:eastAsia="仿宋_GB2312"/>
          <w:b/>
          <w:sz w:val="32"/>
          <w:szCs w:val="32"/>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956.11</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r>
        <w:rPr>
          <w:rFonts w:ascii="仿宋_GB2312" w:eastAsia="仿宋_GB2312"/>
          <w:b/>
          <w:sz w:val="32"/>
          <w:szCs w:val="32"/>
        </w:rPr>
        <w:br w:type="page"/>
      </w:r>
    </w:p>
    <w:p>
      <w:pPr>
        <w:pStyle w:val="2"/>
        <w:rPr>
          <w:rFonts w:hint="eastAsia"/>
        </w:rPr>
      </w:pP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jc w:val="center"/>
        <w:textAlignment w:val="auto"/>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一、“三公”经费财政拨款决算情况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28"/>
          <w:szCs w:val="28"/>
        </w:rPr>
      </w:pPr>
      <w:r>
        <w:rPr>
          <w:rFonts w:hint="eastAsia" w:ascii="仿宋_GB2312" w:eastAsia="仿宋_GB2312"/>
          <w:sz w:val="28"/>
          <w:szCs w:val="28"/>
        </w:rPr>
        <w:t>“三公”经费包括</w:t>
      </w:r>
      <w:r>
        <w:rPr>
          <w:rFonts w:hint="eastAsia" w:ascii="仿宋_GB2312" w:eastAsia="仿宋_GB2312"/>
          <w:sz w:val="28"/>
          <w:szCs w:val="28"/>
          <w:lang w:eastAsia="zh-CN"/>
        </w:rPr>
        <w:t>中国共产主义青年团北京市西城区委员会及所属事业单位北京市西城区志愿服务指导中心</w:t>
      </w:r>
      <w:r>
        <w:rPr>
          <w:rFonts w:hint="eastAsia" w:ascii="仿宋_GB2312" w:eastAsia="仿宋_GB2312"/>
          <w:sz w:val="28"/>
          <w:szCs w:val="28"/>
        </w:rPr>
        <w:t>。</w:t>
      </w: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3.59</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2.45</w:t>
      </w:r>
      <w:r>
        <w:rPr>
          <w:rFonts w:hint="eastAsia" w:ascii="仿宋_GB2312" w:eastAsia="仿宋_GB2312"/>
          <w:sz w:val="28"/>
          <w:szCs w:val="28"/>
        </w:rPr>
        <w:t>万元增加</w:t>
      </w:r>
      <w:r>
        <w:rPr>
          <w:rFonts w:ascii="仿宋_GB2312" w:eastAsia="仿宋_GB2312"/>
          <w:sz w:val="28"/>
          <w:szCs w:val="28"/>
        </w:rPr>
        <w:t>1.14</w:t>
      </w:r>
      <w:r>
        <w:rPr>
          <w:rFonts w:hint="eastAsia" w:ascii="仿宋_GB2312" w:eastAsia="仿宋_GB2312"/>
          <w:sz w:val="28"/>
          <w:szCs w:val="28"/>
        </w:rPr>
        <w:t>万元。其中：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3.59</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万元增加</w:t>
      </w:r>
      <w:r>
        <w:rPr>
          <w:rFonts w:ascii="仿宋_GB2312" w:eastAsia="仿宋_GB2312"/>
          <w:sz w:val="28"/>
          <w:szCs w:val="28"/>
        </w:rPr>
        <w:t>3.59</w:t>
      </w:r>
      <w:r>
        <w:rPr>
          <w:rFonts w:hint="eastAsia" w:ascii="仿宋_GB2312" w:eastAsia="仿宋_GB2312"/>
          <w:sz w:val="28"/>
          <w:szCs w:val="28"/>
        </w:rPr>
        <w:t>万元。主要原因：我单位本年度1人参加共青团北京市委员会牵头的出国访问活动，</w:t>
      </w:r>
      <w:r>
        <w:rPr>
          <w:rFonts w:hint="eastAsia" w:ascii="仿宋_GB2312" w:eastAsia="仿宋_GB2312"/>
          <w:sz w:val="28"/>
          <w:szCs w:val="28"/>
          <w:lang w:eastAsia="zh-CN"/>
        </w:rPr>
        <w:t>相关经费于出访活动前按规定标准进行追加</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年度因公出国（境）费用主要用于</w:t>
      </w:r>
      <w:r>
        <w:rPr>
          <w:rFonts w:hint="eastAsia" w:ascii="仿宋_GB2312" w:eastAsia="仿宋_GB2312"/>
          <w:sz w:val="28"/>
          <w:szCs w:val="28"/>
          <w:lang w:eastAsia="zh-CN"/>
        </w:rPr>
        <w:t>随团市委出访，赴阿根廷、巴西以“青年赋能新质生产力 共谋中拉发展新机遇”为主题开展“中拉青春汇”交流活动。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年度年初预算减少</w:t>
      </w:r>
      <w:r>
        <w:rPr>
          <w:rFonts w:ascii="仿宋_GB2312" w:eastAsia="仿宋_GB2312"/>
          <w:sz w:val="28"/>
          <w:szCs w:val="28"/>
        </w:rPr>
        <w:t>2.45</w:t>
      </w:r>
      <w:r>
        <w:rPr>
          <w:rFonts w:hint="eastAsia" w:ascii="仿宋_GB2312" w:eastAsia="仿宋_GB2312"/>
          <w:sz w:val="28"/>
          <w:szCs w:val="28"/>
        </w:rPr>
        <w:t>万元。</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与</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hint="eastAsia" w:ascii="仿宋_GB2312" w:eastAsia="仿宋_GB2312"/>
          <w:sz w:val="28"/>
          <w:szCs w:val="28"/>
          <w:lang w:val="en-US" w:eastAsia="zh-CN"/>
        </w:rPr>
        <w:t>0</w:t>
      </w:r>
      <w:r>
        <w:rPr>
          <w:rFonts w:hint="eastAsia" w:ascii="仿宋_GB2312" w:eastAsia="仿宋_GB2312"/>
          <w:sz w:val="28"/>
          <w:szCs w:val="28"/>
        </w:rPr>
        <w:t>万元</w:t>
      </w:r>
      <w:r>
        <w:rPr>
          <w:rFonts w:hint="eastAsia" w:ascii="仿宋_GB2312" w:eastAsia="仿宋_GB2312"/>
          <w:sz w:val="28"/>
          <w:szCs w:val="28"/>
          <w:lang w:eastAsia="zh-CN"/>
        </w:rPr>
        <w:t>持平</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辆，车均购置费</w:t>
      </w:r>
      <w:r>
        <w:rPr>
          <w:rFonts w:ascii="仿宋_GB2312" w:eastAsia="仿宋_GB2312"/>
          <w:sz w:val="28"/>
          <w:szCs w:val="28"/>
        </w:rPr>
        <w:t>0</w:t>
      </w:r>
      <w:r>
        <w:rPr>
          <w:rFonts w:hint="eastAsia" w:ascii="仿宋_GB2312" w:eastAsia="仿宋_GB2312"/>
          <w:sz w:val="28"/>
          <w:szCs w:val="28"/>
        </w:rPr>
        <w:t>万元。公务用车运行维护费202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年度年初预算减少</w:t>
      </w:r>
      <w:r>
        <w:rPr>
          <w:rFonts w:ascii="仿宋_GB2312" w:eastAsia="仿宋_GB2312"/>
          <w:sz w:val="28"/>
          <w:szCs w:val="28"/>
        </w:rPr>
        <w:t>2.45</w:t>
      </w:r>
      <w:r>
        <w:rPr>
          <w:rFonts w:hint="eastAsia" w:ascii="仿宋_GB2312" w:eastAsia="仿宋_GB2312"/>
          <w:sz w:val="28"/>
          <w:szCs w:val="28"/>
        </w:rPr>
        <w:t>万元，主要原因：</w:t>
      </w:r>
      <w:r>
        <w:rPr>
          <w:rFonts w:hint="eastAsia" w:ascii="仿宋_GB2312" w:eastAsia="仿宋_GB2312"/>
          <w:sz w:val="28"/>
          <w:szCs w:val="28"/>
          <w:lang w:eastAsia="zh-CN"/>
        </w:rPr>
        <w:t>我单位公务用车</w:t>
      </w:r>
      <w:r>
        <w:rPr>
          <w:rFonts w:hint="eastAsia" w:ascii="仿宋_GB2312" w:eastAsia="仿宋_GB2312"/>
          <w:sz w:val="28"/>
          <w:szCs w:val="28"/>
          <w:lang w:val="en-US" w:eastAsia="zh-CN"/>
        </w:rPr>
        <w:t>1辆，</w:t>
      </w:r>
      <w:r>
        <w:rPr>
          <w:rFonts w:hint="eastAsia" w:ascii="仿宋_GB2312" w:eastAsia="仿宋_GB2312"/>
          <w:sz w:val="28"/>
          <w:szCs w:val="28"/>
          <w:lang w:eastAsia="zh-CN"/>
        </w:rPr>
        <w:t>由区机关事务服务中心统一配置，车辆所属权归区机关事务服务中心</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0</w:t>
      </w:r>
      <w:r>
        <w:rPr>
          <w:rFonts w:hint="eastAsia" w:ascii="仿宋_GB2312" w:eastAsia="仿宋_GB2312"/>
          <w:sz w:val="28"/>
          <w:szCs w:val="28"/>
        </w:rPr>
        <w:t>辆，车均运行维护费</w:t>
      </w:r>
      <w:r>
        <w:rPr>
          <w:rFonts w:ascii="仿宋_GB2312" w:eastAsia="仿宋_GB2312"/>
          <w:sz w:val="28"/>
          <w:szCs w:val="28"/>
        </w:rPr>
        <w:t>0</w:t>
      </w:r>
      <w:r>
        <w:rPr>
          <w:rFonts w:hint="eastAsia" w:ascii="仿宋_GB2312" w:eastAsia="仿宋_GB2312"/>
          <w:sz w:val="28"/>
          <w:szCs w:val="28"/>
        </w:rPr>
        <w:t>万元。</w:t>
      </w:r>
    </w:p>
    <w:p>
      <w:pPr>
        <w:keepNext w:val="0"/>
        <w:keepLines w:val="0"/>
        <w:pageBreakBefore w:val="0"/>
        <w:widowControl w:val="0"/>
        <w:tabs>
          <w:tab w:val="center" w:pos="6979"/>
        </w:tabs>
        <w:kinsoku/>
        <w:wordWrap/>
        <w:overflowPunct/>
        <w:topLinePunct w:val="0"/>
        <w:autoSpaceDE/>
        <w:autoSpaceDN/>
        <w:bidi w:val="0"/>
        <w:adjustRightInd/>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二、机关运行经费支出情况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eastAsia="zh-CN"/>
        </w:rPr>
      </w:pPr>
      <w:r>
        <w:rPr>
          <w:rFonts w:hint="eastAsia" w:ascii="仿宋_GB2312" w:eastAsia="仿宋_GB2312"/>
          <w:sz w:val="28"/>
          <w:szCs w:val="28"/>
          <w:lang w:eastAsia="zh-CN"/>
        </w:rPr>
        <w:t>2024</w:t>
      </w:r>
      <w:r>
        <w:rPr>
          <w:rFonts w:hint="eastAsia" w:ascii="仿宋_GB2312" w:eastAsia="仿宋_GB2312"/>
          <w:sz w:val="28"/>
          <w:szCs w:val="28"/>
        </w:rPr>
        <w:t>年度使用财政拨款安排的基本支出中的日常公用经费支出，合计</w:t>
      </w:r>
      <w:r>
        <w:rPr>
          <w:rFonts w:hint="eastAsia" w:ascii="仿宋_GB2312" w:eastAsia="仿宋_GB2312"/>
          <w:sz w:val="28"/>
          <w:szCs w:val="28"/>
          <w:lang w:val="en-US" w:eastAsia="zh-CN"/>
        </w:rPr>
        <w:t>50.88</w:t>
      </w:r>
      <w:r>
        <w:rPr>
          <w:rFonts w:hint="eastAsia" w:ascii="仿宋_GB2312" w:eastAsia="仿宋_GB2312"/>
          <w:sz w:val="28"/>
          <w:szCs w:val="28"/>
        </w:rPr>
        <w:t>万元，比上年减少</w:t>
      </w:r>
      <w:r>
        <w:rPr>
          <w:rFonts w:hint="eastAsia" w:ascii="仿宋_GB2312" w:eastAsia="仿宋_GB2312"/>
          <w:sz w:val="28"/>
          <w:szCs w:val="28"/>
          <w:lang w:val="en-US" w:eastAsia="zh-CN"/>
        </w:rPr>
        <w:t>3.32</w:t>
      </w:r>
      <w:r>
        <w:rPr>
          <w:rFonts w:hint="eastAsia" w:ascii="仿宋_GB2312" w:eastAsia="仿宋_GB2312"/>
          <w:sz w:val="28"/>
          <w:szCs w:val="28"/>
        </w:rPr>
        <w:t>万元，减少原因：本年度单位内人员调动，对应公用经费预算变动。</w:t>
      </w:r>
      <w:r>
        <w:rPr>
          <w:rFonts w:hint="eastAsia" w:ascii="仿宋_GB2312" w:eastAsia="仿宋_GB2312"/>
          <w:sz w:val="28"/>
          <w:szCs w:val="28"/>
          <w:lang w:eastAsia="zh-CN"/>
        </w:rPr>
        <w:t>同时，公用经费根据本年度机关运行需要，按需支出。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eastAsia="黑体"/>
          <w:sz w:val="28"/>
          <w:szCs w:val="28"/>
        </w:rPr>
      </w:pPr>
      <w:r>
        <w:rPr>
          <w:rFonts w:hint="eastAsia" w:ascii="黑体" w:eastAsia="黑体"/>
          <w:sz w:val="28"/>
          <w:szCs w:val="28"/>
        </w:rPr>
        <w:t>三、政府采购支出情况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266.73</w:t>
      </w:r>
      <w:r>
        <w:rPr>
          <w:rFonts w:hint="eastAsia" w:ascii="仿宋_GB2312" w:eastAsia="仿宋_GB2312"/>
          <w:sz w:val="28"/>
          <w:szCs w:val="28"/>
        </w:rPr>
        <w:t>万元，其中：政府采购货物支出</w:t>
      </w:r>
      <w:r>
        <w:rPr>
          <w:rFonts w:ascii="仿宋_GB2312" w:eastAsia="仿宋_GB2312"/>
          <w:sz w:val="28"/>
          <w:szCs w:val="28"/>
        </w:rPr>
        <w:t>0.46</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266.27</w:t>
      </w:r>
      <w:r>
        <w:rPr>
          <w:rFonts w:hint="eastAsia" w:ascii="仿宋_GB2312" w:eastAsia="仿宋_GB2312"/>
          <w:sz w:val="28"/>
          <w:szCs w:val="28"/>
        </w:rPr>
        <w:t>万元。授予中小企业合同金额</w:t>
      </w:r>
      <w:r>
        <w:rPr>
          <w:rFonts w:ascii="仿宋_GB2312" w:eastAsia="仿宋_GB2312"/>
          <w:sz w:val="28"/>
          <w:szCs w:val="28"/>
        </w:rPr>
        <w:t>11.71</w:t>
      </w:r>
      <w:r>
        <w:rPr>
          <w:rFonts w:hint="eastAsia" w:ascii="仿宋_GB2312" w:eastAsia="仿宋_GB2312"/>
          <w:sz w:val="28"/>
          <w:szCs w:val="28"/>
        </w:rPr>
        <w:t>万元，占政府采购支出总额的</w:t>
      </w:r>
      <w:r>
        <w:rPr>
          <w:rFonts w:hint="eastAsia" w:ascii="仿宋_GB2312" w:eastAsia="仿宋_GB2312"/>
          <w:sz w:val="28"/>
          <w:szCs w:val="28"/>
          <w:lang w:eastAsia="zh-CN"/>
        </w:rPr>
        <w:t>4.</w:t>
      </w:r>
      <w:r>
        <w:rPr>
          <w:rFonts w:hint="eastAsia" w:ascii="仿宋_GB2312" w:eastAsia="仿宋_GB2312"/>
          <w:sz w:val="28"/>
          <w:szCs w:val="28"/>
          <w:lang w:val="en-US" w:eastAsia="zh-CN"/>
        </w:rPr>
        <w:t>40</w:t>
      </w:r>
      <w:r>
        <w:rPr>
          <w:rFonts w:hint="eastAsia" w:ascii="仿宋_GB2312" w:eastAsia="仿宋_GB2312"/>
          <w:sz w:val="28"/>
          <w:szCs w:val="28"/>
        </w:rPr>
        <w:t>%，</w:t>
      </w:r>
      <w:r>
        <w:rPr>
          <w:rFonts w:hint="eastAsia" w:ascii="仿宋_GB2312" w:eastAsia="仿宋_GB2312"/>
          <w:sz w:val="28"/>
          <w:szCs w:val="28"/>
          <w:lang w:eastAsia="zh-CN"/>
        </w:rPr>
        <w:t>其中：授予小微企业合同金额</w:t>
      </w:r>
      <w:r>
        <w:rPr>
          <w:rFonts w:hint="eastAsia" w:ascii="仿宋_GB2312" w:eastAsia="仿宋_GB2312"/>
          <w:sz w:val="28"/>
          <w:szCs w:val="28"/>
        </w:rPr>
        <w:t>11.71万元，占政府采购支出总额的</w:t>
      </w:r>
      <w:r>
        <w:rPr>
          <w:rFonts w:ascii="仿宋_GB2312" w:eastAsia="仿宋_GB2312"/>
          <w:sz w:val="28"/>
          <w:szCs w:val="28"/>
        </w:rPr>
        <w:t>4.</w:t>
      </w:r>
      <w:r>
        <w:rPr>
          <w:rFonts w:hint="eastAsia" w:ascii="仿宋_GB2312" w:eastAsia="仿宋_GB2312"/>
          <w:sz w:val="28"/>
          <w:szCs w:val="28"/>
          <w:lang w:val="en-US" w:eastAsia="zh-CN"/>
        </w:rPr>
        <w:t>40</w:t>
      </w:r>
      <w:r>
        <w:rPr>
          <w:rFonts w:hint="eastAsia" w:ascii="仿宋_GB2312" w:eastAsia="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eastAsia="黑体"/>
          <w:sz w:val="28"/>
          <w:szCs w:val="28"/>
          <w:highlight w:val="yellow"/>
        </w:rPr>
      </w:pPr>
      <w:r>
        <w:rPr>
          <w:rFonts w:hint="eastAsia" w:ascii="黑体" w:eastAsia="黑体"/>
          <w:sz w:val="28"/>
          <w:szCs w:val="28"/>
          <w:highlight w:val="none"/>
        </w:rPr>
        <w:t>四、国有资产占用情况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仿宋_GB2312" w:eastAsia="仿宋_GB2312"/>
          <w:sz w:val="32"/>
          <w:szCs w:val="32"/>
        </w:rPr>
      </w:pPr>
      <w:r>
        <w:rPr>
          <w:rFonts w:hint="eastAsia" w:ascii="仿宋_GB2312" w:eastAsia="仿宋_GB2312"/>
          <w:sz w:val="28"/>
          <w:szCs w:val="28"/>
        </w:rPr>
        <w:t>截至12月31日，</w:t>
      </w:r>
      <w:r>
        <w:rPr>
          <w:rFonts w:hint="eastAsia" w:ascii="仿宋_GB2312" w:eastAsia="仿宋_GB2312"/>
          <w:sz w:val="28"/>
          <w:szCs w:val="28"/>
          <w:lang w:eastAsia="zh-CN"/>
        </w:rPr>
        <w:t>我单位</w:t>
      </w:r>
      <w:r>
        <w:rPr>
          <w:rFonts w:hint="eastAsia" w:ascii="仿宋_GB2312" w:eastAsia="仿宋_GB2312"/>
          <w:sz w:val="28"/>
          <w:szCs w:val="28"/>
        </w:rPr>
        <w:t>共有车辆</w:t>
      </w:r>
      <w:r>
        <w:rPr>
          <w:rFonts w:hint="eastAsia" w:ascii="仿宋_GB2312" w:eastAsia="仿宋_GB2312"/>
          <w:sz w:val="28"/>
          <w:szCs w:val="28"/>
          <w:lang w:val="en-US" w:eastAsia="zh-CN"/>
        </w:rPr>
        <w:t>0</w:t>
      </w:r>
      <w:r>
        <w:rPr>
          <w:rFonts w:hint="eastAsia" w:ascii="仿宋_GB2312" w:eastAsia="仿宋_GB2312"/>
          <w:sz w:val="28"/>
          <w:szCs w:val="28"/>
        </w:rPr>
        <w:t>台，共；单位价值100万元（含）以上的设备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政府购买服务决算239.63</w:t>
      </w:r>
      <w:r>
        <w:rPr>
          <w:rFonts w:hint="eastAsia" w:ascii="仿宋_GB2312" w:eastAsia="仿宋_GB2312"/>
          <w:sz w:val="28"/>
          <w:szCs w:val="28"/>
        </w:rPr>
        <w:t>万元。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28"/>
          <w:szCs w:val="28"/>
        </w:rPr>
      </w:pPr>
      <w:r>
        <w:rPr>
          <w:rFonts w:hint="eastAsia" w:ascii="仿宋_GB2312" w:eastAsia="仿宋_GB2312"/>
          <w:sz w:val="28"/>
          <w:szCs w:val="28"/>
        </w:rPr>
        <w:br w:type="page"/>
      </w:r>
    </w:p>
    <w:p>
      <w:pPr>
        <w:pStyle w:val="2"/>
        <w:rPr>
          <w:rFonts w:hint="eastAsia"/>
        </w:rPr>
      </w:pPr>
    </w:p>
    <w:p>
      <w:pPr>
        <w:jc w:val="both"/>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r>
        <w:rPr>
          <w:rFonts w:hint="eastAsia" w:ascii="黑体" w:eastAsia="黑体"/>
          <w:sz w:val="28"/>
          <w:szCs w:val="28"/>
          <w:lang w:eastAsia="zh-CN"/>
        </w:rPr>
        <w:t>（详见附件）</w:t>
      </w:r>
    </w:p>
    <w:p>
      <w:pPr>
        <w:numPr>
          <w:ilvl w:val="0"/>
          <w:numId w:val="2"/>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r>
        <w:rPr>
          <w:rFonts w:hint="eastAsia" w:ascii="黑体" w:eastAsia="黑体"/>
          <w:sz w:val="28"/>
          <w:szCs w:val="28"/>
          <w:lang w:eastAsia="zh-CN"/>
        </w:rPr>
        <w:t>（详见附件）</w:t>
      </w:r>
    </w:p>
    <w:p>
      <w:pPr>
        <w:numPr>
          <w:ilvl w:val="0"/>
          <w:numId w:val="2"/>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r>
        <w:rPr>
          <w:rFonts w:hint="eastAsia" w:ascii="黑体" w:eastAsia="黑体"/>
          <w:sz w:val="28"/>
          <w:szCs w:val="28"/>
          <w:lang w:eastAsia="zh-CN"/>
        </w:rPr>
        <w:t>（详见附件）</w:t>
      </w:r>
    </w:p>
    <w:p>
      <w:pPr>
        <w:numPr>
          <w:ilvl w:val="0"/>
          <w:numId w:val="0"/>
        </w:numPr>
        <w:rPr>
          <w:rFonts w:hint="eastAsia" w:ascii="黑体" w:eastAsia="黑体"/>
          <w:sz w:val="28"/>
          <w:szCs w:val="28"/>
        </w:rPr>
      </w:pPr>
    </w:p>
    <w:p>
      <w:pPr>
        <w:spacing w:line="480" w:lineRule="exact"/>
        <w:rPr>
          <w:rFonts w:hint="eastAsia" w:ascii="仿宋_GB2312" w:hAnsi="仿宋_GB2312" w:eastAsia="仿宋_GB2312" w:cs="仿宋_GB2312"/>
          <w:sz w:val="32"/>
          <w:szCs w:val="32"/>
        </w:rPr>
      </w:pPr>
    </w:p>
    <w:p>
      <w:pPr>
        <w:spacing w:line="480" w:lineRule="exact"/>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abstractNum w:abstractNumId="1">
    <w:nsid w:val="D941F8A1"/>
    <w:multiLevelType w:val="singleLevel"/>
    <w:tmpl w:val="D941F8A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8E2C57"/>
    <w:rsid w:val="1059665E"/>
    <w:rsid w:val="10AC13BA"/>
    <w:rsid w:val="145A6C1B"/>
    <w:rsid w:val="14B73493"/>
    <w:rsid w:val="167A2FF9"/>
    <w:rsid w:val="18581C69"/>
    <w:rsid w:val="1AEC0734"/>
    <w:rsid w:val="1DEF20B0"/>
    <w:rsid w:val="214243FA"/>
    <w:rsid w:val="21AD613C"/>
    <w:rsid w:val="22467189"/>
    <w:rsid w:val="23401416"/>
    <w:rsid w:val="257A14F5"/>
    <w:rsid w:val="27196C26"/>
    <w:rsid w:val="29EF086F"/>
    <w:rsid w:val="2EFFE297"/>
    <w:rsid w:val="301437CA"/>
    <w:rsid w:val="337940B9"/>
    <w:rsid w:val="349D1F0A"/>
    <w:rsid w:val="34DD0473"/>
    <w:rsid w:val="3C684897"/>
    <w:rsid w:val="433E495C"/>
    <w:rsid w:val="45A20788"/>
    <w:rsid w:val="489F2FD7"/>
    <w:rsid w:val="48F603F7"/>
    <w:rsid w:val="498C2CB3"/>
    <w:rsid w:val="4AC27CB3"/>
    <w:rsid w:val="4BF72BEF"/>
    <w:rsid w:val="4FA90297"/>
    <w:rsid w:val="4FC41A43"/>
    <w:rsid w:val="51DB3C59"/>
    <w:rsid w:val="550C0952"/>
    <w:rsid w:val="55762E42"/>
    <w:rsid w:val="57A7B272"/>
    <w:rsid w:val="58470068"/>
    <w:rsid w:val="58747CAC"/>
    <w:rsid w:val="5A1720F9"/>
    <w:rsid w:val="5B9C37C2"/>
    <w:rsid w:val="5BA7C654"/>
    <w:rsid w:val="60A54109"/>
    <w:rsid w:val="61D01CDF"/>
    <w:rsid w:val="64C0607C"/>
    <w:rsid w:val="65756C86"/>
    <w:rsid w:val="65C56C88"/>
    <w:rsid w:val="674D385B"/>
    <w:rsid w:val="676F09E1"/>
    <w:rsid w:val="71793A80"/>
    <w:rsid w:val="7357290B"/>
    <w:rsid w:val="798524E4"/>
    <w:rsid w:val="7A7F1C49"/>
    <w:rsid w:val="7B5B7AE6"/>
    <w:rsid w:val="7B7B6628"/>
    <w:rsid w:val="7BA7071E"/>
    <w:rsid w:val="7BDF6DA8"/>
    <w:rsid w:val="7C7EDC1A"/>
    <w:rsid w:val="7CCED98D"/>
    <w:rsid w:val="7D08410F"/>
    <w:rsid w:val="7DB96DED"/>
    <w:rsid w:val="7DD3AD81"/>
    <w:rsid w:val="7F7FE70F"/>
    <w:rsid w:val="7FFF772F"/>
    <w:rsid w:val="95F35EF6"/>
    <w:rsid w:val="9BFFD860"/>
    <w:rsid w:val="AC5F73DE"/>
    <w:rsid w:val="B5DDD2C8"/>
    <w:rsid w:val="B9DFABD9"/>
    <w:rsid w:val="BC0D83FC"/>
    <w:rsid w:val="BF3BDEFB"/>
    <w:rsid w:val="C75F6086"/>
    <w:rsid w:val="C7F7ED2D"/>
    <w:rsid w:val="CFAF854E"/>
    <w:rsid w:val="D8D7928E"/>
    <w:rsid w:val="D8FE3136"/>
    <w:rsid w:val="DDDE60B7"/>
    <w:rsid w:val="DE9F6A22"/>
    <w:rsid w:val="DF4FCE6A"/>
    <w:rsid w:val="E4FED278"/>
    <w:rsid w:val="EDAA365C"/>
    <w:rsid w:val="EDADFC12"/>
    <w:rsid w:val="F2FD229B"/>
    <w:rsid w:val="F7F709E9"/>
    <w:rsid w:val="F7FF3690"/>
    <w:rsid w:val="F9BD3900"/>
    <w:rsid w:val="FC8B9876"/>
    <w:rsid w:val="FEDFF218"/>
    <w:rsid w:val="FEDFF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1939.38</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layout>
                <c:manualLayout>
                  <c:x val="-0.03900372940115"/>
                  <c:y val="0.032827143610787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389887693586102"/>
                  <c:y val="0.010511229510062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956.11</c:v>
                </c:pt>
                <c:pt idx="1">
                  <c:v>983.27</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rgbClr val="D9D9D9">
          <a:lumMod val="15000"/>
          <a:lumOff val="85000"/>
        </a:srgb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3432</Words>
  <Characters>5781</Characters>
  <Lines>44</Lines>
  <Paragraphs>12</Paragraphs>
  <TotalTime>8</TotalTime>
  <ScaleCrop>false</ScaleCrop>
  <LinksUpToDate>false</LinksUpToDate>
  <CharactersWithSpaces>5802</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2017-07-11T15:16:00Z</dcterms:created>
  <dc:creator>常程</dc:creator>
  <cp:lastModifiedBy>姚宗瑞</cp:lastModifiedBy>
  <cp:lastPrinted>2020-08-07T11:39:00Z</cp:lastPrinted>
  <dcterms:modified xsi:type="dcterms:W3CDTF">2025-08-27T07:33:52Z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2052-11.8.2.11473</vt:lpwstr>
  </property>
  <property fmtid="{D5CDD505-2E9C-101B-9397-08002B2CF9AE}" pid="3" name="ICV">
    <vt:lpwstr>51A58C0F6DF24448A24ED9E2E868CF4B</vt:lpwstr>
  </property>
  <property fmtid="{D5CDD505-2E9C-101B-9397-08002B2CF9AE}" pid="4" name="KSOTemplateDocerSaveRecord">
    <vt:lpwstr>eyJoZGlkIjoiMzFhMDlmODM4NDM3ZTUzZTJhOWRjZWIxNmVkMjQxNTMiLCJ1c2VySWQiOiIxMTQwMjc4MDE0In0=</vt:lpwstr>
  </property>
</Properties>
</file>