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B3D662">
      <w:pPr>
        <w:jc w:val="center"/>
        <w:rPr>
          <w:rFonts w:ascii="仿宋_GB2312" w:eastAsia="仿宋_GB2312"/>
          <w:b/>
          <w:sz w:val="32"/>
          <w:szCs w:val="32"/>
        </w:rPr>
      </w:pPr>
    </w:p>
    <w:p w14:paraId="24AFC445">
      <w:pPr>
        <w:jc w:val="center"/>
        <w:rPr>
          <w:rFonts w:ascii="黑体" w:eastAsia="黑体"/>
          <w:sz w:val="72"/>
          <w:szCs w:val="72"/>
        </w:rPr>
      </w:pPr>
    </w:p>
    <w:p w14:paraId="6854D578">
      <w:pPr>
        <w:jc w:val="center"/>
        <w:rPr>
          <w:rFonts w:ascii="黑体" w:eastAsia="黑体"/>
          <w:sz w:val="72"/>
          <w:szCs w:val="72"/>
        </w:rPr>
      </w:pPr>
    </w:p>
    <w:p w14:paraId="43A41590">
      <w:pPr>
        <w:jc w:val="center"/>
        <w:rPr>
          <w:rFonts w:ascii="黑体" w:eastAsia="黑体"/>
          <w:sz w:val="72"/>
          <w:szCs w:val="72"/>
        </w:rPr>
      </w:pPr>
    </w:p>
    <w:p w14:paraId="073025DC">
      <w:pPr>
        <w:jc w:val="center"/>
        <w:rPr>
          <w:rFonts w:ascii="黑体" w:eastAsia="黑体"/>
          <w:sz w:val="72"/>
          <w:szCs w:val="72"/>
        </w:rPr>
      </w:pPr>
    </w:p>
    <w:p w14:paraId="05DBF9AB">
      <w:pPr>
        <w:jc w:val="center"/>
        <w:rPr>
          <w:rFonts w:ascii="黑体" w:eastAsia="黑体"/>
          <w:sz w:val="72"/>
          <w:szCs w:val="72"/>
        </w:rPr>
      </w:pPr>
      <w:r>
        <w:rPr>
          <w:rFonts w:hint="eastAsia" w:ascii="黑体" w:eastAsia="黑体"/>
          <w:sz w:val="72"/>
          <w:szCs w:val="72"/>
        </w:rPr>
        <w:t>202</w:t>
      </w:r>
      <w:r>
        <w:rPr>
          <w:rFonts w:hint="eastAsia" w:ascii="黑体" w:eastAsia="黑体"/>
          <w:sz w:val="72"/>
          <w:szCs w:val="72"/>
          <w:lang w:val="en-US" w:eastAsia="zh-CN"/>
        </w:rPr>
        <w:t>4</w:t>
      </w:r>
      <w:r>
        <w:rPr>
          <w:rFonts w:hint="eastAsia" w:ascii="黑体" w:eastAsia="黑体"/>
          <w:sz w:val="72"/>
          <w:szCs w:val="72"/>
        </w:rPr>
        <w:t>年度部门决算（</w:t>
      </w:r>
      <w:r>
        <w:rPr>
          <w:rFonts w:hint="eastAsia" w:ascii="黑体" w:eastAsia="黑体"/>
          <w:sz w:val="72"/>
          <w:szCs w:val="72"/>
          <w:lang w:val="en-US" w:eastAsia="zh-CN"/>
        </w:rPr>
        <w:t>公开</w:t>
      </w:r>
      <w:r>
        <w:rPr>
          <w:rFonts w:ascii="黑体" w:eastAsia="黑体"/>
          <w:sz w:val="72"/>
          <w:szCs w:val="72"/>
        </w:rPr>
        <w:t>）</w:t>
      </w:r>
    </w:p>
    <w:p w14:paraId="42E82CCD">
      <w:pPr>
        <w:jc w:val="center"/>
        <w:rPr>
          <w:rFonts w:ascii="黑体" w:eastAsia="黑体"/>
          <w:sz w:val="52"/>
          <w:szCs w:val="52"/>
        </w:rPr>
      </w:pPr>
    </w:p>
    <w:p w14:paraId="14ECD699">
      <w:pPr>
        <w:jc w:val="center"/>
        <w:rPr>
          <w:rFonts w:ascii="黑体" w:eastAsia="黑体"/>
          <w:sz w:val="52"/>
          <w:szCs w:val="52"/>
        </w:rPr>
      </w:pPr>
    </w:p>
    <w:p w14:paraId="30F86CAA">
      <w:pPr>
        <w:jc w:val="center"/>
        <w:rPr>
          <w:rFonts w:ascii="黑体" w:eastAsia="黑体"/>
          <w:sz w:val="52"/>
          <w:szCs w:val="52"/>
        </w:rPr>
      </w:pPr>
    </w:p>
    <w:p w14:paraId="5429DA67">
      <w:pPr>
        <w:jc w:val="center"/>
        <w:rPr>
          <w:rFonts w:ascii="黑体" w:eastAsia="黑体"/>
          <w:sz w:val="52"/>
          <w:szCs w:val="52"/>
        </w:rPr>
      </w:pPr>
    </w:p>
    <w:p w14:paraId="404AF3CA">
      <w:pPr>
        <w:jc w:val="center"/>
        <w:rPr>
          <w:rFonts w:ascii="黑体" w:eastAsia="黑体"/>
          <w:sz w:val="32"/>
          <w:szCs w:val="32"/>
        </w:rPr>
      </w:pPr>
    </w:p>
    <w:p w14:paraId="20F205C7">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14:paraId="5E40A7CC">
      <w:pPr>
        <w:spacing w:line="500" w:lineRule="exact"/>
        <w:ind w:firstLine="645"/>
        <w:jc w:val="center"/>
        <w:rPr>
          <w:rFonts w:hint="eastAsia" w:ascii="宋体" w:hAnsi="宋体" w:cs="宋体"/>
          <w:b/>
          <w:bCs/>
          <w:kern w:val="0"/>
          <w:sz w:val="36"/>
          <w:szCs w:val="36"/>
        </w:rPr>
      </w:pPr>
    </w:p>
    <w:p w14:paraId="4680E4AD">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第一部分 202</w:t>
      </w:r>
      <w:r>
        <w:rPr>
          <w:rFonts w:hint="eastAsia" w:ascii="宋体" w:hAnsi="宋体" w:cs="宋体"/>
          <w:bCs/>
          <w:spacing w:val="40"/>
          <w:kern w:val="0"/>
          <w:sz w:val="32"/>
          <w:szCs w:val="32"/>
          <w:lang w:val="en-US" w:eastAsia="zh-CN"/>
        </w:rPr>
        <w:t>4</w:t>
      </w:r>
      <w:r>
        <w:rPr>
          <w:rFonts w:hint="eastAsia" w:ascii="宋体" w:hAnsi="宋体" w:cs="宋体"/>
          <w:bCs/>
          <w:spacing w:val="40"/>
          <w:kern w:val="0"/>
          <w:sz w:val="32"/>
          <w:szCs w:val="32"/>
        </w:rPr>
        <w:t>年度部门决算报表</w:t>
      </w:r>
    </w:p>
    <w:p w14:paraId="5CF4BFB4">
      <w:pPr>
        <w:tabs>
          <w:tab w:val="center" w:pos="6979"/>
        </w:tabs>
        <w:spacing w:line="500" w:lineRule="exact"/>
        <w:ind w:firstLine="2400" w:firstLineChars="600"/>
        <w:jc w:val="left"/>
        <w:rPr>
          <w:rFonts w:hint="eastAsia"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14:paraId="6BFA7600">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14:paraId="188BBF69">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14:paraId="3A787A86">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14:paraId="1003F777">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14:paraId="0984DC21">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14:paraId="1C8249CD">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14:paraId="7FE8BD05">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八</w:t>
      </w:r>
      <w:r>
        <w:rPr>
          <w:rFonts w:hint="eastAsia" w:ascii="仿宋_GB2312" w:hAnsi="仿宋" w:eastAsia="仿宋_GB2312" w:cs="宋体"/>
          <w:bCs/>
          <w:spacing w:val="40"/>
          <w:kern w:val="0"/>
          <w:sz w:val="32"/>
          <w:szCs w:val="32"/>
        </w:rPr>
        <w:t>、</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14:paraId="63D513A7">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九</w:t>
      </w:r>
      <w:r>
        <w:rPr>
          <w:rFonts w:hint="eastAsia" w:ascii="仿宋_GB2312" w:hAnsi="仿宋" w:eastAsia="仿宋_GB2312" w:cs="宋体"/>
          <w:bCs/>
          <w:spacing w:val="40"/>
          <w:kern w:val="0"/>
          <w:sz w:val="32"/>
          <w:szCs w:val="32"/>
        </w:rPr>
        <w:t>、国有资本经营预算财政拨款支出决算表</w:t>
      </w:r>
    </w:p>
    <w:p w14:paraId="73D2F8C4">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14:paraId="4B9462AA">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14:paraId="571297B2">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w:t>
      </w:r>
      <w:r>
        <w:rPr>
          <w:rFonts w:hint="eastAsia" w:ascii="仿宋_GB2312" w:hAnsi="仿宋" w:eastAsia="仿宋_GB2312" w:cs="宋体"/>
          <w:bCs/>
          <w:spacing w:val="40"/>
          <w:kern w:val="0"/>
          <w:sz w:val="32"/>
          <w:szCs w:val="32"/>
          <w:lang w:eastAsia="zh-CN"/>
        </w:rPr>
        <w:t>二</w:t>
      </w:r>
      <w:r>
        <w:rPr>
          <w:rFonts w:hint="eastAsia" w:ascii="仿宋_GB2312" w:hAnsi="仿宋" w:eastAsia="仿宋_GB2312" w:cs="宋体"/>
          <w:bCs/>
          <w:spacing w:val="40"/>
          <w:kern w:val="0"/>
          <w:sz w:val="32"/>
          <w:szCs w:val="32"/>
        </w:rPr>
        <w:t>、政府购买服务决算公开情况表</w:t>
      </w:r>
    </w:p>
    <w:p w14:paraId="4A04907B">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年度部门决算说明</w:t>
      </w:r>
    </w:p>
    <w:p w14:paraId="0B170AE5">
      <w:pPr>
        <w:tabs>
          <w:tab w:val="center" w:pos="6979"/>
        </w:tabs>
        <w:spacing w:line="500" w:lineRule="exact"/>
        <w:ind w:firstLine="1600" w:firstLineChars="400"/>
        <w:jc w:val="left"/>
        <w:rPr>
          <w:rFonts w:hint="eastAsia"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w:t>
      </w:r>
      <w:r>
        <w:rPr>
          <w:rFonts w:hint="eastAsia" w:ascii="宋体" w:hAnsi="宋体" w:cs="宋体"/>
          <w:spacing w:val="40"/>
          <w:kern w:val="0"/>
          <w:sz w:val="32"/>
          <w:szCs w:val="32"/>
        </w:rPr>
        <w:t>其他重要事项的情况说明</w:t>
      </w:r>
    </w:p>
    <w:p w14:paraId="13D42AD9">
      <w:pPr>
        <w:tabs>
          <w:tab w:val="center" w:pos="6979"/>
        </w:tabs>
        <w:spacing w:line="500" w:lineRule="exact"/>
        <w:ind w:firstLine="1600" w:firstLineChars="400"/>
        <w:jc w:val="left"/>
        <w:rPr>
          <w:rFonts w:hint="eastAsia" w:ascii="宋体" w:hAnsi="宋体" w:cs="宋体"/>
          <w:spacing w:val="40"/>
          <w:kern w:val="0"/>
          <w:sz w:val="36"/>
          <w:szCs w:val="32"/>
        </w:rPr>
      </w:pPr>
      <w:r>
        <w:rPr>
          <w:rFonts w:hint="eastAsia" w:ascii="宋体" w:hAnsi="宋体" w:cs="宋体"/>
          <w:spacing w:val="40"/>
          <w:kern w:val="0"/>
          <w:sz w:val="32"/>
          <w:szCs w:val="32"/>
        </w:rPr>
        <w:t>第四部分 202</w:t>
      </w:r>
      <w:r>
        <w:rPr>
          <w:rFonts w:hint="eastAsia" w:ascii="宋体" w:hAnsi="宋体" w:cs="宋体"/>
          <w:spacing w:val="40"/>
          <w:kern w:val="0"/>
          <w:sz w:val="32"/>
          <w:szCs w:val="32"/>
          <w:lang w:val="en-US" w:eastAsia="zh-CN"/>
        </w:rPr>
        <w:t>4</w:t>
      </w:r>
      <w:r>
        <w:rPr>
          <w:rFonts w:hint="eastAsia" w:ascii="宋体" w:hAnsi="宋体" w:cs="宋体"/>
          <w:spacing w:val="40"/>
          <w:kern w:val="0"/>
          <w:sz w:val="32"/>
          <w:szCs w:val="32"/>
        </w:rPr>
        <w:t>年度部门绩效评价情况</w:t>
      </w:r>
    </w:p>
    <w:p w14:paraId="2DB1FDB8">
      <w:pPr>
        <w:tabs>
          <w:tab w:val="center" w:pos="6979"/>
        </w:tabs>
        <w:spacing w:before="156" w:beforeLines="50" w:after="156" w:afterLines="50"/>
        <w:jc w:val="center"/>
        <w:rPr>
          <w:rFonts w:ascii="宋体" w:hAnsi="宋体" w:cs="宋体"/>
          <w:b/>
          <w:bCs/>
          <w:spacing w:val="40"/>
          <w:kern w:val="0"/>
          <w:sz w:val="32"/>
          <w:szCs w:val="32"/>
        </w:rPr>
      </w:pPr>
    </w:p>
    <w:p w14:paraId="16506569">
      <w:pPr>
        <w:tabs>
          <w:tab w:val="center" w:pos="6979"/>
        </w:tabs>
        <w:spacing w:before="156" w:beforeLines="50" w:after="156" w:afterLines="50"/>
        <w:jc w:val="center"/>
        <w:rPr>
          <w:rFonts w:ascii="宋体" w:hAnsi="宋体" w:cs="宋体"/>
          <w:b/>
          <w:bCs/>
          <w:spacing w:val="40"/>
          <w:kern w:val="0"/>
          <w:sz w:val="32"/>
          <w:szCs w:val="32"/>
        </w:rPr>
      </w:pPr>
    </w:p>
    <w:p w14:paraId="0D84DA7F">
      <w:pPr>
        <w:tabs>
          <w:tab w:val="center" w:pos="6979"/>
        </w:tabs>
        <w:spacing w:before="156" w:beforeLines="50" w:after="156" w:afterLines="50"/>
        <w:jc w:val="center"/>
        <w:rPr>
          <w:rFonts w:ascii="宋体" w:hAnsi="宋体" w:cs="宋体"/>
          <w:b/>
          <w:bCs/>
          <w:spacing w:val="40"/>
          <w:kern w:val="0"/>
          <w:sz w:val="32"/>
          <w:szCs w:val="32"/>
        </w:rPr>
      </w:pPr>
    </w:p>
    <w:p w14:paraId="45AD1B6C">
      <w:pPr>
        <w:tabs>
          <w:tab w:val="center" w:pos="6979"/>
        </w:tabs>
        <w:spacing w:before="156" w:beforeLines="50" w:after="156" w:afterLines="50"/>
        <w:jc w:val="center"/>
        <w:rPr>
          <w:rFonts w:ascii="宋体" w:hAnsi="宋体" w:cs="宋体"/>
          <w:b/>
          <w:bCs/>
          <w:spacing w:val="40"/>
          <w:kern w:val="0"/>
          <w:sz w:val="32"/>
          <w:szCs w:val="32"/>
        </w:rPr>
      </w:pPr>
    </w:p>
    <w:p w14:paraId="6DD221D8">
      <w:pPr>
        <w:tabs>
          <w:tab w:val="center" w:pos="6979"/>
        </w:tabs>
        <w:spacing w:before="156" w:beforeLines="50" w:after="156" w:afterLines="50"/>
        <w:jc w:val="center"/>
        <w:rPr>
          <w:rFonts w:ascii="宋体" w:hAnsi="宋体" w:cs="宋体"/>
          <w:b/>
          <w:bCs/>
          <w:spacing w:val="40"/>
          <w:kern w:val="0"/>
          <w:sz w:val="32"/>
          <w:szCs w:val="32"/>
        </w:rPr>
      </w:pPr>
    </w:p>
    <w:p w14:paraId="4C5CF4FF">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 xml:space="preserve">第一部分 </w:t>
      </w:r>
      <w:r>
        <w:rPr>
          <w:rFonts w:hint="eastAsia" w:ascii="宋体" w:hAnsi="宋体" w:cs="宋体"/>
          <w:b/>
          <w:bCs/>
          <w:spacing w:val="40"/>
          <w:kern w:val="0"/>
          <w:sz w:val="44"/>
          <w:szCs w:val="44"/>
          <w:lang w:eastAsia="zh-CN"/>
        </w:rPr>
        <w:t>2024</w:t>
      </w:r>
      <w:r>
        <w:rPr>
          <w:rFonts w:hint="eastAsia" w:ascii="宋体" w:hAnsi="宋体" w:cs="宋体"/>
          <w:b/>
          <w:bCs/>
          <w:spacing w:val="40"/>
          <w:kern w:val="0"/>
          <w:sz w:val="44"/>
          <w:szCs w:val="44"/>
        </w:rPr>
        <w:t>年度部门决算报表</w:t>
      </w:r>
    </w:p>
    <w:p w14:paraId="502F1368">
      <w:pPr>
        <w:pStyle w:val="2"/>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14:paraId="3EEA5C4E">
      <w:pPr>
        <w:tabs>
          <w:tab w:val="center" w:pos="6979"/>
        </w:tabs>
        <w:spacing w:before="156" w:beforeLines="50" w:after="156" w:afterLines="50"/>
        <w:jc w:val="center"/>
        <w:rPr>
          <w:rFonts w:hint="eastAsia"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年度部门决算说明</w:t>
      </w:r>
    </w:p>
    <w:p w14:paraId="3F32A2E7">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一、部门/单位基本情况</w:t>
      </w:r>
      <w:r>
        <w:rPr>
          <w:rFonts w:hint="eastAsia" w:ascii="仿宋_GB2312" w:eastAsia="仿宋_GB2312"/>
          <w:sz w:val="28"/>
          <w:szCs w:val="28"/>
        </w:rPr>
        <w:t>（比照</w:t>
      </w:r>
      <w:r>
        <w:rPr>
          <w:rFonts w:ascii="仿宋_GB2312" w:eastAsia="仿宋_GB2312"/>
          <w:sz w:val="28"/>
          <w:szCs w:val="28"/>
        </w:rPr>
        <w:t>预算公开</w:t>
      </w:r>
      <w:r>
        <w:rPr>
          <w:rFonts w:hint="eastAsia" w:ascii="仿宋_GB2312" w:eastAsia="仿宋_GB2312"/>
          <w:sz w:val="28"/>
          <w:szCs w:val="28"/>
        </w:rPr>
        <w:t>的内容</w:t>
      </w:r>
      <w:r>
        <w:rPr>
          <w:rFonts w:ascii="仿宋_GB2312" w:eastAsia="仿宋_GB2312"/>
          <w:sz w:val="28"/>
          <w:szCs w:val="28"/>
        </w:rPr>
        <w:t>格式）</w:t>
      </w:r>
    </w:p>
    <w:p w14:paraId="7CAF5AD8">
      <w:pPr>
        <w:tabs>
          <w:tab w:val="center" w:pos="6979"/>
        </w:tabs>
        <w:spacing w:line="580" w:lineRule="exact"/>
        <w:ind w:firstLine="570"/>
        <w:rPr>
          <w:rFonts w:hint="eastAsia" w:ascii="仿宋_GB2312" w:eastAsia="仿宋_GB2312"/>
          <w:sz w:val="28"/>
          <w:szCs w:val="28"/>
          <w:lang w:eastAsia="zh-CN"/>
        </w:rPr>
      </w:pPr>
      <w:r>
        <w:rPr>
          <w:rFonts w:hint="eastAsia" w:ascii="仿宋_GB2312" w:eastAsia="仿宋_GB2312"/>
          <w:sz w:val="28"/>
          <w:szCs w:val="28"/>
          <w:lang w:eastAsia="zh-CN"/>
        </w:rPr>
        <w:t>（1）贯彻执行党的路线、方针和政策，根据区委、区政府、北京市总工会的中心工作和党的工运方针，研究制定每个时期工会工作的方针和任务，指导全区各级工会工作。</w:t>
      </w:r>
    </w:p>
    <w:p w14:paraId="6A58F3B4">
      <w:pPr>
        <w:tabs>
          <w:tab w:val="center" w:pos="6979"/>
        </w:tabs>
        <w:spacing w:line="580" w:lineRule="exact"/>
        <w:ind w:firstLine="570"/>
        <w:rPr>
          <w:rFonts w:hint="eastAsia" w:ascii="仿宋_GB2312" w:eastAsia="仿宋_GB2312"/>
          <w:sz w:val="28"/>
          <w:szCs w:val="28"/>
          <w:lang w:eastAsia="zh-CN"/>
        </w:rPr>
      </w:pPr>
      <w:r>
        <w:rPr>
          <w:rFonts w:hint="eastAsia" w:ascii="仿宋_GB2312" w:eastAsia="仿宋_GB2312"/>
          <w:sz w:val="28"/>
          <w:szCs w:val="28"/>
          <w:lang w:eastAsia="zh-CN"/>
        </w:rPr>
        <w:t>（2）负责工运理论政策的调研，组织对工会工作中重大问题的调查研究。向区委、区政府反映职工群众切身利益、呼声和要求，就有关涉及职工群众利益的改革进行调查研究，提出建议或方案。参与有关法律、法规的制定，并监督执行。</w:t>
      </w:r>
    </w:p>
    <w:p w14:paraId="0FC2536C">
      <w:pPr>
        <w:tabs>
          <w:tab w:val="center" w:pos="6979"/>
        </w:tabs>
        <w:spacing w:line="580" w:lineRule="exact"/>
        <w:ind w:firstLine="570"/>
        <w:rPr>
          <w:rFonts w:hint="eastAsia" w:ascii="仿宋_GB2312" w:eastAsia="仿宋_GB2312"/>
          <w:sz w:val="28"/>
          <w:szCs w:val="28"/>
          <w:lang w:eastAsia="zh-CN"/>
        </w:rPr>
      </w:pPr>
      <w:r>
        <w:rPr>
          <w:rFonts w:hint="eastAsia" w:ascii="仿宋_GB2312" w:eastAsia="仿宋_GB2312"/>
          <w:sz w:val="28"/>
          <w:szCs w:val="28"/>
          <w:lang w:eastAsia="zh-CN"/>
        </w:rPr>
        <w:t>（3）依照法律和工会章程，组织和指导各级工会认真履行工会的职能。贯彻执行北京市西城区工会代表大会和北京市西城区总工会常委会决议，开展工会的各项业务工作。根据各基层直属工会的意见和要求，解决需要由区总工会与有关党政方面协商解决的问题。</w:t>
      </w:r>
    </w:p>
    <w:p w14:paraId="24CC1172">
      <w:pPr>
        <w:tabs>
          <w:tab w:val="center" w:pos="6979"/>
        </w:tabs>
        <w:spacing w:line="580" w:lineRule="exact"/>
        <w:ind w:firstLine="570"/>
        <w:rPr>
          <w:rFonts w:hint="eastAsia" w:ascii="仿宋_GB2312" w:eastAsia="仿宋_GB2312"/>
          <w:sz w:val="28"/>
          <w:szCs w:val="28"/>
          <w:lang w:eastAsia="zh-CN"/>
        </w:rPr>
      </w:pPr>
      <w:r>
        <w:rPr>
          <w:rFonts w:hint="eastAsia" w:ascii="仿宋_GB2312" w:eastAsia="仿宋_GB2312"/>
          <w:sz w:val="28"/>
          <w:szCs w:val="28"/>
          <w:lang w:eastAsia="zh-CN"/>
        </w:rPr>
        <w:t>（4）负责全区工会的组织建设和制度建设，与区委有关部委协商推荐各直属基层工会的主要领导人选。研究制定各级工会干部的管理制度和培训教育规划，并组织实施。</w:t>
      </w:r>
    </w:p>
    <w:p w14:paraId="02D931E6">
      <w:pPr>
        <w:tabs>
          <w:tab w:val="center" w:pos="6979"/>
        </w:tabs>
        <w:spacing w:line="580" w:lineRule="exact"/>
        <w:ind w:firstLine="570"/>
        <w:rPr>
          <w:rFonts w:hint="eastAsia" w:ascii="仿宋_GB2312" w:eastAsia="仿宋_GB2312"/>
          <w:sz w:val="28"/>
          <w:szCs w:val="28"/>
          <w:lang w:eastAsia="zh-CN"/>
        </w:rPr>
      </w:pPr>
      <w:r>
        <w:rPr>
          <w:rFonts w:hint="eastAsia" w:ascii="仿宋_GB2312" w:eastAsia="仿宋_GB2312"/>
          <w:sz w:val="28"/>
          <w:szCs w:val="28"/>
          <w:lang w:eastAsia="zh-CN"/>
        </w:rPr>
        <w:t>（5）协助区委、区政府做好全国、市级、区级劳动模范的推荐工作，负责全国“五一”劳动奖章（状）和首都劳动奖章（状）的推荐和西城区劳动奖章（状）的评选表彰工作，负责全区劳动模范的各项管理工作。</w:t>
      </w:r>
    </w:p>
    <w:p w14:paraId="38AD6A52">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eastAsia="zh-CN"/>
        </w:rPr>
        <w:t>（6）负责研究制定本区工会财务制度及区总工会经费及资产管理工作</w:t>
      </w:r>
      <w:r>
        <w:rPr>
          <w:rFonts w:hint="eastAsia" w:ascii="仿宋_GB2312" w:eastAsia="仿宋_GB2312"/>
          <w:sz w:val="28"/>
          <w:szCs w:val="28"/>
          <w:lang w:val="en-US" w:eastAsia="zh-CN"/>
        </w:rPr>
        <w:t>,</w:t>
      </w:r>
      <w:r>
        <w:rPr>
          <w:rFonts w:hint="eastAsia" w:ascii="仿宋_GB2312" w:eastAsia="仿宋_GB2312"/>
          <w:sz w:val="28"/>
          <w:szCs w:val="28"/>
          <w:lang w:eastAsia="zh-CN"/>
        </w:rPr>
        <w:t>培训指导直属基层工会及所属事业单位财务管理、资产管理、预决算工作。</w:t>
      </w:r>
    </w:p>
    <w:p w14:paraId="75816852">
      <w:pPr>
        <w:tabs>
          <w:tab w:val="center" w:pos="6979"/>
        </w:tabs>
        <w:spacing w:line="580" w:lineRule="exact"/>
        <w:rPr>
          <w:rFonts w:hint="eastAsia" w:ascii="仿宋_GB2312" w:eastAsia="仿宋_GB2312"/>
          <w:sz w:val="28"/>
          <w:szCs w:val="28"/>
          <w:lang w:eastAsia="zh-CN"/>
        </w:rPr>
      </w:pPr>
      <w:r>
        <w:rPr>
          <w:rFonts w:hint="eastAsia" w:ascii="仿宋_GB2312" w:eastAsia="仿宋_GB2312"/>
          <w:sz w:val="28"/>
          <w:szCs w:val="28"/>
          <w:lang w:eastAsia="zh-CN"/>
        </w:rPr>
        <w:t>北京市西城区总工会是中共北京市西城区委和北京市总工会领导下的职工自愿结合的</w:t>
      </w:r>
      <w:r>
        <w:rPr>
          <w:rFonts w:hint="eastAsia" w:ascii="仿宋_GB2312" w:eastAsia="仿宋_GB2312"/>
          <w:sz w:val="28"/>
          <w:szCs w:val="28"/>
          <w:lang w:eastAsia="zh-CN"/>
        </w:rPr>
        <w:fldChar w:fldCharType="begin"/>
      </w:r>
      <w:r>
        <w:rPr>
          <w:rFonts w:hint="eastAsia" w:ascii="仿宋_GB2312" w:eastAsia="仿宋_GB2312"/>
          <w:sz w:val="28"/>
          <w:szCs w:val="28"/>
          <w:lang w:eastAsia="zh-CN"/>
        </w:rPr>
        <w:instrText xml:space="preserve"> HYPERLINK "http://baike.baidu.com/view/400954.htm" \t "_blank" </w:instrText>
      </w:r>
      <w:r>
        <w:rPr>
          <w:rFonts w:hint="eastAsia" w:ascii="仿宋_GB2312" w:eastAsia="仿宋_GB2312"/>
          <w:sz w:val="28"/>
          <w:szCs w:val="28"/>
          <w:lang w:eastAsia="zh-CN"/>
        </w:rPr>
        <w:fldChar w:fldCharType="separate"/>
      </w:r>
      <w:r>
        <w:rPr>
          <w:rFonts w:hint="eastAsia" w:ascii="仿宋_GB2312" w:eastAsia="仿宋_GB2312"/>
          <w:sz w:val="28"/>
          <w:szCs w:val="28"/>
          <w:lang w:eastAsia="zh-CN"/>
        </w:rPr>
        <w:t>工人阶级</w:t>
      </w:r>
      <w:r>
        <w:rPr>
          <w:rFonts w:hint="eastAsia" w:ascii="仿宋_GB2312" w:eastAsia="仿宋_GB2312"/>
          <w:sz w:val="28"/>
          <w:szCs w:val="28"/>
          <w:lang w:eastAsia="zh-CN"/>
        </w:rPr>
        <w:fldChar w:fldCharType="end"/>
      </w:r>
      <w:r>
        <w:rPr>
          <w:rFonts w:hint="eastAsia" w:ascii="仿宋_GB2312" w:eastAsia="仿宋_GB2312"/>
          <w:sz w:val="28"/>
          <w:szCs w:val="28"/>
          <w:lang w:eastAsia="zh-CN"/>
        </w:rPr>
        <w:t>群众组织，是党联系职工群众的桥梁和纽带，是会员和职工利益的代表。</w:t>
      </w:r>
    </w:p>
    <w:p w14:paraId="4F05262D">
      <w:pPr>
        <w:tabs>
          <w:tab w:val="center" w:pos="6979"/>
        </w:tabs>
        <w:spacing w:line="580" w:lineRule="exact"/>
        <w:ind w:firstLine="570"/>
        <w:rPr>
          <w:rFonts w:hint="eastAsia" w:ascii="仿宋_GB2312" w:eastAsia="仿宋_GB2312"/>
          <w:sz w:val="28"/>
          <w:szCs w:val="28"/>
          <w:lang w:eastAsia="zh-CN"/>
        </w:rPr>
      </w:pPr>
      <w:r>
        <w:rPr>
          <w:rFonts w:hint="eastAsia" w:ascii="仿宋_GB2312" w:eastAsia="仿宋_GB2312"/>
          <w:sz w:val="28"/>
          <w:szCs w:val="28"/>
          <w:lang w:eastAsia="zh-CN"/>
        </w:rPr>
        <w:t>西城区总工会下属西城区职工文化宫、和西城技术交流创新中心为财政差额补助事业单位，其退休人员经费纳入财政补助。在区总工会本级核算。</w:t>
      </w:r>
    </w:p>
    <w:p w14:paraId="0CC74E21">
      <w:pPr>
        <w:tabs>
          <w:tab w:val="center" w:pos="6979"/>
        </w:tabs>
        <w:spacing w:line="580" w:lineRule="exact"/>
        <w:rPr>
          <w:rFonts w:hint="eastAsia" w:ascii="黑体" w:eastAsia="黑体"/>
          <w:b/>
          <w:sz w:val="28"/>
          <w:szCs w:val="28"/>
        </w:rPr>
      </w:pPr>
      <w:bookmarkStart w:id="0" w:name="_GoBack"/>
      <w:bookmarkEnd w:id="0"/>
      <w:r>
        <w:rPr>
          <w:rFonts w:hint="eastAsia" w:ascii="仿宋_GB2312" w:eastAsia="仿宋_GB2312"/>
          <w:b/>
          <w:sz w:val="32"/>
          <w:szCs w:val="32"/>
        </w:rPr>
        <w:t xml:space="preserve">   </w:t>
      </w:r>
      <w:r>
        <w:rPr>
          <w:rFonts w:hint="eastAsia" w:ascii="黑体" w:eastAsia="黑体"/>
          <w:b/>
          <w:sz w:val="28"/>
          <w:szCs w:val="28"/>
        </w:rPr>
        <w:t>二、收入支出决算总体情况说明</w:t>
      </w:r>
    </w:p>
    <w:p w14:paraId="7AD61321">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eastAsia="zh-CN"/>
        </w:rPr>
        <w:t>2024</w:t>
      </w:r>
      <w:r>
        <w:rPr>
          <w:rFonts w:hint="eastAsia" w:ascii="仿宋_GB2312" w:eastAsia="仿宋_GB2312"/>
          <w:sz w:val="28"/>
          <w:szCs w:val="28"/>
        </w:rPr>
        <w:t>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418.41</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hAnsi="仿宋" w:eastAsia="仿宋_GB2312"/>
          <w:sz w:val="32"/>
          <w:szCs w:val="32"/>
          <w:highlight w:val="none"/>
          <w:u w:val="none"/>
        </w:rPr>
        <w:t>56.77</w:t>
      </w:r>
      <w:r>
        <w:rPr>
          <w:rFonts w:hint="eastAsia" w:ascii="仿宋_GB2312" w:eastAsia="仿宋_GB2312"/>
          <w:sz w:val="28"/>
          <w:szCs w:val="28"/>
        </w:rPr>
        <w:t>万元，下降</w:t>
      </w:r>
      <w:r>
        <w:rPr>
          <w:rFonts w:hint="eastAsia" w:ascii="仿宋_GB2312" w:hAnsi="仿宋" w:eastAsia="仿宋_GB2312"/>
          <w:sz w:val="32"/>
          <w:szCs w:val="32"/>
          <w:highlight w:val="none"/>
          <w:u w:val="none"/>
        </w:rPr>
        <w:t>11.95</w:t>
      </w:r>
      <w:r>
        <w:rPr>
          <w:rFonts w:hint="eastAsia" w:ascii="仿宋_GB2312" w:eastAsia="仿宋_GB2312"/>
          <w:sz w:val="28"/>
          <w:szCs w:val="28"/>
        </w:rPr>
        <w:t>%。</w:t>
      </w:r>
    </w:p>
    <w:p w14:paraId="74A974BB">
      <w:pPr>
        <w:tabs>
          <w:tab w:val="center" w:pos="6979"/>
        </w:tabs>
        <w:spacing w:line="580" w:lineRule="exact"/>
        <w:ind w:firstLine="570"/>
        <w:rPr>
          <w:rFonts w:hint="eastAsia" w:ascii="仿宋_GB2312" w:eastAsia="仿宋_GB2312"/>
          <w:sz w:val="28"/>
          <w:szCs w:val="28"/>
          <w:highlight w:val="none"/>
        </w:rPr>
      </w:pPr>
      <w:r>
        <w:rPr>
          <w:rFonts w:hint="eastAsia" w:ascii="仿宋_GB2312" w:eastAsia="仿宋_GB2312"/>
          <w:sz w:val="28"/>
          <w:szCs w:val="28"/>
          <w:highlight w:val="none"/>
        </w:rPr>
        <w:t>（一</w:t>
      </w:r>
      <w:r>
        <w:rPr>
          <w:rFonts w:ascii="仿宋_GB2312" w:eastAsia="仿宋_GB2312"/>
          <w:sz w:val="28"/>
          <w:szCs w:val="28"/>
          <w:highlight w:val="none"/>
        </w:rPr>
        <w:t>）</w:t>
      </w:r>
      <w:r>
        <w:rPr>
          <w:rFonts w:hint="eastAsia" w:ascii="仿宋_GB2312" w:eastAsia="仿宋_GB2312"/>
          <w:sz w:val="28"/>
          <w:szCs w:val="28"/>
          <w:highlight w:val="none"/>
        </w:rPr>
        <w:t>收入决算</w:t>
      </w:r>
      <w:r>
        <w:rPr>
          <w:rFonts w:ascii="仿宋_GB2312" w:eastAsia="仿宋_GB2312"/>
          <w:sz w:val="28"/>
          <w:szCs w:val="28"/>
          <w:highlight w:val="none"/>
        </w:rPr>
        <w:t>说明</w:t>
      </w:r>
    </w:p>
    <w:p w14:paraId="566F4B07">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lang w:eastAsia="zh-CN"/>
        </w:rPr>
        <w:t>2024</w:t>
      </w:r>
      <w:r>
        <w:rPr>
          <w:rFonts w:hint="eastAsia" w:ascii="仿宋_GB2312" w:eastAsia="仿宋_GB2312"/>
          <w:sz w:val="28"/>
          <w:szCs w:val="28"/>
        </w:rPr>
        <w:t>年度本年收入合计</w:t>
      </w:r>
      <w:r>
        <w:rPr>
          <w:rFonts w:ascii="仿宋_GB2312" w:eastAsia="仿宋_GB2312"/>
          <w:sz w:val="28"/>
          <w:szCs w:val="28"/>
        </w:rPr>
        <w:t>418.41</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hAnsi="仿宋" w:eastAsia="仿宋_GB2312"/>
          <w:sz w:val="32"/>
          <w:szCs w:val="32"/>
          <w:highlight w:val="none"/>
          <w:u w:val="none"/>
        </w:rPr>
        <w:t>56.77</w:t>
      </w:r>
      <w:r>
        <w:rPr>
          <w:rFonts w:hint="eastAsia" w:ascii="仿宋_GB2312" w:eastAsia="仿宋_GB2312"/>
          <w:sz w:val="28"/>
          <w:szCs w:val="28"/>
        </w:rPr>
        <w:t>万元，下降</w:t>
      </w:r>
      <w:r>
        <w:rPr>
          <w:rFonts w:hint="eastAsia" w:ascii="仿宋_GB2312" w:hAnsi="仿宋" w:eastAsia="仿宋_GB2312"/>
          <w:sz w:val="32"/>
          <w:szCs w:val="32"/>
          <w:highlight w:val="none"/>
          <w:u w:val="none"/>
        </w:rPr>
        <w:t>11.95</w:t>
      </w:r>
      <w:r>
        <w:rPr>
          <w:rFonts w:hint="eastAsia" w:ascii="仿宋_GB2312" w:eastAsia="仿宋_GB2312"/>
          <w:sz w:val="28"/>
          <w:szCs w:val="28"/>
        </w:rPr>
        <w:t>%</w:t>
      </w:r>
      <w:r>
        <w:rPr>
          <w:rFonts w:hint="eastAsia" w:ascii="仿宋_GB2312" w:eastAsia="仿宋_GB2312"/>
          <w:sz w:val="28"/>
          <w:szCs w:val="28"/>
          <w:lang w:eastAsia="zh-CN"/>
        </w:rPr>
        <w:t>。</w:t>
      </w:r>
    </w:p>
    <w:p w14:paraId="6B8C866A">
      <w:pPr>
        <w:tabs>
          <w:tab w:val="center" w:pos="6979"/>
        </w:tabs>
        <w:spacing w:line="580" w:lineRule="exact"/>
        <w:ind w:firstLine="560" w:firstLineChars="200"/>
      </w:pPr>
      <w:r>
        <w:rPr>
          <w:rFonts w:hint="eastAsia" w:ascii="仿宋_GB2312" w:eastAsia="仿宋_GB2312"/>
          <w:sz w:val="28"/>
          <w:szCs w:val="28"/>
        </w:rPr>
        <w:t>1.财政拨款收入</w:t>
      </w:r>
      <w:r>
        <w:rPr>
          <w:rFonts w:ascii="仿宋_GB2312" w:eastAsia="仿宋_GB2312"/>
          <w:sz w:val="28"/>
          <w:szCs w:val="28"/>
        </w:rPr>
        <w:t>418.41</w:t>
      </w:r>
      <w:r>
        <w:rPr>
          <w:rFonts w:hint="eastAsia" w:ascii="仿宋_GB2312" w:eastAsia="仿宋_GB2312"/>
          <w:sz w:val="28"/>
          <w:szCs w:val="28"/>
        </w:rPr>
        <w:t>万元，占收入合计的</w:t>
      </w:r>
      <w:r>
        <w:rPr>
          <w:rFonts w:hint="eastAsia" w:ascii="仿宋_GB2312" w:eastAsia="仿宋_GB2312"/>
          <w:sz w:val="28"/>
          <w:szCs w:val="28"/>
          <w:lang w:eastAsia="zh-CN"/>
        </w:rPr>
        <w:t>100%</w:t>
      </w:r>
      <w:r>
        <w:rPr>
          <w:rFonts w:hint="eastAsia" w:ascii="仿宋_GB2312" w:eastAsia="仿宋_GB2312"/>
          <w:sz w:val="28"/>
          <w:szCs w:val="28"/>
        </w:rPr>
        <w:t>。其中：一般公共预算财政拨款收入</w:t>
      </w:r>
      <w:r>
        <w:rPr>
          <w:rFonts w:ascii="仿宋_GB2312" w:eastAsia="仿宋_GB2312"/>
          <w:sz w:val="28"/>
          <w:szCs w:val="28"/>
        </w:rPr>
        <w:t>418.41</w:t>
      </w:r>
      <w:r>
        <w:rPr>
          <w:rFonts w:hint="eastAsia" w:ascii="仿宋_GB2312" w:eastAsia="仿宋_GB2312"/>
          <w:sz w:val="28"/>
          <w:szCs w:val="28"/>
        </w:rPr>
        <w:t>万元，占收入合计的</w:t>
      </w:r>
      <w:r>
        <w:rPr>
          <w:rFonts w:hint="eastAsia" w:ascii="仿宋_GB2312" w:eastAsia="仿宋_GB2312"/>
          <w:sz w:val="28"/>
          <w:szCs w:val="28"/>
          <w:lang w:eastAsia="zh-CN"/>
        </w:rPr>
        <w:t>100</w:t>
      </w:r>
      <w:r>
        <w:rPr>
          <w:rFonts w:hint="eastAsia" w:ascii="仿宋_GB2312" w:eastAsia="仿宋_GB2312"/>
          <w:sz w:val="28"/>
          <w:szCs w:val="28"/>
        </w:rPr>
        <w:t>%；政府性基金预算财政拨款收入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%；国有资本经营预算财政拨款收入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686348BB">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2.上级补助收入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0C6A2165">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3.事业收入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0FAF355C">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6B75BC06">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3985108B">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6.其他收入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628D72F0">
      <w:pPr>
        <w:spacing w:line="560" w:lineRule="exact"/>
        <w:ind w:firstLine="640"/>
        <w:rPr>
          <w:rFonts w:hint="eastAsia" w:ascii="仿宋_GB2312" w:eastAsia="仿宋_GB2312" w:cs="Droid Sans"/>
          <w:color w:val="000000"/>
          <w:sz w:val="32"/>
          <w:szCs w:val="32"/>
          <w:highlight w:val="none"/>
          <w:lang w:eastAsia="zh-CN"/>
        </w:rPr>
      </w:pPr>
      <w:r>
        <w:rPr>
          <w:rFonts w:hint="eastAsia" w:ascii="仿宋_GB2312" w:eastAsia="仿宋_GB2312" w:cs="Droid Sans"/>
          <w:color w:val="000000"/>
          <w:sz w:val="32"/>
          <w:szCs w:val="32"/>
          <w:highlight w:val="none"/>
          <w:lang w:eastAsia="zh-CN"/>
        </w:rPr>
        <w:t>（此处插入图表，用上述</w:t>
      </w:r>
      <w:r>
        <w:rPr>
          <w:rFonts w:hint="eastAsia" w:ascii="仿宋_GB2312" w:eastAsia="仿宋_GB2312" w:cs="Droid Sans"/>
          <w:color w:val="000000"/>
          <w:sz w:val="32"/>
          <w:szCs w:val="32"/>
          <w:highlight w:val="none"/>
          <w:lang w:val="en-US" w:eastAsia="zh-CN"/>
        </w:rPr>
        <w:t>收入</w:t>
      </w:r>
      <w:r>
        <w:rPr>
          <w:rFonts w:hint="eastAsia" w:ascii="仿宋_GB2312" w:eastAsia="仿宋_GB2312" w:cs="Droid Sans"/>
          <w:color w:val="000000"/>
          <w:sz w:val="32"/>
          <w:szCs w:val="32"/>
          <w:highlight w:val="none"/>
          <w:lang w:eastAsia="zh-CN"/>
        </w:rPr>
        <w:t>金额制作饼状图，示例如下，无金额类型不必制图）</w:t>
      </w:r>
    </w:p>
    <w:p w14:paraId="6DC418A3">
      <w:pPr>
        <w:pStyle w:val="2"/>
        <w:ind w:firstLine="0"/>
        <w:jc w:val="center"/>
      </w:pPr>
      <w:r>
        <w:rPr>
          <w:rFonts w:hint="eastAsia" w:ascii="仿宋_GB2312" w:eastAsia="仿宋_GB2312"/>
          <w:color w:val="000000"/>
          <w:sz w:val="32"/>
          <w:szCs w:val="32"/>
          <w:highlight w:val="none"/>
          <w:lang w:val="en-US" w:eastAsia="zh-CN"/>
        </w:rPr>
        <w:t>图1：收入决算</w:t>
      </w:r>
    </w:p>
    <w:p w14:paraId="65FDEC99">
      <w:pPr>
        <w:pStyle w:val="3"/>
        <w:ind w:firstLine="420"/>
        <w:jc w:val="center"/>
      </w:pPr>
      <w:r>
        <w:drawing>
          <wp:inline distT="0" distB="0" distL="0" distR="0">
            <wp:extent cx="4036695" cy="2328545"/>
            <wp:effectExtent l="0" t="0" r="20955" b="14605"/>
            <wp:docPr id="3" name="图表 3" title="{{pieChar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0672D952">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14:paraId="6B580018">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年度本年支出合计</w:t>
      </w:r>
      <w:r>
        <w:rPr>
          <w:rFonts w:ascii="仿宋_GB2312" w:eastAsia="仿宋_GB2312"/>
          <w:sz w:val="28"/>
          <w:szCs w:val="28"/>
        </w:rPr>
        <w:t>418.41</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hAnsi="仿宋" w:eastAsia="仿宋_GB2312"/>
          <w:sz w:val="32"/>
          <w:szCs w:val="32"/>
          <w:highlight w:val="none"/>
          <w:u w:val="none"/>
        </w:rPr>
        <w:t>56.77</w:t>
      </w:r>
      <w:r>
        <w:rPr>
          <w:rFonts w:hint="eastAsia" w:ascii="仿宋_GB2312" w:eastAsia="仿宋_GB2312"/>
          <w:sz w:val="28"/>
          <w:szCs w:val="28"/>
        </w:rPr>
        <w:t>万元，下降</w:t>
      </w:r>
      <w:r>
        <w:rPr>
          <w:rFonts w:hint="eastAsia" w:ascii="仿宋_GB2312" w:hAnsi="仿宋" w:eastAsia="仿宋_GB2312"/>
          <w:sz w:val="32"/>
          <w:szCs w:val="32"/>
          <w:highlight w:val="none"/>
          <w:u w:val="none"/>
        </w:rPr>
        <w:t>11.95</w:t>
      </w:r>
      <w:r>
        <w:rPr>
          <w:rFonts w:hint="eastAsia" w:ascii="仿宋_GB2312" w:eastAsia="仿宋_GB2312"/>
          <w:sz w:val="28"/>
          <w:szCs w:val="28"/>
        </w:rPr>
        <w:t>%，其中：基本支出</w:t>
      </w:r>
      <w:r>
        <w:rPr>
          <w:rFonts w:ascii="仿宋_GB2312" w:eastAsia="仿宋_GB2312"/>
          <w:sz w:val="28"/>
          <w:szCs w:val="28"/>
        </w:rPr>
        <w:t>203.37</w:t>
      </w:r>
      <w:r>
        <w:rPr>
          <w:rFonts w:hint="eastAsia" w:ascii="仿宋_GB2312" w:eastAsia="仿宋_GB2312"/>
          <w:sz w:val="28"/>
          <w:szCs w:val="28"/>
        </w:rPr>
        <w:t>万元，占支出合计的</w:t>
      </w:r>
      <w:r>
        <w:rPr>
          <w:rFonts w:hint="eastAsia" w:ascii="仿宋_GB2312" w:eastAsia="仿宋_GB2312"/>
          <w:sz w:val="28"/>
          <w:szCs w:val="28"/>
          <w:lang w:eastAsia="zh-CN"/>
        </w:rPr>
        <w:t>48.61</w:t>
      </w:r>
      <w:r>
        <w:rPr>
          <w:rFonts w:hint="eastAsia" w:ascii="仿宋_GB2312" w:eastAsia="仿宋_GB2312"/>
          <w:sz w:val="28"/>
          <w:szCs w:val="28"/>
        </w:rPr>
        <w:t>%；项目支出</w:t>
      </w:r>
      <w:r>
        <w:rPr>
          <w:rFonts w:ascii="仿宋_GB2312" w:eastAsia="仿宋_GB2312"/>
          <w:sz w:val="28"/>
          <w:szCs w:val="28"/>
        </w:rPr>
        <w:t>215.04</w:t>
      </w:r>
      <w:r>
        <w:rPr>
          <w:rFonts w:hint="eastAsia" w:ascii="仿宋_GB2312" w:eastAsia="仿宋_GB2312"/>
          <w:sz w:val="28"/>
          <w:szCs w:val="28"/>
        </w:rPr>
        <w:t>万元，占支出合计的</w:t>
      </w:r>
      <w:r>
        <w:rPr>
          <w:rFonts w:hint="eastAsia" w:ascii="仿宋_GB2312" w:eastAsia="仿宋_GB2312"/>
          <w:sz w:val="28"/>
          <w:szCs w:val="28"/>
          <w:lang w:eastAsia="zh-CN"/>
        </w:rPr>
        <w:t>51.39</w:t>
      </w:r>
      <w:r>
        <w:rPr>
          <w:rFonts w:hint="eastAsia" w:ascii="仿宋_GB2312" w:eastAsia="仿宋_GB2312"/>
          <w:sz w:val="28"/>
          <w:szCs w:val="28"/>
        </w:rPr>
        <w:t>%;上缴上级支出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%；经营支出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%；对附属单位补助支出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w:t>
      </w:r>
    </w:p>
    <w:p w14:paraId="7B8C12E7">
      <w:pPr>
        <w:spacing w:line="560" w:lineRule="exact"/>
        <w:ind w:firstLine="640"/>
        <w:rPr>
          <w:rFonts w:hint="eastAsia" w:ascii="仿宋_GB2312" w:eastAsia="仿宋_GB2312" w:cs="Droid Sans"/>
          <w:color w:val="000000"/>
          <w:sz w:val="32"/>
          <w:szCs w:val="32"/>
          <w:highlight w:val="none"/>
          <w:lang w:eastAsia="zh-CN"/>
        </w:rPr>
      </w:pPr>
      <w:r>
        <w:rPr>
          <w:rFonts w:hint="eastAsia" w:ascii="仿宋_GB2312" w:eastAsia="仿宋_GB2312" w:cs="Droid Sans"/>
          <w:color w:val="000000"/>
          <w:sz w:val="32"/>
          <w:szCs w:val="32"/>
          <w:highlight w:val="none"/>
          <w:lang w:eastAsia="zh-CN"/>
        </w:rPr>
        <w:t>（此处插入图表，用上述</w:t>
      </w:r>
      <w:r>
        <w:rPr>
          <w:rFonts w:hint="eastAsia" w:ascii="仿宋_GB2312" w:eastAsia="仿宋_GB2312" w:cs="Droid Sans"/>
          <w:color w:val="000000"/>
          <w:sz w:val="32"/>
          <w:szCs w:val="32"/>
          <w:highlight w:val="none"/>
          <w:lang w:val="en-US" w:eastAsia="zh-CN"/>
        </w:rPr>
        <w:t>支出</w:t>
      </w:r>
      <w:r>
        <w:rPr>
          <w:rFonts w:hint="eastAsia" w:ascii="仿宋_GB2312" w:eastAsia="仿宋_GB2312" w:cs="Droid Sans"/>
          <w:color w:val="000000"/>
          <w:sz w:val="32"/>
          <w:szCs w:val="32"/>
          <w:highlight w:val="none"/>
          <w:lang w:eastAsia="zh-CN"/>
        </w:rPr>
        <w:t>金额制作饼状图，示例如下，无金额类型不必制图）</w:t>
      </w:r>
    </w:p>
    <w:p w14:paraId="3D38C4BA">
      <w:pPr>
        <w:pStyle w:val="2"/>
        <w:ind w:firstLine="642"/>
        <w:jc w:val="center"/>
        <w:rPr>
          <w:rFonts w:ascii="仿宋_GB2312" w:eastAsia="仿宋_GB2312"/>
          <w:color w:val="000000"/>
          <w:sz w:val="32"/>
        </w:rPr>
      </w:pPr>
      <w:r>
        <w:rPr>
          <w:rFonts w:hint="eastAsia" w:ascii="仿宋_GB2312" w:eastAsia="仿宋_GB2312"/>
          <w:color w:val="000000"/>
          <w:sz w:val="32"/>
        </w:rPr>
        <w:t>图2：基本支出和项目支出情况</w:t>
      </w:r>
    </w:p>
    <w:p w14:paraId="6F3AE159">
      <w:pPr>
        <w:jc w:val="center"/>
        <w:rPr>
          <w:rFonts w:ascii="黑体" w:eastAsia="黑体"/>
          <w:b/>
          <w:sz w:val="28"/>
          <w:szCs w:val="28"/>
        </w:rPr>
      </w:pPr>
      <w:r>
        <w:drawing>
          <wp:inline distT="0" distB="0" distL="114300" distR="114300">
            <wp:extent cx="4572000" cy="2743200"/>
            <wp:effectExtent l="4445" t="4445" r="14605" b="14605"/>
            <wp:docPr id="1" name="图表 3" title="{{pieChart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610CC87">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14:paraId="08CD73FD">
      <w:pPr>
        <w:tabs>
          <w:tab w:val="center" w:pos="6979"/>
        </w:tabs>
        <w:spacing w:line="580" w:lineRule="exact"/>
        <w:ind w:firstLine="570"/>
        <w:rPr>
          <w:rFonts w:hint="eastAsia" w:ascii="仿宋_GB2312" w:hAnsi="Times New Roman" w:eastAsia="仿宋_GB2312" w:cs="Times New Roman"/>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418.41</w:t>
      </w:r>
      <w:r>
        <w:rPr>
          <w:rFonts w:hint="eastAsia" w:ascii="仿宋_GB2312" w:eastAsia="仿宋_GB2312"/>
          <w:sz w:val="28"/>
          <w:szCs w:val="28"/>
        </w:rPr>
        <w:t>万元</w:t>
      </w:r>
      <w:r>
        <w:rPr>
          <w:rFonts w:hint="eastAsia" w:ascii="仿宋_GB2312" w:hAnsi="Times New Roman" w:eastAsia="仿宋_GB2312" w:cs="Times New Roman"/>
          <w:sz w:val="28"/>
          <w:szCs w:val="28"/>
        </w:rPr>
        <w:t>，比上年减少56.77万元，下降11.95%。主要原因：2023年退休人员去世6人，2024年退休人员去世2人，抚恤金减少。</w:t>
      </w:r>
    </w:p>
    <w:p w14:paraId="05889D52">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四、一般公共预算财政拨款支出决算情况说明</w:t>
      </w:r>
    </w:p>
    <w:p w14:paraId="0BC45C63">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（一）一般公共预算财政拨款支出决算总体情况</w:t>
      </w:r>
    </w:p>
    <w:p w14:paraId="4C76B164">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年度一般公共预算财政拨款支出</w:t>
      </w:r>
      <w:r>
        <w:rPr>
          <w:rFonts w:ascii="仿宋_GB2312" w:eastAsia="仿宋_GB2312"/>
          <w:sz w:val="28"/>
          <w:szCs w:val="28"/>
        </w:rPr>
        <w:t>418.41</w:t>
      </w:r>
      <w:r>
        <w:rPr>
          <w:rFonts w:hint="eastAsia" w:ascii="仿宋_GB2312" w:eastAsia="仿宋_GB2312"/>
          <w:sz w:val="28"/>
          <w:szCs w:val="28"/>
        </w:rPr>
        <w:t>万元，主要用于以下方面（按大类）：一般公共服务支出</w:t>
      </w:r>
      <w:r>
        <w:rPr>
          <w:rFonts w:hint="eastAsia" w:ascii="仿宋_GB2312" w:eastAsia="仿宋_GB2312"/>
          <w:sz w:val="28"/>
          <w:szCs w:val="28"/>
          <w:lang w:val="en-US" w:eastAsia="zh-CN"/>
        </w:rPr>
        <w:t>215.04</w:t>
      </w:r>
      <w:r>
        <w:rPr>
          <w:rFonts w:hint="eastAsia" w:ascii="仿宋_GB2312" w:eastAsia="仿宋_GB2312"/>
          <w:sz w:val="28"/>
          <w:szCs w:val="28"/>
        </w:rPr>
        <w:t>万元，占本年财政拨款支出</w:t>
      </w:r>
      <w:r>
        <w:rPr>
          <w:rFonts w:hint="eastAsia" w:ascii="仿宋_GB2312" w:eastAsia="仿宋_GB2312"/>
          <w:sz w:val="28"/>
          <w:szCs w:val="28"/>
          <w:lang w:val="en-US" w:eastAsia="zh-CN"/>
        </w:rPr>
        <w:t>51.39</w:t>
      </w:r>
      <w:r>
        <w:rPr>
          <w:rFonts w:hint="eastAsia" w:ascii="仿宋_GB2312" w:eastAsia="仿宋_GB2312"/>
          <w:sz w:val="28"/>
          <w:szCs w:val="28"/>
        </w:rPr>
        <w:t>%； 社会保障和就业支出</w:t>
      </w:r>
      <w:r>
        <w:rPr>
          <w:rFonts w:hint="eastAsia" w:ascii="仿宋_GB2312" w:eastAsia="仿宋_GB2312"/>
          <w:sz w:val="28"/>
          <w:szCs w:val="28"/>
          <w:lang w:val="en-US" w:eastAsia="zh-CN"/>
        </w:rPr>
        <w:t>189.86</w:t>
      </w:r>
      <w:r>
        <w:rPr>
          <w:rFonts w:hint="eastAsia" w:ascii="仿宋_GB2312" w:eastAsia="仿宋_GB2312"/>
          <w:sz w:val="28"/>
          <w:szCs w:val="28"/>
        </w:rPr>
        <w:t>万元，占本年财政拨款支出</w:t>
      </w:r>
      <w:r>
        <w:rPr>
          <w:rFonts w:hint="eastAsia" w:ascii="仿宋_GB2312" w:eastAsia="仿宋_GB2312"/>
          <w:sz w:val="28"/>
          <w:szCs w:val="28"/>
          <w:lang w:val="en-US" w:eastAsia="zh-CN"/>
        </w:rPr>
        <w:t>45.38</w:t>
      </w:r>
      <w:r>
        <w:rPr>
          <w:rFonts w:hint="eastAsia" w:ascii="仿宋_GB2312" w:eastAsia="仿宋_GB2312"/>
          <w:sz w:val="28"/>
          <w:szCs w:val="28"/>
        </w:rPr>
        <w:t>%；住房保障支出</w:t>
      </w:r>
      <w:r>
        <w:rPr>
          <w:rFonts w:hint="eastAsia" w:ascii="仿宋_GB2312" w:eastAsia="仿宋_GB2312"/>
          <w:sz w:val="28"/>
          <w:szCs w:val="28"/>
          <w:lang w:val="en-US" w:eastAsia="zh-CN"/>
        </w:rPr>
        <w:t>13.51</w:t>
      </w:r>
      <w:r>
        <w:rPr>
          <w:rFonts w:hint="eastAsia" w:ascii="仿宋_GB2312" w:eastAsia="仿宋_GB2312"/>
          <w:sz w:val="28"/>
          <w:szCs w:val="28"/>
        </w:rPr>
        <w:t>万元，占本年财政拨款支出</w:t>
      </w:r>
      <w:r>
        <w:rPr>
          <w:rFonts w:hint="eastAsia" w:ascii="仿宋_GB2312" w:eastAsia="仿宋_GB2312"/>
          <w:sz w:val="28"/>
          <w:szCs w:val="28"/>
          <w:lang w:val="en-US" w:eastAsia="zh-CN"/>
        </w:rPr>
        <w:t>3.23</w:t>
      </w:r>
      <w:r>
        <w:rPr>
          <w:rFonts w:hint="eastAsia" w:ascii="仿宋_GB2312" w:eastAsia="仿宋_GB2312"/>
          <w:sz w:val="28"/>
          <w:szCs w:val="28"/>
        </w:rPr>
        <w:t>%。</w:t>
      </w:r>
    </w:p>
    <w:p w14:paraId="70B2D8AE">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（二）一般公共预算财政拨款支出决算具体情况</w:t>
      </w:r>
    </w:p>
    <w:p w14:paraId="520BBE13">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1、“一般公共服务支出”（类）年初预算189.32万元，2024年度决算215.04万元，完成年初预算的113.59%。其中：</w:t>
      </w:r>
    </w:p>
    <w:p w14:paraId="1D963F08">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“工会事务”2024年度年初预算4.32万元，2024年度决算30.04万元，完成年初预算的695.37%。主要原因：2024年劳动争议调解成功案件增加，追加项目经费。</w:t>
      </w:r>
    </w:p>
    <w:p w14:paraId="7C50DFD7">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“其他群众团体事务支出”2024年度年初预算185万元，2024年度决算185万元，完成年初预算的100%。</w:t>
      </w:r>
    </w:p>
    <w:p w14:paraId="28CEB658">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2、“社会保障和就业支出”(类)2024年度年初预算155.76万元，2024年度决算189.86万元，完成年初预算的121.89%。其中：</w:t>
      </w:r>
    </w:p>
    <w:p w14:paraId="68BAD90B">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“行政单位离退休”（款）2024年度年初预算30.59万元，2024年度决算30.33万元，完成年初预算的99.15%。</w:t>
      </w:r>
    </w:p>
    <w:p w14:paraId="3B90E44E">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“事业单位离退休”（款）2024年度年初预算125.17万元，2024年度决算125.17万元，完成年初预算的100%。</w:t>
      </w:r>
    </w:p>
    <w:p w14:paraId="30F3D54C">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“死亡抚恤”（款）2024年度年初预算0万元，2024年度决算34.36万元，完成年初预算的100%。主要原因：退休人员去世2人。</w:t>
      </w:r>
    </w:p>
    <w:p w14:paraId="7AB1B834">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3、“住房保障支出”(类)2024年度年初预算13.51万元，2024年度决算13.51万元，完成年初预算的100%。其中：</w:t>
      </w:r>
    </w:p>
    <w:p w14:paraId="61E83802">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“提租补贴”（款）2024年度年初预算13.51万元，2024年度决算13.51万元，完成年初预算的100%。</w:t>
      </w:r>
    </w:p>
    <w:p w14:paraId="0EF73E31">
      <w:pPr>
        <w:spacing w:line="580" w:lineRule="exact"/>
        <w:ind w:firstLine="560" w:firstLineChars="200"/>
        <w:rPr>
          <w:rFonts w:hint="eastAsia" w:ascii="仿宋_GB2312" w:eastAsia="仿宋_GB2312"/>
          <w:sz w:val="28"/>
          <w:szCs w:val="28"/>
        </w:rPr>
      </w:pPr>
      <w:r>
        <w:rPr>
          <w:rFonts w:hint="eastAsia" w:ascii="黑体" w:eastAsia="黑体"/>
          <w:b/>
          <w:sz w:val="28"/>
          <w:szCs w:val="28"/>
        </w:rPr>
        <w:t>五、政府性基金预算财政拨款支出决算情况说明</w:t>
      </w:r>
    </w:p>
    <w:p w14:paraId="58770B03">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年度政府性基金预算财政拨款支出</w:t>
      </w:r>
      <w:r>
        <w:rPr>
          <w:rFonts w:ascii="仿宋_GB2312" w:eastAsia="仿宋_GB2312"/>
          <w:sz w:val="28"/>
          <w:szCs w:val="28"/>
        </w:rPr>
        <w:t>0</w:t>
      </w:r>
      <w:r>
        <w:rPr>
          <w:rFonts w:hint="eastAsia" w:ascii="仿宋_GB2312" w:eastAsia="仿宋_GB2312"/>
          <w:sz w:val="28"/>
          <w:szCs w:val="28"/>
        </w:rPr>
        <w:t>万元。</w:t>
      </w:r>
      <w:r>
        <w:rPr>
          <w:rFonts w:hint="eastAsia" w:ascii="仿宋_GB2312" w:eastAsia="仿宋_GB2312"/>
          <w:sz w:val="28"/>
          <w:szCs w:val="28"/>
          <w:lang w:eastAsia="zh-CN"/>
        </w:rPr>
        <w:t>无此项支出。</w:t>
      </w:r>
    </w:p>
    <w:p w14:paraId="69E71601">
      <w:pPr>
        <w:spacing w:line="580" w:lineRule="exact"/>
        <w:ind w:firstLine="560" w:firstLineChars="200"/>
        <w:rPr>
          <w:rFonts w:hint="eastAsia"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14:paraId="62510703">
      <w:pPr>
        <w:ind w:firstLine="537" w:firstLineChars="192"/>
        <w:rPr>
          <w:rFonts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年度国有资本经营预算财政</w:t>
      </w:r>
      <w:r>
        <w:rPr>
          <w:rFonts w:ascii="仿宋_GB2312" w:eastAsia="仿宋_GB2312"/>
          <w:sz w:val="28"/>
          <w:szCs w:val="28"/>
        </w:rPr>
        <w:t>拨款</w:t>
      </w:r>
      <w:r>
        <w:rPr>
          <w:rFonts w:hint="eastAsia" w:ascii="仿宋_GB2312" w:eastAsia="仿宋_GB2312"/>
          <w:sz w:val="28"/>
          <w:szCs w:val="28"/>
        </w:rPr>
        <w:t>收入总</w:t>
      </w:r>
      <w:r>
        <w:rPr>
          <w:rFonts w:ascii="仿宋_GB2312" w:eastAsia="仿宋_GB2312"/>
          <w:sz w:val="28"/>
          <w:szCs w:val="28"/>
        </w:rPr>
        <w:t>计0</w:t>
      </w:r>
      <w:r>
        <w:rPr>
          <w:rFonts w:hint="eastAsia" w:ascii="仿宋_GB2312" w:eastAsia="仿宋_GB2312"/>
          <w:sz w:val="28"/>
          <w:szCs w:val="28"/>
        </w:rPr>
        <w:t>万元，国有资本经营预算财政</w:t>
      </w:r>
      <w:r>
        <w:rPr>
          <w:rFonts w:ascii="仿宋_GB2312" w:eastAsia="仿宋_GB2312"/>
          <w:sz w:val="28"/>
          <w:szCs w:val="28"/>
        </w:rPr>
        <w:t>拨款</w:t>
      </w:r>
      <w:r>
        <w:rPr>
          <w:rFonts w:hint="eastAsia" w:ascii="仿宋_GB2312" w:eastAsia="仿宋_GB2312"/>
          <w:sz w:val="28"/>
          <w:szCs w:val="28"/>
        </w:rPr>
        <w:t>支出总</w:t>
      </w:r>
      <w:r>
        <w:rPr>
          <w:rFonts w:ascii="仿宋_GB2312" w:eastAsia="仿宋_GB2312"/>
          <w:sz w:val="28"/>
          <w:szCs w:val="28"/>
        </w:rPr>
        <w:t>计0</w:t>
      </w:r>
      <w:r>
        <w:rPr>
          <w:rFonts w:hint="eastAsia" w:ascii="仿宋_GB2312" w:eastAsia="仿宋_GB2312"/>
          <w:sz w:val="28"/>
          <w:szCs w:val="28"/>
        </w:rPr>
        <w:t>万元。</w:t>
      </w:r>
      <w:r>
        <w:rPr>
          <w:rFonts w:hint="eastAsia" w:ascii="仿宋_GB2312" w:eastAsia="仿宋_GB2312"/>
          <w:sz w:val="28"/>
          <w:szCs w:val="28"/>
          <w:lang w:eastAsia="zh-CN"/>
        </w:rPr>
        <w:t>无此项支出。</w:t>
      </w:r>
    </w:p>
    <w:p w14:paraId="29130D53">
      <w:pPr>
        <w:spacing w:line="580" w:lineRule="exact"/>
        <w:ind w:firstLine="548" w:firstLineChars="196"/>
        <w:rPr>
          <w:rFonts w:hint="eastAsia" w:ascii="黑体" w:eastAsia="黑体"/>
          <w:sz w:val="28"/>
          <w:szCs w:val="28"/>
        </w:rPr>
      </w:pPr>
      <w:r>
        <w:rPr>
          <w:rFonts w:hint="eastAsia" w:ascii="黑体" w:eastAsia="黑体"/>
          <w:b/>
          <w:sz w:val="28"/>
          <w:szCs w:val="28"/>
        </w:rPr>
        <w:t>七、财政拨款基本支出决算情况说明</w:t>
      </w:r>
    </w:p>
    <w:p w14:paraId="461615AD">
      <w:pPr>
        <w:tabs>
          <w:tab w:val="center" w:pos="6979"/>
        </w:tabs>
        <w:spacing w:line="580" w:lineRule="exact"/>
        <w:ind w:firstLine="548" w:firstLineChars="196"/>
        <w:rPr>
          <w:rFonts w:hint="eastAsia" w:ascii="黑体" w:eastAsia="黑体"/>
          <w:b/>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年度使用一般公共预算财政拨款安排基本支出</w:t>
      </w:r>
      <w:r>
        <w:rPr>
          <w:rFonts w:ascii="仿宋_GB2312" w:eastAsia="仿宋_GB2312"/>
          <w:sz w:val="28"/>
          <w:szCs w:val="28"/>
        </w:rPr>
        <w:t>203.37</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14:paraId="5F373004">
      <w:pPr>
        <w:autoSpaceDE w:val="0"/>
        <w:autoSpaceDN w:val="0"/>
        <w:adjustRightInd w:val="0"/>
        <w:spacing w:line="580" w:lineRule="exact"/>
        <w:jc w:val="both"/>
        <w:rPr>
          <w:rFonts w:hint="eastAsia" w:ascii="宋体" w:hAnsi="宋体"/>
          <w:b/>
          <w:spacing w:val="40"/>
          <w:sz w:val="32"/>
          <w:szCs w:val="32"/>
        </w:rPr>
      </w:pPr>
      <w:r>
        <w:rPr>
          <w:rFonts w:ascii="仿宋_GB2312" w:eastAsia="仿宋_GB2312"/>
          <w:b/>
          <w:sz w:val="32"/>
          <w:szCs w:val="32"/>
        </w:rPr>
        <w:tab/>
      </w:r>
    </w:p>
    <w:p w14:paraId="632A0F39">
      <w:pPr>
        <w:tabs>
          <w:tab w:val="center" w:pos="6979"/>
        </w:tabs>
        <w:jc w:val="center"/>
        <w:rPr>
          <w:rFonts w:hint="eastAsia" w:ascii="宋体" w:hAnsi="宋体" w:cs="宋体"/>
          <w:b/>
          <w:spacing w:val="40"/>
          <w:kern w:val="0"/>
          <w:sz w:val="32"/>
          <w:szCs w:val="32"/>
        </w:rPr>
      </w:pPr>
      <w:r>
        <w:rPr>
          <w:rFonts w:hint="eastAsia" w:ascii="宋体" w:hAnsi="宋体" w:cs="宋体"/>
          <w:b/>
          <w:bCs/>
          <w:spacing w:val="40"/>
          <w:kern w:val="0"/>
          <w:sz w:val="32"/>
          <w:szCs w:val="32"/>
        </w:rPr>
        <w:t>第三部分</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w:t>
      </w:r>
      <w:r>
        <w:rPr>
          <w:rFonts w:hint="eastAsia" w:ascii="宋体" w:hAnsi="宋体" w:cs="宋体"/>
          <w:b/>
          <w:spacing w:val="40"/>
          <w:kern w:val="0"/>
          <w:sz w:val="32"/>
          <w:szCs w:val="32"/>
        </w:rPr>
        <w:t>其他重要事项的情况说明</w:t>
      </w:r>
    </w:p>
    <w:p w14:paraId="1BB4A709">
      <w:pPr>
        <w:spacing w:line="560" w:lineRule="exact"/>
        <w:ind w:firstLine="560" w:firstLineChars="200"/>
        <w:rPr>
          <w:rFonts w:hint="eastAsia" w:ascii="黑体" w:eastAsia="黑体"/>
          <w:sz w:val="28"/>
          <w:szCs w:val="28"/>
        </w:rPr>
      </w:pPr>
      <w:r>
        <w:rPr>
          <w:rFonts w:hint="eastAsia" w:ascii="黑体" w:eastAsia="黑体"/>
          <w:sz w:val="28"/>
          <w:szCs w:val="28"/>
        </w:rPr>
        <w:t>一、“三公”经费财政拨款决算情况</w:t>
      </w:r>
    </w:p>
    <w:p w14:paraId="2BE34BF6">
      <w:pPr>
        <w:spacing w:line="560" w:lineRule="exact"/>
        <w:ind w:firstLine="600"/>
        <w:rPr>
          <w:rFonts w:ascii="仿宋_GB2312" w:eastAsia="仿宋_GB2312"/>
          <w:sz w:val="28"/>
          <w:szCs w:val="28"/>
        </w:rPr>
      </w:pPr>
      <w:r>
        <w:rPr>
          <w:rFonts w:hint="eastAsia" w:ascii="仿宋_GB2312" w:eastAsia="仿宋_GB2312"/>
          <w:sz w:val="28"/>
          <w:szCs w:val="28"/>
          <w:lang w:eastAsia="zh-CN"/>
        </w:rPr>
        <w:t>2024</w:t>
      </w:r>
      <w:r>
        <w:rPr>
          <w:rFonts w:hint="eastAsia" w:ascii="仿宋_GB2312" w:eastAsia="仿宋_GB2312"/>
          <w:sz w:val="28"/>
          <w:szCs w:val="28"/>
        </w:rPr>
        <w:t>年度“三公”经费财政拨款决算数</w:t>
      </w:r>
      <w:r>
        <w:rPr>
          <w:rFonts w:ascii="仿宋_GB2312" w:eastAsia="仿宋_GB2312"/>
          <w:sz w:val="28"/>
          <w:szCs w:val="28"/>
        </w:rPr>
        <w:t>0</w:t>
      </w:r>
      <w:r>
        <w:rPr>
          <w:rFonts w:hint="eastAsia" w:ascii="仿宋_GB2312" w:eastAsia="仿宋_GB2312"/>
          <w:sz w:val="28"/>
          <w:szCs w:val="28"/>
        </w:rPr>
        <w:t>万元，比</w:t>
      </w:r>
      <w:r>
        <w:rPr>
          <w:rFonts w:hint="eastAsia" w:ascii="仿宋_GB2312" w:eastAsia="仿宋_GB2312"/>
          <w:sz w:val="28"/>
          <w:szCs w:val="28"/>
          <w:lang w:eastAsia="zh-CN"/>
        </w:rPr>
        <w:t>2024</w:t>
      </w:r>
      <w:r>
        <w:rPr>
          <w:rFonts w:hint="eastAsia" w:ascii="仿宋_GB2312" w:eastAsia="仿宋_GB2312"/>
          <w:sz w:val="28"/>
          <w:szCs w:val="28"/>
        </w:rPr>
        <w:t>年度“三公”经费财政拨款年初预算</w:t>
      </w:r>
      <w:r>
        <w:rPr>
          <w:rFonts w:ascii="仿宋_GB2312" w:eastAsia="仿宋_GB2312"/>
          <w:sz w:val="28"/>
          <w:szCs w:val="28"/>
        </w:rPr>
        <w:t>0</w:t>
      </w:r>
      <w:r>
        <w:rPr>
          <w:rFonts w:hint="eastAsia" w:ascii="仿宋_GB2312" w:eastAsia="仿宋_GB2312"/>
          <w:sz w:val="28"/>
          <w:szCs w:val="28"/>
        </w:rPr>
        <w:t>万元增加（减少）</w:t>
      </w:r>
      <w:r>
        <w:rPr>
          <w:rFonts w:ascii="仿宋_GB2312" w:eastAsia="仿宋_GB2312"/>
          <w:sz w:val="28"/>
          <w:szCs w:val="28"/>
        </w:rPr>
        <w:t>0</w:t>
      </w:r>
      <w:r>
        <w:rPr>
          <w:rFonts w:hint="eastAsia" w:ascii="仿宋_GB2312" w:eastAsia="仿宋_GB2312"/>
          <w:sz w:val="28"/>
          <w:szCs w:val="28"/>
        </w:rPr>
        <w:t>万元。其中：</w:t>
      </w:r>
    </w:p>
    <w:p w14:paraId="05E5112D">
      <w:pPr>
        <w:spacing w:line="560" w:lineRule="exact"/>
        <w:ind w:firstLine="600"/>
        <w:rPr>
          <w:rFonts w:hint="eastAsia" w:ascii="仿宋_GB2312" w:eastAsia="仿宋_GB2312"/>
          <w:sz w:val="28"/>
          <w:szCs w:val="28"/>
        </w:rPr>
      </w:pPr>
      <w:r>
        <w:rPr>
          <w:rFonts w:hint="eastAsia" w:ascii="仿宋_GB2312" w:eastAsia="仿宋_GB2312"/>
          <w:sz w:val="28"/>
          <w:szCs w:val="28"/>
        </w:rPr>
        <w:t>1.因公出国（境）费用。202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ascii="仿宋_GB2312" w:eastAsia="仿宋_GB2312"/>
          <w:sz w:val="28"/>
          <w:szCs w:val="28"/>
        </w:rPr>
        <w:t>0</w:t>
      </w:r>
      <w:r>
        <w:rPr>
          <w:rFonts w:hint="eastAsia" w:ascii="仿宋_GB2312" w:eastAsia="仿宋_GB2312"/>
          <w:sz w:val="28"/>
          <w:szCs w:val="28"/>
        </w:rPr>
        <w:t>万元增加（减少）</w:t>
      </w:r>
      <w:r>
        <w:rPr>
          <w:rFonts w:ascii="仿宋_GB2312" w:eastAsia="仿宋_GB2312"/>
          <w:sz w:val="28"/>
          <w:szCs w:val="28"/>
        </w:rPr>
        <w:t>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年度组织因公出国（境）团组</w:t>
      </w:r>
      <w:r>
        <w:rPr>
          <w:rFonts w:hint="eastAsia" w:ascii="仿宋_GB2312" w:eastAsia="仿宋_GB2312"/>
          <w:sz w:val="28"/>
          <w:szCs w:val="28"/>
          <w:lang w:eastAsia="zh-CN"/>
        </w:rPr>
        <w:t>0</w:t>
      </w:r>
      <w:r>
        <w:rPr>
          <w:rFonts w:hint="eastAsia" w:ascii="仿宋_GB2312" w:eastAsia="仿宋_GB2312"/>
          <w:sz w:val="28"/>
          <w:szCs w:val="28"/>
        </w:rPr>
        <w:t>个、</w:t>
      </w:r>
      <w:r>
        <w:rPr>
          <w:rFonts w:hint="eastAsia" w:ascii="仿宋_GB2312" w:eastAsia="仿宋_GB2312"/>
          <w:sz w:val="28"/>
          <w:szCs w:val="28"/>
          <w:lang w:eastAsia="zh-CN"/>
        </w:rPr>
        <w:t>0</w:t>
      </w:r>
      <w:r>
        <w:rPr>
          <w:rFonts w:hint="eastAsia" w:ascii="仿宋_GB2312" w:eastAsia="仿宋_GB2312"/>
          <w:sz w:val="28"/>
          <w:szCs w:val="28"/>
        </w:rPr>
        <w:t>人次。</w:t>
      </w:r>
    </w:p>
    <w:p w14:paraId="0EC1045B">
      <w:pPr>
        <w:spacing w:line="560" w:lineRule="exact"/>
        <w:ind w:firstLine="600"/>
        <w:rPr>
          <w:rFonts w:hint="eastAsia" w:ascii="仿宋_GB2312" w:eastAsia="仿宋_GB2312"/>
          <w:sz w:val="28"/>
          <w:szCs w:val="28"/>
        </w:rPr>
      </w:pPr>
      <w:r>
        <w:rPr>
          <w:rFonts w:hint="eastAsia" w:ascii="仿宋_GB2312" w:eastAsia="仿宋_GB2312"/>
          <w:sz w:val="28"/>
          <w:szCs w:val="28"/>
        </w:rPr>
        <w:t>2.公务接待费。202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ascii="仿宋_GB2312" w:eastAsia="仿宋_GB2312"/>
          <w:sz w:val="28"/>
          <w:szCs w:val="28"/>
        </w:rPr>
        <w:t>0</w:t>
      </w:r>
      <w:r>
        <w:rPr>
          <w:rFonts w:hint="eastAsia" w:ascii="仿宋_GB2312" w:eastAsia="仿宋_GB2312"/>
          <w:sz w:val="28"/>
          <w:szCs w:val="28"/>
        </w:rPr>
        <w:t>万元增加（减少）</w:t>
      </w:r>
      <w:r>
        <w:rPr>
          <w:rFonts w:ascii="仿宋_GB2312" w:eastAsia="仿宋_GB2312"/>
          <w:sz w:val="28"/>
          <w:szCs w:val="28"/>
        </w:rPr>
        <w:t>0</w:t>
      </w:r>
      <w:r>
        <w:rPr>
          <w:rFonts w:hint="eastAsia" w:ascii="仿宋_GB2312" w:eastAsia="仿宋_GB2312"/>
          <w:sz w:val="28"/>
          <w:szCs w:val="28"/>
        </w:rPr>
        <w:t>万元</w:t>
      </w:r>
      <w:r>
        <w:rPr>
          <w:rFonts w:hint="eastAsia" w:ascii="仿宋_GB2312" w:eastAsia="仿宋_GB2312"/>
          <w:sz w:val="28"/>
          <w:szCs w:val="28"/>
          <w:lang w:eastAsia="zh-CN"/>
        </w:rPr>
        <w:t>。</w:t>
      </w:r>
      <w:r>
        <w:rPr>
          <w:rFonts w:hint="eastAsia" w:ascii="仿宋_GB2312" w:eastAsia="仿宋_GB2312"/>
          <w:sz w:val="28"/>
          <w:szCs w:val="28"/>
        </w:rPr>
        <w:t>公务接待</w:t>
      </w:r>
      <w:r>
        <w:rPr>
          <w:rFonts w:hint="eastAsia" w:ascii="仿宋_GB2312" w:eastAsia="仿宋_GB2312"/>
          <w:sz w:val="28"/>
          <w:szCs w:val="28"/>
          <w:lang w:eastAsia="zh-CN"/>
        </w:rPr>
        <w:t>0</w:t>
      </w:r>
      <w:r>
        <w:rPr>
          <w:rFonts w:hint="eastAsia" w:ascii="仿宋_GB2312" w:eastAsia="仿宋_GB2312"/>
          <w:sz w:val="28"/>
          <w:szCs w:val="28"/>
        </w:rPr>
        <w:t>批次，公务接待</w:t>
      </w:r>
      <w:r>
        <w:rPr>
          <w:rFonts w:hint="eastAsia" w:ascii="仿宋_GB2312" w:eastAsia="仿宋_GB2312"/>
          <w:sz w:val="28"/>
          <w:szCs w:val="28"/>
          <w:lang w:eastAsia="zh-CN"/>
        </w:rPr>
        <w:t>0</w:t>
      </w:r>
      <w:r>
        <w:rPr>
          <w:rFonts w:hint="eastAsia" w:ascii="仿宋_GB2312" w:eastAsia="仿宋_GB2312"/>
          <w:sz w:val="28"/>
          <w:szCs w:val="28"/>
        </w:rPr>
        <w:t>人次。</w:t>
      </w:r>
    </w:p>
    <w:p w14:paraId="2C127B36">
      <w:pPr>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3.公务用车购置及运行维护费。202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ascii="仿宋_GB2312" w:eastAsia="仿宋_GB2312"/>
          <w:sz w:val="28"/>
          <w:szCs w:val="28"/>
        </w:rPr>
        <w:t>0</w:t>
      </w:r>
      <w:r>
        <w:rPr>
          <w:rFonts w:hint="eastAsia" w:ascii="仿宋_GB2312" w:eastAsia="仿宋_GB2312"/>
          <w:sz w:val="28"/>
          <w:szCs w:val="28"/>
        </w:rPr>
        <w:t>万元增加（减少）</w:t>
      </w:r>
      <w:r>
        <w:rPr>
          <w:rFonts w:ascii="仿宋_GB2312" w:eastAsia="仿宋_GB2312"/>
          <w:sz w:val="28"/>
          <w:szCs w:val="28"/>
        </w:rPr>
        <w:t>0</w:t>
      </w:r>
      <w:r>
        <w:rPr>
          <w:rFonts w:hint="eastAsia" w:ascii="仿宋_GB2312" w:eastAsia="仿宋_GB2312"/>
          <w:sz w:val="28"/>
          <w:szCs w:val="28"/>
        </w:rPr>
        <w:t>万元。其中，公务用车购置费202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w:t>
      </w:r>
      <w:r>
        <w:rPr>
          <w:rFonts w:hint="eastAsia" w:ascii="仿宋_GB2312" w:eastAsia="仿宋_GB2312"/>
          <w:sz w:val="28"/>
          <w:szCs w:val="28"/>
        </w:rPr>
        <w:t>万元</w:t>
      </w:r>
      <w:r>
        <w:rPr>
          <w:rFonts w:hint="eastAsia" w:ascii="仿宋_GB2312" w:eastAsia="仿宋_GB2312"/>
          <w:sz w:val="28"/>
          <w:szCs w:val="28"/>
          <w:lang w:eastAsia="zh-CN"/>
        </w:rPr>
        <w:t>，</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年度购置（更新）</w:t>
      </w:r>
      <w:r>
        <w:rPr>
          <w:rFonts w:hint="eastAsia" w:ascii="仿宋_GB2312" w:eastAsia="仿宋_GB2312"/>
          <w:sz w:val="28"/>
          <w:szCs w:val="28"/>
          <w:lang w:eastAsia="zh-CN"/>
        </w:rPr>
        <w:t>0</w:t>
      </w:r>
      <w:r>
        <w:rPr>
          <w:rFonts w:hint="eastAsia" w:ascii="仿宋_GB2312" w:eastAsia="仿宋_GB2312"/>
          <w:sz w:val="28"/>
          <w:szCs w:val="28"/>
        </w:rPr>
        <w:t>辆。公务用车运行维护费202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年度公务用车保有量</w:t>
      </w:r>
      <w:r>
        <w:rPr>
          <w:rFonts w:ascii="仿宋_GB2312" w:eastAsia="仿宋_GB2312"/>
          <w:sz w:val="28"/>
          <w:szCs w:val="28"/>
        </w:rPr>
        <w:t>0</w:t>
      </w:r>
      <w:r>
        <w:rPr>
          <w:rFonts w:hint="eastAsia" w:ascii="仿宋_GB2312" w:eastAsia="仿宋_GB2312"/>
          <w:sz w:val="28"/>
          <w:szCs w:val="28"/>
        </w:rPr>
        <w:t>辆。</w:t>
      </w:r>
    </w:p>
    <w:p w14:paraId="7CD34611">
      <w:pPr>
        <w:tabs>
          <w:tab w:val="center" w:pos="6979"/>
        </w:tabs>
        <w:ind w:firstLine="554" w:firstLineChars="198"/>
        <w:rPr>
          <w:rFonts w:hint="eastAsia" w:ascii="黑体" w:eastAsia="黑体"/>
          <w:sz w:val="28"/>
          <w:szCs w:val="28"/>
        </w:rPr>
      </w:pPr>
      <w:r>
        <w:rPr>
          <w:rFonts w:hint="eastAsia" w:ascii="黑体" w:eastAsia="黑体"/>
          <w:sz w:val="28"/>
          <w:szCs w:val="28"/>
        </w:rPr>
        <w:t>二、机关运行经费支出情况</w:t>
      </w:r>
    </w:p>
    <w:p w14:paraId="16B01D40">
      <w:pPr>
        <w:ind w:firstLine="537" w:firstLineChars="192"/>
        <w:rPr>
          <w:rFonts w:hint="eastAsia" w:ascii="仿宋_GB2312" w:eastAsia="仿宋_GB2312"/>
          <w:sz w:val="28"/>
          <w:szCs w:val="28"/>
          <w:highlight w:val="yellow"/>
        </w:rPr>
      </w:pPr>
      <w:r>
        <w:rPr>
          <w:rFonts w:hint="eastAsia" w:ascii="仿宋_GB2312" w:eastAsia="仿宋_GB2312"/>
          <w:sz w:val="28"/>
          <w:szCs w:val="28"/>
          <w:highlight w:val="none"/>
        </w:rPr>
        <w:t>202</w:t>
      </w: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rPr>
        <w:t>年度</w:t>
      </w:r>
      <w:r>
        <w:rPr>
          <w:rFonts w:hint="eastAsia" w:ascii="仿宋_GB2312" w:eastAsia="仿宋_GB2312"/>
          <w:sz w:val="28"/>
          <w:szCs w:val="28"/>
          <w:highlight w:val="none"/>
          <w:lang w:eastAsia="zh-CN"/>
        </w:rPr>
        <w:t>机关运行经费</w:t>
      </w:r>
      <w:r>
        <w:rPr>
          <w:rFonts w:hint="eastAsia" w:ascii="仿宋_GB2312" w:eastAsia="仿宋_GB2312"/>
          <w:sz w:val="28"/>
          <w:szCs w:val="28"/>
          <w:highlight w:val="none"/>
        </w:rPr>
        <w:t>支出合计</w:t>
      </w:r>
      <w:r>
        <w:rPr>
          <w:rFonts w:hint="eastAsia" w:ascii="仿宋_GB2312" w:eastAsia="仿宋_GB2312"/>
          <w:sz w:val="28"/>
          <w:szCs w:val="28"/>
          <w:highlight w:val="none"/>
          <w:lang w:val="en-US" w:eastAsia="zh-CN"/>
        </w:rPr>
        <w:t>0</w:t>
      </w:r>
      <w:r>
        <w:rPr>
          <w:rFonts w:hint="eastAsia" w:ascii="仿宋_GB2312" w:eastAsia="仿宋_GB2312"/>
          <w:sz w:val="28"/>
          <w:szCs w:val="28"/>
          <w:highlight w:val="none"/>
        </w:rPr>
        <w:t>万元，比上年增加（减少）</w:t>
      </w:r>
      <w:r>
        <w:rPr>
          <w:rFonts w:hint="eastAsia" w:ascii="仿宋_GB2312" w:eastAsia="仿宋_GB2312"/>
          <w:sz w:val="28"/>
          <w:szCs w:val="28"/>
          <w:highlight w:val="none"/>
          <w:lang w:val="en-US" w:eastAsia="zh-CN"/>
        </w:rPr>
        <w:t>0</w:t>
      </w:r>
      <w:r>
        <w:rPr>
          <w:rFonts w:hint="eastAsia" w:ascii="仿宋_GB2312" w:eastAsia="仿宋_GB2312"/>
          <w:sz w:val="28"/>
          <w:szCs w:val="28"/>
          <w:highlight w:val="none"/>
        </w:rPr>
        <w:t>万元。</w:t>
      </w:r>
    </w:p>
    <w:p w14:paraId="1759CB49">
      <w:pPr>
        <w:ind w:left="540"/>
        <w:rPr>
          <w:rFonts w:hint="eastAsia" w:ascii="黑体" w:eastAsia="黑体"/>
          <w:sz w:val="28"/>
          <w:szCs w:val="28"/>
        </w:rPr>
      </w:pPr>
      <w:r>
        <w:rPr>
          <w:rFonts w:hint="eastAsia" w:ascii="黑体" w:eastAsia="黑体"/>
          <w:sz w:val="28"/>
          <w:szCs w:val="28"/>
        </w:rPr>
        <w:t>三、政府采购支出情况</w:t>
      </w:r>
    </w:p>
    <w:p w14:paraId="683BA17D">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年度政府采购支出总额</w:t>
      </w:r>
      <w:r>
        <w:rPr>
          <w:rFonts w:ascii="仿宋_GB2312" w:eastAsia="仿宋_GB2312"/>
          <w:sz w:val="28"/>
          <w:szCs w:val="28"/>
        </w:rPr>
        <w:t>0</w:t>
      </w:r>
      <w:r>
        <w:rPr>
          <w:rFonts w:hint="eastAsia" w:ascii="仿宋_GB2312" w:eastAsia="仿宋_GB2312"/>
          <w:sz w:val="28"/>
          <w:szCs w:val="28"/>
        </w:rPr>
        <w:t>万元，其中：政府采购货物支出</w:t>
      </w:r>
      <w:r>
        <w:rPr>
          <w:rFonts w:ascii="仿宋_GB2312" w:eastAsia="仿宋_GB2312"/>
          <w:sz w:val="28"/>
          <w:szCs w:val="28"/>
        </w:rPr>
        <w:t>0</w:t>
      </w:r>
      <w:r>
        <w:rPr>
          <w:rFonts w:hint="eastAsia" w:ascii="仿宋_GB2312" w:eastAsia="仿宋_GB2312"/>
          <w:sz w:val="28"/>
          <w:szCs w:val="28"/>
        </w:rPr>
        <w:t>万元，政府采购工程支出</w:t>
      </w:r>
      <w:r>
        <w:rPr>
          <w:rFonts w:ascii="仿宋_GB2312" w:eastAsia="仿宋_GB2312"/>
          <w:sz w:val="28"/>
          <w:szCs w:val="28"/>
        </w:rPr>
        <w:t>0</w:t>
      </w:r>
      <w:r>
        <w:rPr>
          <w:rFonts w:hint="eastAsia" w:ascii="仿宋_GB2312" w:eastAsia="仿宋_GB2312"/>
          <w:sz w:val="28"/>
          <w:szCs w:val="28"/>
        </w:rPr>
        <w:t>万元，政府采购服务支出</w:t>
      </w:r>
      <w:r>
        <w:rPr>
          <w:rFonts w:ascii="仿宋_GB2312" w:eastAsia="仿宋_GB2312"/>
          <w:sz w:val="28"/>
          <w:szCs w:val="28"/>
        </w:rPr>
        <w:t>0</w:t>
      </w:r>
      <w:r>
        <w:rPr>
          <w:rFonts w:hint="eastAsia" w:ascii="仿宋_GB2312" w:eastAsia="仿宋_GB2312"/>
          <w:sz w:val="28"/>
          <w:szCs w:val="28"/>
        </w:rPr>
        <w:t>万元。授予中小企业合同金额</w:t>
      </w:r>
      <w:r>
        <w:rPr>
          <w:rFonts w:ascii="仿宋_GB2312" w:eastAsia="仿宋_GB2312"/>
          <w:sz w:val="28"/>
          <w:szCs w:val="28"/>
        </w:rPr>
        <w:t>0</w:t>
      </w:r>
      <w:r>
        <w:rPr>
          <w:rFonts w:hint="eastAsia" w:ascii="仿宋_GB2312" w:eastAsia="仿宋_GB2312"/>
          <w:sz w:val="28"/>
          <w:szCs w:val="28"/>
        </w:rPr>
        <w:t>万元，占政府采购支出总额的</w:t>
      </w:r>
      <w:r>
        <w:rPr>
          <w:rFonts w:hint="eastAsia" w:ascii="仿宋_GB2312" w:eastAsia="仿宋_GB2312"/>
          <w:sz w:val="28"/>
          <w:szCs w:val="28"/>
          <w:lang w:eastAsia="zh-CN"/>
        </w:rPr>
        <w:t>0</w:t>
      </w:r>
      <w:r>
        <w:rPr>
          <w:rFonts w:hint="eastAsia" w:ascii="仿宋_GB2312" w:eastAsia="仿宋_GB2312"/>
          <w:sz w:val="28"/>
          <w:szCs w:val="28"/>
        </w:rPr>
        <w:t>%，其中：授予小微企业合同金额</w:t>
      </w:r>
      <w:r>
        <w:rPr>
          <w:rFonts w:ascii="仿宋_GB2312" w:eastAsia="仿宋_GB2312"/>
          <w:sz w:val="28"/>
          <w:szCs w:val="28"/>
        </w:rPr>
        <w:t>0</w:t>
      </w:r>
      <w:r>
        <w:rPr>
          <w:rFonts w:hint="eastAsia" w:ascii="仿宋_GB2312" w:eastAsia="仿宋_GB2312"/>
          <w:sz w:val="28"/>
          <w:szCs w:val="28"/>
        </w:rPr>
        <w:t>万元，占政府采购支出总额的</w:t>
      </w:r>
      <w:r>
        <w:rPr>
          <w:rFonts w:ascii="仿宋_GB2312" w:eastAsia="仿宋_GB2312"/>
          <w:sz w:val="28"/>
          <w:szCs w:val="28"/>
        </w:rPr>
        <w:t>0</w:t>
      </w:r>
      <w:r>
        <w:rPr>
          <w:rFonts w:hint="eastAsia" w:ascii="仿宋_GB2312" w:eastAsia="仿宋_GB2312"/>
          <w:sz w:val="28"/>
          <w:szCs w:val="28"/>
        </w:rPr>
        <w:t>%。</w:t>
      </w:r>
    </w:p>
    <w:p w14:paraId="4B5EC367">
      <w:pPr>
        <w:ind w:firstLine="560" w:firstLineChars="200"/>
        <w:rPr>
          <w:rFonts w:hint="eastAsia" w:ascii="黑体" w:eastAsia="黑体"/>
          <w:sz w:val="28"/>
          <w:szCs w:val="28"/>
          <w:highlight w:val="yellow"/>
        </w:rPr>
      </w:pPr>
      <w:r>
        <w:rPr>
          <w:rFonts w:hint="eastAsia" w:ascii="黑体" w:eastAsia="黑体"/>
          <w:sz w:val="28"/>
          <w:szCs w:val="28"/>
          <w:highlight w:val="none"/>
        </w:rPr>
        <w:t>四、国有资产占用情况</w:t>
      </w:r>
    </w:p>
    <w:p w14:paraId="02C30BF4">
      <w:pPr>
        <w:ind w:firstLine="560" w:firstLineChars="200"/>
        <w:rPr>
          <w:rFonts w:ascii="仿宋_GB2312" w:eastAsia="仿宋_GB2312"/>
          <w:sz w:val="32"/>
          <w:szCs w:val="32"/>
        </w:rPr>
      </w:pPr>
      <w:r>
        <w:rPr>
          <w:rFonts w:hint="eastAsia" w:ascii="仿宋_GB2312" w:eastAsia="仿宋_GB2312"/>
          <w:sz w:val="28"/>
          <w:szCs w:val="28"/>
          <w:lang w:eastAsia="zh-CN"/>
        </w:rPr>
        <w:t>截至</w:t>
      </w:r>
      <w:r>
        <w:rPr>
          <w:rFonts w:hint="eastAsia" w:ascii="仿宋_GB2312" w:eastAsia="仿宋_GB2312"/>
          <w:sz w:val="28"/>
          <w:szCs w:val="28"/>
          <w:lang w:val="en-US" w:eastAsia="zh-CN"/>
        </w:rPr>
        <w:t>12月31日，北京市西城区总工会（本级）</w:t>
      </w:r>
      <w:r>
        <w:rPr>
          <w:rFonts w:hint="eastAsia" w:ascii="仿宋_GB2312" w:eastAsia="仿宋_GB2312"/>
          <w:sz w:val="28"/>
          <w:szCs w:val="28"/>
          <w:lang w:eastAsia="zh-CN"/>
        </w:rPr>
        <w:t>共有</w:t>
      </w:r>
      <w:r>
        <w:rPr>
          <w:rFonts w:hint="eastAsia" w:ascii="仿宋_GB2312" w:eastAsia="仿宋_GB2312"/>
          <w:sz w:val="28"/>
          <w:szCs w:val="28"/>
        </w:rPr>
        <w:t>车辆</w:t>
      </w:r>
      <w:r>
        <w:rPr>
          <w:rFonts w:hint="eastAsia" w:ascii="仿宋_GB2312" w:eastAsia="仿宋_GB2312"/>
          <w:sz w:val="28"/>
          <w:szCs w:val="28"/>
          <w:lang w:val="en-US" w:eastAsia="zh-CN"/>
        </w:rPr>
        <w:t>0</w:t>
      </w:r>
      <w:r>
        <w:rPr>
          <w:rFonts w:hint="eastAsia" w:ascii="仿宋_GB2312" w:eastAsia="仿宋_GB2312"/>
          <w:sz w:val="28"/>
          <w:szCs w:val="28"/>
        </w:rPr>
        <w:t>台；单位价值100万元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0</w:t>
      </w:r>
      <w:r>
        <w:rPr>
          <w:rFonts w:hint="eastAsia" w:ascii="仿宋_GB2312" w:eastAsia="仿宋_GB2312"/>
          <w:sz w:val="28"/>
          <w:szCs w:val="28"/>
        </w:rPr>
        <w:t>台（套）。</w:t>
      </w:r>
    </w:p>
    <w:p w14:paraId="76EF728B">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14:paraId="57C595D7">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ascii="仿宋_GB2312" w:eastAsia="仿宋_GB2312"/>
          <w:sz w:val="28"/>
          <w:szCs w:val="28"/>
        </w:rPr>
        <w:t>政府购买服务决算0</w:t>
      </w:r>
      <w:r>
        <w:rPr>
          <w:rFonts w:hint="eastAsia" w:ascii="仿宋_GB2312" w:eastAsia="仿宋_GB2312"/>
          <w:sz w:val="28"/>
          <w:szCs w:val="28"/>
        </w:rPr>
        <w:t>万元。</w:t>
      </w:r>
    </w:p>
    <w:p w14:paraId="2E268CEE">
      <w:pPr>
        <w:ind w:firstLine="560" w:firstLineChars="200"/>
        <w:jc w:val="left"/>
        <w:rPr>
          <w:rFonts w:hint="eastAsia"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14:paraId="738B278A">
      <w:pPr>
        <w:ind w:firstLine="560" w:firstLineChars="200"/>
        <w:rPr>
          <w:rFonts w:hint="eastAsia"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14:paraId="21DFE735">
      <w:pPr>
        <w:ind w:firstLine="560" w:firstLineChars="200"/>
        <w:rPr>
          <w:rFonts w:hint="eastAsia"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14:paraId="35F70588">
      <w:pPr>
        <w:ind w:firstLine="560" w:firstLineChars="200"/>
        <w:rPr>
          <w:rFonts w:hint="eastAsia"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14:paraId="5DE6504C">
      <w:pPr>
        <w:ind w:firstLine="560" w:firstLineChars="200"/>
        <w:rPr>
          <w:rFonts w:hint="eastAsia"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14:paraId="18D9B538">
      <w:pPr>
        <w:ind w:firstLine="420" w:firstLineChars="150"/>
        <w:rPr>
          <w:rFonts w:hint="eastAsia"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14:paraId="0EA1BEE4">
      <w:pPr>
        <w:ind w:firstLine="420" w:firstLineChars="150"/>
        <w:rPr>
          <w:rFonts w:hint="eastAsia"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14:paraId="2E9BAB69">
      <w:pPr>
        <w:ind w:firstLine="632" w:firstLineChars="200"/>
        <w:rPr>
          <w:rFonts w:hint="eastAsia" w:ascii="仿宋_GB2312" w:hAnsi="Times New Roman" w:eastAsia="仿宋_GB2312" w:cs="Times New Roman"/>
          <w:b/>
          <w:color w:val="000000"/>
          <w:spacing w:val="-2"/>
          <w:sz w:val="32"/>
          <w:szCs w:val="32"/>
          <w:lang w:eastAsia="zh-CN"/>
        </w:rPr>
      </w:pPr>
      <w:r>
        <w:rPr>
          <w:rFonts w:hint="eastAsia" w:ascii="仿宋_GB2312" w:eastAsia="仿宋_GB2312"/>
          <w:b/>
          <w:color w:val="000000"/>
          <w:spacing w:val="-2"/>
          <w:sz w:val="32"/>
          <w:szCs w:val="32"/>
          <w:lang w:val="en-US" w:eastAsia="zh-CN"/>
        </w:rPr>
        <w:t>7.</w:t>
      </w:r>
      <w:r>
        <w:rPr>
          <w:rFonts w:hint="eastAsia" w:ascii="仿宋_GB2312" w:eastAsia="仿宋_GB2312"/>
          <w:b/>
          <w:color w:val="000000"/>
          <w:spacing w:val="-2"/>
          <w:sz w:val="32"/>
          <w:szCs w:val="32"/>
        </w:rPr>
        <w:t>各</w:t>
      </w:r>
      <w:r>
        <w:rPr>
          <w:rFonts w:hint="eastAsia" w:ascii="仿宋_GB2312" w:eastAsia="仿宋_GB2312"/>
          <w:b/>
          <w:color w:val="000000"/>
          <w:spacing w:val="-2"/>
          <w:sz w:val="32"/>
          <w:szCs w:val="32"/>
          <w:lang w:eastAsia="zh-CN"/>
        </w:rPr>
        <w:t>单位</w:t>
      </w:r>
      <w:r>
        <w:rPr>
          <w:rFonts w:hint="eastAsia" w:ascii="仿宋_GB2312" w:eastAsia="仿宋_GB2312"/>
          <w:b/>
          <w:color w:val="000000"/>
          <w:spacing w:val="-2"/>
          <w:sz w:val="32"/>
          <w:szCs w:val="32"/>
        </w:rPr>
        <w:t>需根据自身业务职能</w:t>
      </w:r>
      <w:r>
        <w:rPr>
          <w:rFonts w:hint="eastAsia" w:ascii="仿宋_GB2312" w:hAnsi="Times New Roman" w:eastAsia="仿宋_GB2312" w:cs="Times New Roman"/>
          <w:b/>
          <w:color w:val="000000"/>
          <w:spacing w:val="-2"/>
          <w:sz w:val="32"/>
          <w:szCs w:val="32"/>
        </w:rPr>
        <w:t>，</w:t>
      </w:r>
      <w:r>
        <w:rPr>
          <w:rFonts w:hint="eastAsia" w:ascii="仿宋_GB2312" w:hAnsi="Times New Roman" w:eastAsia="仿宋_GB2312" w:cs="Times New Roman"/>
          <w:b/>
          <w:color w:val="000000"/>
          <w:spacing w:val="-2"/>
          <w:sz w:val="32"/>
          <w:szCs w:val="32"/>
          <w:lang w:eastAsia="zh-CN"/>
        </w:rPr>
        <w:t>补充当年</w:t>
      </w:r>
      <w:r>
        <w:rPr>
          <w:rFonts w:hint="eastAsia" w:ascii="仿宋_GB2312" w:hAnsi="Times New Roman" w:eastAsia="仿宋_GB2312" w:cs="Times New Roman"/>
          <w:b/>
          <w:color w:val="000000"/>
          <w:spacing w:val="-2"/>
          <w:sz w:val="32"/>
          <w:szCs w:val="32"/>
          <w:lang w:val="en-US" w:eastAsia="zh-CN"/>
        </w:rPr>
        <w:t>使用的所有</w:t>
      </w:r>
      <w:r>
        <w:rPr>
          <w:rFonts w:hint="eastAsia" w:ascii="仿宋_GB2312" w:hAnsi="Times New Roman" w:eastAsia="仿宋_GB2312" w:cs="Times New Roman"/>
          <w:b/>
          <w:color w:val="000000"/>
          <w:spacing w:val="-2"/>
          <w:sz w:val="32"/>
          <w:szCs w:val="32"/>
          <w:lang w:eastAsia="zh-CN"/>
        </w:rPr>
        <w:t>支出功能分类项级科目名词解释，例如：</w:t>
      </w:r>
    </w:p>
    <w:p w14:paraId="1736EF14">
      <w:pPr>
        <w:numPr>
          <w:ilvl w:val="0"/>
          <w:numId w:val="0"/>
        </w:numPr>
        <w:ind w:firstLine="632" w:firstLineChars="200"/>
        <w:rPr>
          <w:rFonts w:hint="eastAsia" w:ascii="仿宋_GB2312" w:eastAsia="仿宋_GB2312"/>
          <w:sz w:val="28"/>
          <w:szCs w:val="28"/>
          <w:lang w:val="en-US" w:eastAsia="zh-CN"/>
        </w:rPr>
      </w:pPr>
      <w:r>
        <w:rPr>
          <w:rFonts w:hint="eastAsia" w:ascii="仿宋_GB2312" w:hAnsi="Times New Roman" w:eastAsia="仿宋_GB2312" w:cs="Times New Roman"/>
          <w:b/>
          <w:color w:val="000000"/>
          <w:spacing w:val="-2"/>
          <w:sz w:val="32"/>
          <w:szCs w:val="32"/>
          <w:lang w:val="en-US" w:eastAsia="zh-CN"/>
        </w:rPr>
        <w:t>一般公共服务支出（类）人大事务（款）行政运行（项）：反映行政单位（包括实行公务员管理的事业单位）的基本支出</w:t>
      </w:r>
      <w:r>
        <w:rPr>
          <w:rFonts w:hint="eastAsia" w:ascii="仿宋_GB2312" w:eastAsia="仿宋_GB2312"/>
          <w:sz w:val="28"/>
          <w:szCs w:val="28"/>
          <w:lang w:val="en-US" w:eastAsia="zh-CN"/>
        </w:rPr>
        <w:t>。</w:t>
      </w:r>
    </w:p>
    <w:p w14:paraId="316C52EC">
      <w:pPr>
        <w:jc w:val="both"/>
        <w:rPr>
          <w:rFonts w:hint="eastAsia" w:ascii="黑体" w:eastAsia="黑体"/>
          <w:sz w:val="32"/>
          <w:szCs w:val="32"/>
        </w:rPr>
      </w:pPr>
    </w:p>
    <w:p w14:paraId="55274679">
      <w:pPr>
        <w:tabs>
          <w:tab w:val="center" w:pos="6979"/>
        </w:tabs>
        <w:spacing w:line="380" w:lineRule="exact"/>
        <w:jc w:val="center"/>
        <w:rPr>
          <w:rFonts w:ascii="宋体" w:hAnsi="宋体" w:cs="宋体"/>
          <w:b/>
          <w:bCs/>
          <w:kern w:val="0"/>
          <w:sz w:val="28"/>
          <w:szCs w:val="28"/>
        </w:rPr>
      </w:pPr>
    </w:p>
    <w:p w14:paraId="77F54F09">
      <w:pPr>
        <w:tabs>
          <w:tab w:val="center" w:pos="6979"/>
        </w:tabs>
        <w:spacing w:line="380" w:lineRule="exact"/>
        <w:jc w:val="center"/>
        <w:rPr>
          <w:rFonts w:ascii="宋体" w:hAnsi="宋体" w:cs="宋体"/>
          <w:b/>
          <w:bCs/>
          <w:kern w:val="0"/>
          <w:sz w:val="28"/>
          <w:szCs w:val="28"/>
        </w:rPr>
      </w:pPr>
    </w:p>
    <w:p w14:paraId="5415BBE5">
      <w:pPr>
        <w:jc w:val="both"/>
        <w:rPr>
          <w:rFonts w:hint="eastAsia" w:ascii="黑体" w:eastAsia="黑体"/>
          <w:sz w:val="32"/>
          <w:szCs w:val="32"/>
        </w:rPr>
      </w:pPr>
    </w:p>
    <w:p w14:paraId="21AAE9C4">
      <w:pPr>
        <w:ind w:firstLine="640" w:firstLineChars="200"/>
        <w:jc w:val="center"/>
        <w:rPr>
          <w:rFonts w:hint="eastAsia" w:ascii="黑体" w:eastAsia="黑体"/>
          <w:sz w:val="32"/>
          <w:szCs w:val="32"/>
        </w:rPr>
      </w:pPr>
    </w:p>
    <w:p w14:paraId="1811E418">
      <w:pPr>
        <w:ind w:firstLine="640" w:firstLineChars="200"/>
        <w:jc w:val="center"/>
        <w:rPr>
          <w:rFonts w:hint="eastAsia" w:ascii="黑体" w:eastAsia="黑体"/>
          <w:sz w:val="32"/>
          <w:szCs w:val="32"/>
        </w:rPr>
      </w:pPr>
      <w:r>
        <w:rPr>
          <w:rFonts w:hint="eastAsia" w:ascii="黑体" w:eastAsia="黑体"/>
          <w:sz w:val="32"/>
          <w:szCs w:val="32"/>
        </w:rPr>
        <w:t>第四部分  202</w:t>
      </w:r>
      <w:r>
        <w:rPr>
          <w:rFonts w:hint="eastAsia" w:ascii="黑体" w:eastAsia="黑体"/>
          <w:sz w:val="32"/>
          <w:szCs w:val="32"/>
          <w:lang w:val="en-US" w:eastAsia="zh-CN"/>
        </w:rPr>
        <w:t>4</w:t>
      </w:r>
      <w:r>
        <w:rPr>
          <w:rFonts w:hint="eastAsia" w:ascii="黑体" w:eastAsia="黑体"/>
          <w:sz w:val="32"/>
          <w:szCs w:val="32"/>
        </w:rPr>
        <w:t>年度部门绩效评价情况</w:t>
      </w:r>
    </w:p>
    <w:p w14:paraId="26936A99">
      <w:pPr>
        <w:ind w:firstLine="560" w:firstLineChars="200"/>
        <w:rPr>
          <w:rFonts w:hint="eastAsia" w:ascii="黑体" w:eastAsia="黑体"/>
          <w:sz w:val="28"/>
          <w:szCs w:val="28"/>
          <w:highlight w:val="yellow"/>
        </w:rPr>
      </w:pPr>
    </w:p>
    <w:p w14:paraId="3D441EE1">
      <w:pPr>
        <w:numPr>
          <w:ilvl w:val="0"/>
          <w:numId w:val="0"/>
        </w:numPr>
        <w:rPr>
          <w:rFonts w:ascii="黑体" w:eastAsia="黑体"/>
          <w:sz w:val="28"/>
          <w:szCs w:val="28"/>
        </w:rPr>
      </w:pPr>
      <w:r>
        <w:rPr>
          <w:rFonts w:hint="eastAsia" w:ascii="黑体" w:eastAsia="黑体"/>
          <w:sz w:val="28"/>
          <w:szCs w:val="28"/>
        </w:rPr>
        <w:t>项目</w:t>
      </w:r>
      <w:r>
        <w:rPr>
          <w:rFonts w:ascii="黑体" w:eastAsia="黑体"/>
          <w:sz w:val="28"/>
          <w:szCs w:val="28"/>
        </w:rPr>
        <w:t>支出绩效自评表</w:t>
      </w:r>
    </w:p>
    <w:p w14:paraId="512CA4F2">
      <w:pPr>
        <w:spacing w:line="480" w:lineRule="exact"/>
      </w:pPr>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Droid Sans">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3358E2">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3</w:t>
    </w:r>
    <w:r>
      <w:fldChar w:fldCharType="end"/>
    </w:r>
  </w:p>
  <w:p w14:paraId="2FA8B814">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CD0CC5">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5</w:t>
    </w:r>
    <w:r>
      <w:fldChar w:fldCharType="end"/>
    </w:r>
  </w:p>
  <w:p w14:paraId="55CE9844">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72DFA">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15</w:t>
    </w:r>
    <w:r>
      <w:fldChar w:fldCharType="end"/>
    </w:r>
  </w:p>
  <w:p w14:paraId="355CEF35">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mNWE4NzRhMTczNjJlZDE5ZTE5YTczN2QxMzcyMjA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F120AB"/>
    <w:rsid w:val="032B5196"/>
    <w:rsid w:val="04C3537C"/>
    <w:rsid w:val="079004AC"/>
    <w:rsid w:val="0BA148CA"/>
    <w:rsid w:val="0C1165C4"/>
    <w:rsid w:val="0D6D544B"/>
    <w:rsid w:val="0DD136FE"/>
    <w:rsid w:val="0F8E2C57"/>
    <w:rsid w:val="1059665E"/>
    <w:rsid w:val="10AC13BA"/>
    <w:rsid w:val="145A6C1B"/>
    <w:rsid w:val="14B73493"/>
    <w:rsid w:val="167A2FF9"/>
    <w:rsid w:val="18581C69"/>
    <w:rsid w:val="1AEC0734"/>
    <w:rsid w:val="1DEF20B0"/>
    <w:rsid w:val="214243FA"/>
    <w:rsid w:val="21AD613C"/>
    <w:rsid w:val="22467189"/>
    <w:rsid w:val="257A14F5"/>
    <w:rsid w:val="26D63AF9"/>
    <w:rsid w:val="27196C26"/>
    <w:rsid w:val="29007592"/>
    <w:rsid w:val="29EF086F"/>
    <w:rsid w:val="2A950CB9"/>
    <w:rsid w:val="2EFFE297"/>
    <w:rsid w:val="301437CA"/>
    <w:rsid w:val="349D1F0A"/>
    <w:rsid w:val="34DD0473"/>
    <w:rsid w:val="3C684897"/>
    <w:rsid w:val="433E495C"/>
    <w:rsid w:val="489F2FD7"/>
    <w:rsid w:val="4AC27CB3"/>
    <w:rsid w:val="4BF72BEF"/>
    <w:rsid w:val="4D7707F9"/>
    <w:rsid w:val="4FA90297"/>
    <w:rsid w:val="4FC41A43"/>
    <w:rsid w:val="51DB3C59"/>
    <w:rsid w:val="550C0952"/>
    <w:rsid w:val="55762E42"/>
    <w:rsid w:val="57A7B272"/>
    <w:rsid w:val="58470068"/>
    <w:rsid w:val="58747CAC"/>
    <w:rsid w:val="5A1720F9"/>
    <w:rsid w:val="5B9C37C2"/>
    <w:rsid w:val="5BA7C654"/>
    <w:rsid w:val="60A54109"/>
    <w:rsid w:val="61D01CDF"/>
    <w:rsid w:val="63F7561D"/>
    <w:rsid w:val="64C0607C"/>
    <w:rsid w:val="65756C86"/>
    <w:rsid w:val="674D385B"/>
    <w:rsid w:val="676F09E1"/>
    <w:rsid w:val="6FDE58E3"/>
    <w:rsid w:val="71793A80"/>
    <w:rsid w:val="7357290B"/>
    <w:rsid w:val="798524E4"/>
    <w:rsid w:val="7A7F1C49"/>
    <w:rsid w:val="7B5B7AE6"/>
    <w:rsid w:val="7B7B6628"/>
    <w:rsid w:val="7BA7071E"/>
    <w:rsid w:val="7BDF6DA8"/>
    <w:rsid w:val="7C7EDC1A"/>
    <w:rsid w:val="7CCED98D"/>
    <w:rsid w:val="7D08410F"/>
    <w:rsid w:val="7DB96DED"/>
    <w:rsid w:val="7DD3AD81"/>
    <w:rsid w:val="7F7FE70F"/>
    <w:rsid w:val="7FFF772F"/>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200" w:firstLineChars="200"/>
    </w:pPr>
  </w:style>
  <w:style w:type="paragraph" w:styleId="4">
    <w:name w:val="Body Text Indent"/>
    <w:basedOn w:val="1"/>
    <w:qFormat/>
    <w:uiPriority w:val="0"/>
    <w:pPr>
      <w:ind w:firstLine="645"/>
    </w:pPr>
    <w:rPr>
      <w:rFonts w:ascii="仿宋_GB2312" w:hAnsi="Calibri" w:eastAsia="仿宋_GB2312"/>
      <w:sz w:val="32"/>
      <w:szCs w:val="32"/>
    </w:r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4"/>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Normal (Web)"/>
    <w:basedOn w:val="1"/>
    <w:unhideWhenUsed/>
    <w:qFormat/>
    <w:uiPriority w:val="0"/>
    <w:pPr>
      <w:spacing w:before="100" w:beforeAutospacing="1" w:after="100" w:afterAutospacing="1"/>
      <w:ind w:right="238"/>
      <w:jc w:val="left"/>
    </w:pPr>
    <w:rPr>
      <w:b/>
      <w:kern w:val="0"/>
      <w:sz w:val="24"/>
      <w:szCs w:val="20"/>
    </w:rPr>
  </w:style>
  <w:style w:type="character" w:styleId="12">
    <w:name w:val="Strong"/>
    <w:qFormat/>
    <w:uiPriority w:val="0"/>
    <w:rPr>
      <w:b/>
    </w:rPr>
  </w:style>
  <w:style w:type="character" w:styleId="13">
    <w:name w:val="page number"/>
    <w:qFormat/>
    <w:uiPriority w:val="0"/>
  </w:style>
  <w:style w:type="character" w:customStyle="1" w:styleId="14">
    <w:name w:val="页脚 Char"/>
    <w:link w:val="7"/>
    <w:qFormat/>
    <w:uiPriority w:val="0"/>
    <w:rPr>
      <w:rFonts w:eastAsia="宋体"/>
      <w:kern w:val="2"/>
      <w:sz w:val="18"/>
      <w:szCs w:val="18"/>
      <w:lang w:val="en-US" w:eastAsia="zh-CN" w:bidi="ar-SA"/>
    </w:rPr>
  </w:style>
  <w:style w:type="character" w:customStyle="1" w:styleId="15">
    <w:name w:val="页眉 Char"/>
    <w:link w:val="8"/>
    <w:qFormat/>
    <w:uiPriority w:val="0"/>
    <w:rPr>
      <w:rFonts w:ascii="Calibri" w:hAnsi="Calibri" w:eastAsia="宋体"/>
      <w:kern w:val="2"/>
      <w:sz w:val="18"/>
      <w:szCs w:val="18"/>
      <w:lang w:val="en-US" w:eastAsia="zh-CN" w:bidi="ar-SA"/>
    </w:rPr>
  </w:style>
  <w:style w:type="paragraph" w:customStyle="1" w:styleId="16">
    <w:name w:val="Char Char Char Char Char Char Char"/>
    <w:basedOn w:val="1"/>
    <w:qFormat/>
    <w:uiPriority w:val="0"/>
    <w:rPr>
      <w:rFonts w:ascii="Tahoma" w:hAnsi="Tahoma"/>
      <w:sz w:val="24"/>
      <w:szCs w:val="20"/>
    </w:rPr>
  </w:style>
  <w:style w:type="paragraph" w:customStyle="1" w:styleId="17">
    <w:name w:val="Char1 Char Char Char"/>
    <w:basedOn w:val="1"/>
    <w:qFormat/>
    <w:uiPriority w:val="0"/>
    <w:pPr>
      <w:widowControl/>
      <w:spacing w:after="160" w:line="240" w:lineRule="exact"/>
      <w:jc w:val="left"/>
    </w:pPr>
    <w:rPr>
      <w:szCs w:val="20"/>
    </w:rPr>
  </w:style>
  <w:style w:type="paragraph" w:customStyle="1" w:styleId="18">
    <w:name w:val="Char"/>
    <w:basedOn w:val="1"/>
    <w:qFormat/>
    <w:uiPriority w:val="0"/>
    <w:rPr>
      <w:rFonts w:ascii="Tahoma" w:hAnsi="Tahoma"/>
      <w:sz w:val="24"/>
      <w:szCs w:val="20"/>
    </w:rPr>
  </w:style>
  <w:style w:type="paragraph" w:customStyle="1" w:styleId="19">
    <w:name w:val="Char Char3 Char Char"/>
    <w:basedOn w:val="1"/>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400" b="0"/>
              <a:t>收入决算</a:t>
            </a:r>
            <a:endParaRPr lang="zh-CN" altLang="en-US" sz="1400" b="0"/>
          </a:p>
        </c:rich>
      </c:tx>
      <c:layout/>
      <c:overlay val="0"/>
    </c:title>
    <c:autoTitleDeleted val="0"/>
    <c:plotArea>
      <c:layout/>
      <c:pieChart>
        <c:varyColors val="1"/>
        <c:ser>
          <c:idx val="0"/>
          <c:order val="0"/>
          <c:tx>
            <c:strRef>
              <c:f>Sheet1!$B$1</c:f>
              <c:strCache>
                <c:ptCount val="1"/>
                <c:pt idx="0">
                  <c:v>收入</c:v>
                </c:pt>
              </c:strCache>
            </c:strRef>
          </c:tx>
          <c:explosion val="0"/>
          <c:dPt>
            <c:idx val="0"/>
            <c:bubble3D val="0"/>
          </c:dPt>
          <c:dPt>
            <c:idx val="1"/>
            <c:bubble3D val="0"/>
          </c:dPt>
          <c:dPt>
            <c:idx val="2"/>
            <c:bubble3D val="0"/>
          </c:dPt>
          <c:dPt>
            <c:idx val="3"/>
            <c:bubble3D val="0"/>
          </c:dPt>
          <c:dPt>
            <c:idx val="4"/>
            <c:bubble3D val="0"/>
          </c:dPt>
          <c:dPt>
            <c:idx val="5"/>
            <c:bubble3D val="0"/>
          </c:dPt>
          <c:dLbls>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Sheet1!$A$2:$A$7</c:f>
              <c:strCache>
                <c:ptCount val="6"/>
                <c:pt idx="0">
                  <c:v>财政拨款收入</c:v>
                </c:pt>
                <c:pt idx="1">
                  <c:v>上级补助收入</c:v>
                </c:pt>
                <c:pt idx="2">
                  <c:v>事业收入</c:v>
                </c:pt>
                <c:pt idx="3">
                  <c:v>经营收入</c:v>
                </c:pt>
                <c:pt idx="4">
                  <c:v>附属单位上缴</c:v>
                </c:pt>
                <c:pt idx="5">
                  <c:v>其他收入</c:v>
                </c:pt>
              </c:strCache>
            </c:strRef>
          </c:cat>
          <c:val>
            <c:numRef>
              <c:f>Sheet1!$B$2:$B$7</c:f>
              <c:numCache>
                <c:formatCode>General</c:formatCode>
                <c:ptCount val="6"/>
                <c:pt idx="0">
                  <c:v>418.41</c:v>
                </c:pt>
                <c:pt idx="1">
                  <c:v>0</c:v>
                </c:pt>
                <c:pt idx="2">
                  <c:v>0</c:v>
                </c:pt>
                <c:pt idx="3">
                  <c:v>0</c:v>
                </c:pt>
                <c:pt idx="4">
                  <c:v>0</c:v>
                </c:pt>
                <c:pt idx="5">
                  <c:v>0</c:v>
                </c:pt>
              </c:numCache>
            </c:numRef>
          </c:val>
        </c:ser>
        <c:dLbls>
          <c:showLegendKey val="0"/>
          <c:showVal val="1"/>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355c0956-5ff1-4d37-8cc5-11ad3b5b1e8e}"/>
      </c:ext>
    </c:extLst>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solidFill>
                <a:latin typeface="+mn-lt"/>
                <a:ea typeface="+mn-ea"/>
                <a:cs typeface="+mn-cs"/>
              </a:defRPr>
            </a:pPr>
            <a:r>
              <a:rPr lang="zh-CN" altLang="en-US">
                <a:solidFill>
                  <a:schemeClr val="tx1"/>
                </a:solidFill>
              </a:rPr>
              <a:t>支出决算</a:t>
            </a:r>
            <a:endParaRPr lang="zh-CN" altLang="en-US">
              <a:solidFill>
                <a:schemeClr val="tx1"/>
              </a:solidFill>
            </a:endParaRPr>
          </a:p>
        </c:rich>
      </c:tx>
      <c:layout/>
      <c:overlay val="0"/>
      <c:spPr>
        <a:noFill/>
        <a:ln>
          <a:noFill/>
        </a:ln>
        <a:effectLst/>
      </c:spPr>
    </c:title>
    <c:autoTitleDeleted val="0"/>
    <c:plotArea>
      <c:layout/>
      <c:pieChart>
        <c:varyColors val="1"/>
        <c:ser>
          <c:idx val="0"/>
          <c:order val="0"/>
          <c:tx>
            <c:strRef>
              <c:f>Sheet0!$B$1</c:f>
              <c:strCache>
                <c:ptCount val="1"/>
                <c:pt idx="0">
                  <c:v>支出</c:v>
                </c:pt>
              </c:strCache>
            </c:strRef>
          </c:tx>
          <c:explosion val="0"/>
          <c:dPt>
            <c:idx val="0"/>
            <c:bubble3D val="0"/>
            <c:spPr>
              <a:solidFill>
                <a:srgbClr val="4F81BD"/>
              </a:solidFill>
              <a:ln w="19050">
                <a:solidFill>
                  <a:srgbClr val="FFFFFF"/>
                </a:solidFill>
              </a:ln>
              <a:effectLst/>
            </c:spPr>
          </c:dPt>
          <c:dPt>
            <c:idx val="1"/>
            <c:bubble3D val="0"/>
            <c:spPr>
              <a:solidFill>
                <a:srgbClr val="C0504D"/>
              </a:solidFill>
              <a:ln w="19050">
                <a:solidFill>
                  <a:srgbClr val="FFFFFF"/>
                </a:solidFill>
              </a:ln>
              <a:effectLst/>
            </c:spPr>
          </c:dPt>
          <c:dPt>
            <c:idx val="2"/>
            <c:bubble3D val="0"/>
            <c:spPr>
              <a:solidFill>
                <a:srgbClr val="9BBB59"/>
              </a:solidFill>
              <a:ln w="19050">
                <a:solidFill>
                  <a:srgbClr val="FFFFFF"/>
                </a:solidFill>
              </a:ln>
              <a:effectLst/>
            </c:spPr>
          </c:dPt>
          <c:dPt>
            <c:idx val="3"/>
            <c:bubble3D val="0"/>
            <c:spPr>
              <a:solidFill>
                <a:srgbClr val="8064A2"/>
              </a:solidFill>
              <a:ln w="19050">
                <a:solidFill>
                  <a:srgbClr val="FFFFFF"/>
                </a:solidFill>
              </a:ln>
              <a:effectLst/>
            </c:spPr>
          </c:dPt>
          <c:dPt>
            <c:idx val="4"/>
            <c:bubble3D val="0"/>
            <c:spPr>
              <a:solidFill>
                <a:srgbClr val="4BACC6"/>
              </a:solidFill>
              <a:ln w="19050">
                <a:solidFill>
                  <a:srgbClr val="FFFFFF"/>
                </a:solidFill>
              </a:ln>
              <a:effectLst/>
            </c:spPr>
          </c:dPt>
          <c:dLbls>
            <c:dLbl>
              <c:idx val="2"/>
              <c:layout>
                <c:manualLayout>
                  <c:x val="-0.03900372940115"/>
                  <c:y val="0.0328271436107878"/>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4"/>
              <c:layout>
                <c:manualLayout>
                  <c:x val="0.0389887693586102"/>
                  <c:y val="0.0105112295100623"/>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A6A6A6">
                          <a:lumMod val="35000"/>
                          <a:lumOff val="65000"/>
                        </a:srgbClr>
                      </a:solidFill>
                      <a:prstDash val="solid"/>
                      <a:round/>
                    </a:ln>
                    <a:effectLst/>
                  </c:spPr>
                </c15:leaderLines>
              </c:ext>
            </c:extLst>
          </c:dLbls>
          <c:cat>
            <c:strRef>
              <c:f>Sheet0!$A$2:$A$6</c:f>
              <c:strCache>
                <c:ptCount val="5"/>
                <c:pt idx="0">
                  <c:v>基本支出</c:v>
                </c:pt>
                <c:pt idx="1">
                  <c:v>项目支出</c:v>
                </c:pt>
                <c:pt idx="2">
                  <c:v>上缴上级支出</c:v>
                </c:pt>
                <c:pt idx="3">
                  <c:v>经营支出</c:v>
                </c:pt>
                <c:pt idx="4">
                  <c:v>对附属单位补助支出</c:v>
                </c:pt>
              </c:strCache>
            </c:strRef>
          </c:cat>
          <c:val>
            <c:numRef>
              <c:f>Sheet0!$B$2:$B$6</c:f>
              <c:numCache>
                <c:formatCode>General</c:formatCode>
                <c:ptCount val="5"/>
                <c:pt idx="0">
                  <c:v>203.37</c:v>
                </c:pt>
                <c:pt idx="1">
                  <c:v>215.04</c:v>
                </c:pt>
                <c:pt idx="2">
                  <c:v>0</c:v>
                </c:pt>
                <c:pt idx="3">
                  <c:v>0</c:v>
                </c:pt>
                <c:pt idx="4">
                  <c:v>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2"/>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3"/>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4"/>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ac19f90b-aa61-4f40-8550-de26947dd9bc}"/>
      </c:ext>
    </c:extLst>
  </c:chart>
  <c:spPr>
    <a:ln w="9525" cap="flat" cmpd="sng" algn="ctr">
      <a:solidFill>
        <a:srgbClr val="D9D9D9">
          <a:lumMod val="15000"/>
          <a:lumOff val="85000"/>
        </a:srgb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3314</Words>
  <Characters>3745</Characters>
  <Lines>44</Lines>
  <Paragraphs>12</Paragraphs>
  <TotalTime>0</TotalTime>
  <ScaleCrop>false</ScaleCrop>
  <LinksUpToDate>false</LinksUpToDate>
  <CharactersWithSpaces>3765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2017-07-11T15:16:00Z</dcterms:created>
  <dc:creator>常程</dc:creator>
  <cp:lastModifiedBy>1+1</cp:lastModifiedBy>
  <cp:lastPrinted>2020-08-07T11:39:00Z</cp:lastPrinted>
  <dcterms:modified xsi:type="dcterms:W3CDTF">2025-09-01T03:19:40Z</dcterms:modified>
  <dc:title>北京市财政局关于做好向市人大常委会报送2015年度市级部门决算（草案）</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435078ACFECC4A5A8A519EF4C3681114_13</vt:lpwstr>
  </property>
  <property fmtid="{D5CDD505-2E9C-101B-9397-08002B2CF9AE}" pid="4" name="KSOTemplateDocerSaveRecord">
    <vt:lpwstr>eyJoZGlkIjoiZjlkY2UwMzA3NWFkNTJlZjY1MzQ5N2NjZDA3OGU2YjgiLCJ1c2VySWQiOiI0MjI5ODUyODIifQ==</vt:lpwstr>
  </property>
</Properties>
</file>