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51A3F">
      <w:pPr>
        <w:ind w:firstLine="883" w:firstLineChars="200"/>
        <w:jc w:val="center"/>
        <w:outlineLvl w:val="0"/>
        <w:rPr>
          <w:rFonts w:hint="eastAsia" w:ascii="宋体" w:hAnsi="宋体" w:cs="宋体"/>
          <w:b/>
          <w:bCs/>
          <w:sz w:val="44"/>
          <w:szCs w:val="44"/>
        </w:rPr>
      </w:pPr>
      <w:bookmarkStart w:id="0" w:name="_Toc11038"/>
      <w:r>
        <w:rPr>
          <w:rFonts w:hint="eastAsia" w:ascii="宋体" w:hAnsi="宋体" w:cs="宋体"/>
          <w:b/>
          <w:bCs/>
          <w:sz w:val="44"/>
          <w:szCs w:val="44"/>
        </w:rPr>
        <w:t>202</w:t>
      </w:r>
      <w:r>
        <w:rPr>
          <w:rFonts w:hint="eastAsia" w:ascii="宋体" w:hAnsi="宋体" w:cs="宋体"/>
          <w:b/>
          <w:bCs/>
          <w:sz w:val="44"/>
          <w:szCs w:val="44"/>
          <w:lang w:val="en-US" w:eastAsia="zh-CN"/>
        </w:rPr>
        <w:t>4</w:t>
      </w:r>
      <w:r>
        <w:rPr>
          <w:rFonts w:hint="eastAsia" w:ascii="宋体" w:hAnsi="宋体" w:cs="宋体"/>
          <w:b/>
          <w:bCs/>
          <w:sz w:val="44"/>
          <w:szCs w:val="44"/>
        </w:rPr>
        <w:t>年度</w:t>
      </w:r>
      <w:bookmarkEnd w:id="0"/>
      <w:r>
        <w:rPr>
          <w:rFonts w:hint="eastAsia" w:ascii="宋体" w:hAnsi="宋体" w:cs="宋体"/>
          <w:b/>
          <w:bCs/>
          <w:sz w:val="44"/>
          <w:szCs w:val="44"/>
          <w:lang w:val="en-US" w:eastAsia="zh-CN"/>
        </w:rPr>
        <w:t>部门整体绩效报告</w:t>
      </w:r>
    </w:p>
    <w:p w14:paraId="5E6F47C8">
      <w:pPr>
        <w:ind w:firstLine="560" w:firstLineChars="200"/>
        <w:rPr>
          <w:rFonts w:hint="eastAsia" w:ascii="黑体" w:eastAsia="黑体"/>
          <w:sz w:val="28"/>
          <w:szCs w:val="28"/>
          <w:highlight w:val="yellow"/>
        </w:rPr>
      </w:pPr>
    </w:p>
    <w:p w14:paraId="12CD5B1C">
      <w:pPr>
        <w:ind w:firstLine="562" w:firstLineChars="200"/>
        <w:outlineLvl w:val="1"/>
        <w:rPr>
          <w:rFonts w:hint="eastAsia" w:ascii="宋体" w:hAnsi="宋体" w:cs="宋体"/>
          <w:b/>
          <w:sz w:val="28"/>
          <w:szCs w:val="28"/>
        </w:rPr>
      </w:pPr>
      <w:r>
        <w:rPr>
          <w:rFonts w:hint="eastAsia" w:ascii="宋体" w:hAnsi="宋体" w:cs="宋体"/>
          <w:b/>
          <w:sz w:val="28"/>
          <w:szCs w:val="28"/>
        </w:rPr>
        <w:t>一</w:t>
      </w:r>
      <w:r>
        <w:rPr>
          <w:rFonts w:hint="eastAsia" w:ascii="宋体" w:hAnsi="宋体" w:cs="宋体"/>
          <w:b/>
          <w:sz w:val="28"/>
          <w:szCs w:val="28"/>
          <w:lang w:eastAsia="zh-CN"/>
        </w:rPr>
        <w:t>、</w:t>
      </w:r>
      <w:r>
        <w:rPr>
          <w:rFonts w:hint="eastAsia" w:ascii="宋体" w:hAnsi="宋体" w:cs="宋体"/>
          <w:b/>
          <w:sz w:val="28"/>
          <w:szCs w:val="28"/>
        </w:rPr>
        <w:t>部门概况</w:t>
      </w:r>
    </w:p>
    <w:p w14:paraId="22173C54">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1.机构设置及职责工作任务情况</w:t>
      </w:r>
    </w:p>
    <w:p w14:paraId="4E74BEEC">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北京市西城区总工会是中共北京市西城区委和北京市总工会领导下的职工自愿结合的</w:t>
      </w:r>
      <w:r>
        <w:rPr>
          <w:rFonts w:hint="eastAsia" w:ascii="仿宋_GB2312" w:hAnsi="Times New Roman" w:eastAsia="仿宋_GB2312" w:cs="Times New Roman"/>
          <w:sz w:val="28"/>
          <w:szCs w:val="28"/>
        </w:rPr>
        <w:fldChar w:fldCharType="begin"/>
      </w:r>
      <w:r>
        <w:rPr>
          <w:rFonts w:hint="eastAsia" w:ascii="仿宋_GB2312" w:hAnsi="Times New Roman" w:eastAsia="仿宋_GB2312" w:cs="Times New Roman"/>
          <w:sz w:val="28"/>
          <w:szCs w:val="28"/>
        </w:rPr>
        <w:instrText xml:space="preserve"> HYPERLINK "http://baike.baidu.com/view/400954.htm" \t "_blank" </w:instrText>
      </w:r>
      <w:r>
        <w:rPr>
          <w:rFonts w:hint="eastAsia" w:ascii="仿宋_GB2312" w:hAnsi="Times New Roman" w:eastAsia="仿宋_GB2312" w:cs="Times New Roman"/>
          <w:sz w:val="28"/>
          <w:szCs w:val="28"/>
        </w:rPr>
        <w:fldChar w:fldCharType="separate"/>
      </w:r>
      <w:r>
        <w:rPr>
          <w:rFonts w:hint="eastAsia" w:ascii="仿宋_GB2312" w:hAnsi="Times New Roman" w:eastAsia="仿宋_GB2312" w:cs="Times New Roman"/>
          <w:sz w:val="28"/>
          <w:szCs w:val="28"/>
        </w:rPr>
        <w:t>工人阶级</w:t>
      </w:r>
      <w:r>
        <w:rPr>
          <w:rFonts w:hint="eastAsia" w:ascii="仿宋_GB2312" w:hAnsi="Times New Roman" w:eastAsia="仿宋_GB2312" w:cs="Times New Roman"/>
          <w:sz w:val="28"/>
          <w:szCs w:val="28"/>
        </w:rPr>
        <w:fldChar w:fldCharType="end"/>
      </w:r>
      <w:r>
        <w:rPr>
          <w:rFonts w:hint="eastAsia" w:ascii="仿宋_GB2312" w:hAnsi="Times New Roman" w:eastAsia="仿宋_GB2312" w:cs="Times New Roman"/>
          <w:sz w:val="28"/>
          <w:szCs w:val="28"/>
        </w:rPr>
        <w:t>群众组织，是党联系职工群众的桥梁和纽带，是会员和职工利益的代表。西城区总工会机关内设8个部室，分别是办公室、党建工作部、机关党委、财务资产部、权益维护部、基层工作部、职工发展部、宣教网络部。</w:t>
      </w:r>
    </w:p>
    <w:p w14:paraId="4CC840AE">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（1）贯彻执行党的路线、方针和政策，根据区委、区政府、北京市总工会的中心工作和党的工运方针，研究制定每个时期工会工作的方针和任务，指导全区各级工会工作。</w:t>
      </w:r>
    </w:p>
    <w:p w14:paraId="4932D916">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负责工运理论政策的调研，组织对工会工作中重大问题的调查研究。向区委、区政府反映职工群众切身利益、呼声和要求，就有关涉及职工群众利益的改革进行调查研究，提出建议或方案。参与有关法律、法规的制定，并监督执行。</w:t>
      </w:r>
    </w:p>
    <w:p w14:paraId="21BEA23B">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依照法律和工会章程，组织和指导各级工会认真履行工会的职能。贯彻执行北京市西城区工会代表大会和北京市西城区总工会常委会决议，开展工会的各项业务工作。根据各基层直属工会的意见和要求，解决需要由区总工会与有关党政方面协商解决的问题。</w:t>
      </w:r>
    </w:p>
    <w:p w14:paraId="0D6505D3">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（4）负责全区工会的组织建设和制度建设，与区委有关部委协商推荐各直属基层工会的主要领导人选。研究制定各级工会干部的管理制度和培训教育规划，并组织实施。</w:t>
      </w:r>
    </w:p>
    <w:p w14:paraId="7D7CF5FF">
      <w:pPr>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5）协助区委、区政府做好全国、市级、区级劳动模范的推荐工作，负责全国“五一”劳动奖章（状）和首都劳动奖章（状）的推荐和西城区劳动奖章（状）的评选表彰工作，负责全区劳动模范的各项管理工作。</w:t>
      </w:r>
    </w:p>
    <w:p w14:paraId="3E922A98">
      <w:pPr>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（6）负责研究制定本区工会财务制度</w:t>
      </w:r>
      <w:r>
        <w:rPr>
          <w:rFonts w:hint="eastAsia" w:ascii="仿宋_GB2312" w:hAnsi="Times New Roman" w:eastAsia="仿宋_GB2312" w:cs="Times New Roman"/>
          <w:sz w:val="28"/>
          <w:szCs w:val="28"/>
          <w:lang w:eastAsia="zh-CN"/>
        </w:rPr>
        <w:t>及</w:t>
      </w:r>
      <w:r>
        <w:rPr>
          <w:rFonts w:hint="eastAsia" w:ascii="仿宋_GB2312" w:hAnsi="Times New Roman" w:eastAsia="仿宋_GB2312" w:cs="Times New Roman"/>
          <w:sz w:val="28"/>
          <w:szCs w:val="28"/>
        </w:rPr>
        <w:t>区总工会经费及资产管理工作</w:t>
      </w:r>
      <w:r>
        <w:rPr>
          <w:rFonts w:hint="eastAsia" w:ascii="仿宋_GB2312" w:hAnsi="Times New Roman" w:eastAsia="仿宋_GB2312" w:cs="Times New Roman"/>
          <w:sz w:val="28"/>
          <w:szCs w:val="28"/>
          <w:lang w:val="en-US" w:eastAsia="zh-CN"/>
        </w:rPr>
        <w:t>,</w:t>
      </w:r>
      <w:r>
        <w:rPr>
          <w:rFonts w:hint="eastAsia" w:ascii="仿宋_GB2312" w:hAnsi="Times New Roman" w:eastAsia="仿宋_GB2312" w:cs="Times New Roman"/>
          <w:sz w:val="28"/>
          <w:szCs w:val="28"/>
        </w:rPr>
        <w:t>培训指导直属基层工会及所属事业单位财务管理</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资产管理</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预决算工作</w:t>
      </w:r>
      <w:r>
        <w:rPr>
          <w:rFonts w:hint="eastAsia" w:ascii="仿宋_GB2312" w:hAnsi="Times New Roman" w:eastAsia="仿宋_GB2312" w:cs="Times New Roman"/>
          <w:sz w:val="28"/>
          <w:szCs w:val="28"/>
          <w:lang w:eastAsia="zh-CN"/>
        </w:rPr>
        <w:t>。</w:t>
      </w:r>
    </w:p>
    <w:p w14:paraId="093AEF15">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北京市西城区总工会是中共北京市西城区委和北京市总工会领导下的职工自愿结合的</w:t>
      </w:r>
      <w:r>
        <w:rPr>
          <w:rFonts w:hint="eastAsia" w:ascii="仿宋_GB2312" w:eastAsia="仿宋_GB2312"/>
          <w:sz w:val="28"/>
          <w:szCs w:val="28"/>
          <w:lang w:eastAsia="zh-CN"/>
        </w:rPr>
        <w:fldChar w:fldCharType="begin"/>
      </w:r>
      <w:r>
        <w:rPr>
          <w:rFonts w:hint="eastAsia" w:ascii="仿宋_GB2312" w:eastAsia="仿宋_GB2312"/>
          <w:sz w:val="28"/>
          <w:szCs w:val="28"/>
          <w:lang w:eastAsia="zh-CN"/>
        </w:rPr>
        <w:instrText xml:space="preserve"> HYPERLINK "http://baike.baidu.com/view/400954.htm" \t "_blank" </w:instrText>
      </w:r>
      <w:r>
        <w:rPr>
          <w:rFonts w:hint="eastAsia" w:ascii="仿宋_GB2312" w:eastAsia="仿宋_GB2312"/>
          <w:sz w:val="28"/>
          <w:szCs w:val="28"/>
          <w:lang w:eastAsia="zh-CN"/>
        </w:rPr>
        <w:fldChar w:fldCharType="separate"/>
      </w:r>
      <w:r>
        <w:rPr>
          <w:rFonts w:hint="eastAsia" w:ascii="仿宋_GB2312" w:eastAsia="仿宋_GB2312"/>
          <w:sz w:val="28"/>
          <w:szCs w:val="28"/>
          <w:lang w:eastAsia="zh-CN"/>
        </w:rPr>
        <w:t>工人阶级</w:t>
      </w:r>
      <w:r>
        <w:rPr>
          <w:rFonts w:hint="eastAsia" w:ascii="仿宋_GB2312" w:eastAsia="仿宋_GB2312"/>
          <w:sz w:val="28"/>
          <w:szCs w:val="28"/>
          <w:lang w:eastAsia="zh-CN"/>
        </w:rPr>
        <w:fldChar w:fldCharType="end"/>
      </w:r>
      <w:r>
        <w:rPr>
          <w:rFonts w:hint="eastAsia" w:ascii="仿宋_GB2312" w:eastAsia="仿宋_GB2312"/>
          <w:sz w:val="28"/>
          <w:szCs w:val="28"/>
          <w:lang w:eastAsia="zh-CN"/>
        </w:rPr>
        <w:t>群众组织，是党联系职工群众的桥梁和纽带，是会员和职工利益的代表。西城区总工会机关内设8个部室，分别是办公室、党建工作部、机关党委、财务资产部、权益维护部、基层工作部、职工发展部、宣教网络部。</w:t>
      </w:r>
    </w:p>
    <w:p w14:paraId="4F05262D">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西城区总工会下属西城区职工文化宫、和西城技术交流创新中心为财政差额补助事业单位，其退休人员经费纳入财政补助。在区总工会本级核算。</w:t>
      </w:r>
    </w:p>
    <w:p w14:paraId="1934FF92">
      <w:pPr>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北京市西城区职工服务中心为独立核算全额拨款事业单位。服务中心是西城区总工会直属的事业单位，是区总工会职工三级服务体系的中心枢纽。</w:t>
      </w:r>
    </w:p>
    <w:p w14:paraId="0376B2A2">
      <w:pPr>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业务涵盖9大类16小项。具体包括：会员服务项目、互助保障、困难帮扶、法人证办理、12351热线派单、婚姻家庭建设、职业介绍、心理健康、社工管理等。中心秉承“维护职工合法权益，竭诚服务职工群众”的职责，开展各项职工服务项目。单位建立了由西城区劳动争议调解中心、职工法律援助中心、职工互助保险代办处等职能机构组成的职工服务后台支撑系统，进一步整合了工会服务资源，共享了部分政府资源和社会资源，制定了相关工作制度和工作人员守则，全力为广大职工提供优质的“一站式”公共服务，充分利用工会组织的独特优势，在教育职工、凝聚职工、服务职工和帮扶困难职工中发挥工会参与社会管理和公共服务的重要作用。</w:t>
      </w:r>
    </w:p>
    <w:p w14:paraId="2ABEAC2E">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2.部门整体绩效目标设立情况。</w:t>
      </w:r>
    </w:p>
    <w:p w14:paraId="416CF77C">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全面贯彻习近平新时代中国特色社会主义思想，坚持以习近平总书记对北京一系列重要讲话精神为根本遵循，树立大抓基层的鲜明导向，突出党的政治建设，服务改革发展大局，引领广大职工勇当高质量发展排头兵。在劳资双方劳动争议过程中扮演疏导矛盾，化解矛盾的角色，快速解决纠纷，着力维护职工合法权益，促进劳动关系的和谐稳定。更好地满足职工群众对美好生活的需要。体现党和政府及工会组织对广大劳动模范的关心和爱护，激发广大劳模及先进人物荣誉感，积极营造劳动光荣的社会风尚和精益求精的敬业风气。全面加强工会自身建设。不断增强工会组织和工会工作的政治性、先进性和群众性，团结动员广大职工为实现首都功能核心区治</w:t>
      </w:r>
      <w:bookmarkStart w:id="1" w:name="_GoBack"/>
      <w:bookmarkEnd w:id="1"/>
      <w:r>
        <w:rPr>
          <w:rFonts w:hint="eastAsia" w:ascii="仿宋_GB2312" w:hAnsi="Times New Roman" w:eastAsia="仿宋_GB2312" w:cs="宋体"/>
          <w:bCs/>
          <w:snapToGrid w:val="0"/>
          <w:kern w:val="0"/>
          <w:sz w:val="28"/>
          <w:szCs w:val="28"/>
        </w:rPr>
        <w:t>理体系和治理能力现代化建功立业。</w:t>
      </w:r>
    </w:p>
    <w:p w14:paraId="40712474">
      <w:pPr>
        <w:pStyle w:val="2"/>
        <w:ind w:firstLine="560"/>
        <w:rPr>
          <w:rFonts w:hint="eastAsia" w:ascii="仿宋_GB2312" w:hAnsi="Times New Roman" w:eastAsia="仿宋_GB2312" w:cs="宋体"/>
          <w:bCs/>
          <w:snapToGrid w:val="0"/>
          <w:kern w:val="0"/>
          <w:sz w:val="28"/>
          <w:szCs w:val="28"/>
          <w:lang w:eastAsia="zh-CN"/>
        </w:rPr>
      </w:pPr>
      <w:r>
        <w:rPr>
          <w:rFonts w:hint="eastAsia" w:ascii="仿宋_GB2312" w:eastAsia="仿宋_GB2312" w:cs="宋体"/>
          <w:bCs/>
          <w:snapToGrid w:val="0"/>
          <w:kern w:val="0"/>
          <w:sz w:val="28"/>
          <w:szCs w:val="28"/>
          <w:lang w:eastAsia="zh-CN"/>
        </w:rPr>
        <w:t>职工服务中心完成工资发放，确保工作人员按时就餐，保证就餐质量。服务员工，解决员工衣食住行中的吃方面的问题。1名食堂工作人员，从事厨房炊事员及餐厅管理工作。</w:t>
      </w:r>
    </w:p>
    <w:p w14:paraId="0ADAE8D5">
      <w:pPr>
        <w:ind w:firstLine="562" w:firstLineChars="200"/>
        <w:outlineLvl w:val="1"/>
        <w:rPr>
          <w:rFonts w:hint="eastAsia" w:ascii="宋体" w:hAnsi="宋体" w:cs="宋体"/>
          <w:b/>
          <w:sz w:val="28"/>
          <w:szCs w:val="28"/>
        </w:rPr>
      </w:pPr>
      <w:r>
        <w:rPr>
          <w:rFonts w:hint="eastAsia" w:ascii="宋体" w:hAnsi="宋体" w:cs="宋体"/>
          <w:b/>
          <w:sz w:val="28"/>
          <w:szCs w:val="28"/>
        </w:rPr>
        <w:t>二</w:t>
      </w:r>
      <w:r>
        <w:rPr>
          <w:rFonts w:hint="eastAsia" w:ascii="宋体" w:hAnsi="宋体" w:cs="宋体"/>
          <w:b/>
          <w:sz w:val="28"/>
          <w:szCs w:val="28"/>
          <w:lang w:eastAsia="zh-CN"/>
        </w:rPr>
        <w:t>、</w:t>
      </w:r>
      <w:r>
        <w:rPr>
          <w:rFonts w:hint="eastAsia" w:ascii="宋体" w:hAnsi="宋体" w:cs="宋体"/>
          <w:b/>
          <w:sz w:val="28"/>
          <w:szCs w:val="28"/>
        </w:rPr>
        <w:t>当年预算执行情况</w:t>
      </w:r>
    </w:p>
    <w:p w14:paraId="1AF01228">
      <w:pPr>
        <w:pStyle w:val="2"/>
        <w:ind w:firstLine="56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202</w:t>
      </w:r>
      <w:r>
        <w:rPr>
          <w:rFonts w:hint="eastAsia" w:ascii="仿宋_GB2312" w:eastAsia="仿宋_GB2312" w:cs="宋体"/>
          <w:bCs/>
          <w:snapToGrid w:val="0"/>
          <w:kern w:val="0"/>
          <w:sz w:val="28"/>
          <w:szCs w:val="28"/>
          <w:highlight w:val="none"/>
          <w:lang w:val="en-US" w:eastAsia="zh-CN"/>
        </w:rPr>
        <w:t>4</w:t>
      </w:r>
      <w:r>
        <w:rPr>
          <w:rFonts w:hint="eastAsia" w:ascii="仿宋_GB2312" w:hAnsi="Times New Roman" w:eastAsia="仿宋_GB2312" w:cs="宋体"/>
          <w:bCs/>
          <w:snapToGrid w:val="0"/>
          <w:kern w:val="0"/>
          <w:sz w:val="28"/>
          <w:szCs w:val="28"/>
          <w:highlight w:val="none"/>
        </w:rPr>
        <w:t>年</w:t>
      </w:r>
      <w:r>
        <w:rPr>
          <w:rFonts w:hint="eastAsia" w:ascii="仿宋_GB2312" w:eastAsia="仿宋_GB2312" w:cs="宋体"/>
          <w:bCs/>
          <w:snapToGrid w:val="0"/>
          <w:kern w:val="0"/>
          <w:sz w:val="28"/>
          <w:szCs w:val="28"/>
          <w:highlight w:val="none"/>
          <w:lang w:eastAsia="zh-CN"/>
        </w:rPr>
        <w:t>年初</w:t>
      </w:r>
      <w:r>
        <w:rPr>
          <w:rFonts w:hint="eastAsia" w:ascii="仿宋_GB2312" w:hAnsi="Times New Roman" w:eastAsia="仿宋_GB2312" w:cs="宋体"/>
          <w:bCs/>
          <w:snapToGrid w:val="0"/>
          <w:kern w:val="0"/>
          <w:sz w:val="28"/>
          <w:szCs w:val="28"/>
          <w:highlight w:val="none"/>
        </w:rPr>
        <w:t>预算数</w:t>
      </w:r>
      <w:r>
        <w:rPr>
          <w:rFonts w:hint="eastAsia" w:ascii="仿宋_GB2312" w:eastAsia="仿宋_GB2312" w:cs="宋体"/>
          <w:bCs/>
          <w:snapToGrid w:val="0"/>
          <w:kern w:val="0"/>
          <w:sz w:val="28"/>
          <w:szCs w:val="28"/>
          <w:highlight w:val="none"/>
          <w:lang w:val="en-US" w:eastAsia="zh-CN"/>
        </w:rPr>
        <w:t>636.61</w:t>
      </w:r>
      <w:r>
        <w:rPr>
          <w:rFonts w:hint="eastAsia" w:ascii="仿宋_GB2312" w:hAnsi="Times New Roman" w:eastAsia="仿宋_GB2312" w:cs="宋体"/>
          <w:bCs/>
          <w:snapToGrid w:val="0"/>
          <w:kern w:val="0"/>
          <w:sz w:val="28"/>
          <w:szCs w:val="28"/>
          <w:highlight w:val="none"/>
        </w:rPr>
        <w:t>万元，其中，基本支出预算数</w:t>
      </w:r>
      <w:r>
        <w:rPr>
          <w:rFonts w:hint="eastAsia" w:ascii="仿宋_GB2312" w:hAnsi="Times New Roman" w:eastAsia="仿宋_GB2312" w:cs="宋体"/>
          <w:bCs/>
          <w:snapToGrid w:val="0"/>
          <w:kern w:val="0"/>
          <w:sz w:val="28"/>
          <w:szCs w:val="28"/>
          <w:highlight w:val="none"/>
          <w:lang w:val="en-US" w:eastAsia="zh-CN"/>
        </w:rPr>
        <w:t>4</w:t>
      </w:r>
      <w:r>
        <w:rPr>
          <w:rFonts w:hint="eastAsia" w:ascii="仿宋_GB2312" w:eastAsia="仿宋_GB2312" w:cs="宋体"/>
          <w:bCs/>
          <w:snapToGrid w:val="0"/>
          <w:kern w:val="0"/>
          <w:sz w:val="28"/>
          <w:szCs w:val="28"/>
          <w:highlight w:val="none"/>
          <w:lang w:val="en-US" w:eastAsia="zh-CN"/>
        </w:rPr>
        <w:t>39.13</w:t>
      </w:r>
      <w:r>
        <w:rPr>
          <w:rFonts w:hint="eastAsia" w:ascii="仿宋_GB2312" w:hAnsi="Times New Roman" w:eastAsia="仿宋_GB2312" w:cs="宋体"/>
          <w:bCs/>
          <w:snapToGrid w:val="0"/>
          <w:kern w:val="0"/>
          <w:sz w:val="28"/>
          <w:szCs w:val="28"/>
          <w:highlight w:val="none"/>
        </w:rPr>
        <w:t>万元，项目支出预算数</w:t>
      </w:r>
      <w:r>
        <w:rPr>
          <w:rFonts w:hint="eastAsia" w:ascii="仿宋_GB2312" w:eastAsia="仿宋_GB2312" w:cs="宋体"/>
          <w:bCs/>
          <w:snapToGrid w:val="0"/>
          <w:kern w:val="0"/>
          <w:sz w:val="28"/>
          <w:szCs w:val="28"/>
          <w:highlight w:val="none"/>
          <w:lang w:val="en-US" w:eastAsia="zh-CN"/>
        </w:rPr>
        <w:t>197.48</w:t>
      </w:r>
      <w:r>
        <w:rPr>
          <w:rFonts w:hint="eastAsia" w:ascii="仿宋_GB2312" w:hAnsi="Times New Roman" w:eastAsia="仿宋_GB2312" w:cs="宋体"/>
          <w:bCs/>
          <w:snapToGrid w:val="0"/>
          <w:kern w:val="0"/>
          <w:sz w:val="28"/>
          <w:szCs w:val="28"/>
          <w:highlight w:val="none"/>
        </w:rPr>
        <w:t>万元，其他支出预算数</w:t>
      </w:r>
      <w:r>
        <w:rPr>
          <w:rFonts w:hint="eastAsia" w:ascii="仿宋_GB2312" w:hAnsi="Times New Roman" w:eastAsia="仿宋_GB2312" w:cs="宋体"/>
          <w:bCs/>
          <w:snapToGrid w:val="0"/>
          <w:kern w:val="0"/>
          <w:sz w:val="28"/>
          <w:szCs w:val="28"/>
          <w:highlight w:val="none"/>
          <w:lang w:val="en-US" w:eastAsia="zh-CN"/>
        </w:rPr>
        <w:t>0</w:t>
      </w:r>
      <w:r>
        <w:rPr>
          <w:rFonts w:hint="eastAsia" w:ascii="仿宋_GB2312" w:hAnsi="Times New Roman" w:eastAsia="仿宋_GB2312" w:cs="宋体"/>
          <w:bCs/>
          <w:snapToGrid w:val="0"/>
          <w:kern w:val="0"/>
          <w:sz w:val="28"/>
          <w:szCs w:val="28"/>
          <w:highlight w:val="none"/>
        </w:rPr>
        <w:t>万元。资金总体支出</w:t>
      </w:r>
      <w:r>
        <w:rPr>
          <w:rFonts w:hint="eastAsia" w:ascii="仿宋_GB2312" w:eastAsia="仿宋_GB2312"/>
          <w:sz w:val="28"/>
          <w:szCs w:val="28"/>
          <w:highlight w:val="none"/>
          <w:lang w:val="en-US" w:eastAsia="zh-CN"/>
        </w:rPr>
        <w:t>693.73</w:t>
      </w:r>
      <w:r>
        <w:rPr>
          <w:rFonts w:hint="eastAsia" w:ascii="仿宋_GB2312" w:hAnsi="Times New Roman" w:eastAsia="仿宋_GB2312" w:cs="宋体"/>
          <w:bCs/>
          <w:snapToGrid w:val="0"/>
          <w:kern w:val="0"/>
          <w:sz w:val="28"/>
          <w:szCs w:val="28"/>
          <w:highlight w:val="none"/>
        </w:rPr>
        <w:t>万元，其中，基本支出</w:t>
      </w:r>
      <w:r>
        <w:rPr>
          <w:rFonts w:hint="eastAsia" w:ascii="仿宋_GB2312" w:eastAsia="仿宋_GB2312"/>
          <w:sz w:val="28"/>
          <w:szCs w:val="28"/>
          <w:highlight w:val="none"/>
          <w:lang w:val="en-US" w:eastAsia="zh-CN"/>
        </w:rPr>
        <w:t>471.63</w:t>
      </w:r>
      <w:r>
        <w:rPr>
          <w:rFonts w:hint="eastAsia" w:ascii="仿宋_GB2312" w:hAnsi="Times New Roman" w:eastAsia="仿宋_GB2312" w:cs="宋体"/>
          <w:bCs/>
          <w:snapToGrid w:val="0"/>
          <w:kern w:val="0"/>
          <w:sz w:val="28"/>
          <w:szCs w:val="28"/>
          <w:highlight w:val="none"/>
        </w:rPr>
        <w:t>万元，项目支出</w:t>
      </w:r>
      <w:r>
        <w:rPr>
          <w:rFonts w:hint="eastAsia" w:ascii="仿宋_GB2312" w:eastAsia="仿宋_GB2312" w:cs="宋体"/>
          <w:bCs/>
          <w:snapToGrid w:val="0"/>
          <w:kern w:val="0"/>
          <w:sz w:val="28"/>
          <w:szCs w:val="28"/>
          <w:highlight w:val="none"/>
          <w:lang w:val="en-US" w:eastAsia="zh-CN"/>
        </w:rPr>
        <w:t>222.1</w:t>
      </w:r>
      <w:r>
        <w:rPr>
          <w:rFonts w:hint="eastAsia" w:ascii="仿宋_GB2312" w:hAnsi="Times New Roman" w:eastAsia="仿宋_GB2312" w:cs="宋体"/>
          <w:bCs/>
          <w:snapToGrid w:val="0"/>
          <w:kern w:val="0"/>
          <w:sz w:val="28"/>
          <w:szCs w:val="28"/>
          <w:highlight w:val="none"/>
        </w:rPr>
        <w:t>万元，其他支出</w:t>
      </w:r>
      <w:r>
        <w:rPr>
          <w:rFonts w:hint="eastAsia" w:ascii="仿宋_GB2312" w:hAnsi="Times New Roman" w:eastAsia="仿宋_GB2312" w:cs="宋体"/>
          <w:bCs/>
          <w:snapToGrid w:val="0"/>
          <w:kern w:val="0"/>
          <w:sz w:val="28"/>
          <w:szCs w:val="28"/>
          <w:highlight w:val="none"/>
          <w:lang w:val="en-US" w:eastAsia="zh-CN"/>
        </w:rPr>
        <w:t>0</w:t>
      </w:r>
      <w:r>
        <w:rPr>
          <w:rFonts w:hint="eastAsia" w:ascii="仿宋_GB2312" w:hAnsi="Times New Roman" w:eastAsia="仿宋_GB2312" w:cs="宋体"/>
          <w:bCs/>
          <w:snapToGrid w:val="0"/>
          <w:kern w:val="0"/>
          <w:sz w:val="28"/>
          <w:szCs w:val="28"/>
          <w:highlight w:val="none"/>
        </w:rPr>
        <w:t>万元。</w:t>
      </w:r>
    </w:p>
    <w:p w14:paraId="1E0DB903">
      <w:pPr>
        <w:ind w:firstLine="562" w:firstLineChars="200"/>
        <w:outlineLvl w:val="1"/>
        <w:rPr>
          <w:rFonts w:hint="eastAsia" w:ascii="宋体" w:hAnsi="宋体" w:cs="宋体"/>
          <w:b/>
          <w:sz w:val="28"/>
          <w:szCs w:val="28"/>
        </w:rPr>
      </w:pPr>
      <w:r>
        <w:rPr>
          <w:rFonts w:hint="eastAsia" w:ascii="宋体" w:hAnsi="宋体" w:cs="宋体"/>
          <w:b/>
          <w:sz w:val="28"/>
          <w:szCs w:val="28"/>
          <w:highlight w:val="none"/>
        </w:rPr>
        <w:t>三</w:t>
      </w:r>
      <w:r>
        <w:rPr>
          <w:rFonts w:hint="eastAsia" w:ascii="宋体" w:hAnsi="宋体" w:cs="宋体"/>
          <w:b/>
          <w:sz w:val="28"/>
          <w:szCs w:val="28"/>
          <w:highlight w:val="none"/>
          <w:lang w:eastAsia="zh-CN"/>
        </w:rPr>
        <w:t>、</w:t>
      </w:r>
      <w:r>
        <w:rPr>
          <w:rFonts w:hint="eastAsia" w:ascii="宋体" w:hAnsi="宋体" w:cs="宋体"/>
          <w:b/>
          <w:sz w:val="28"/>
          <w:szCs w:val="28"/>
          <w:highlight w:val="none"/>
        </w:rPr>
        <w:t>整体绩效目标实现情</w:t>
      </w:r>
      <w:r>
        <w:rPr>
          <w:rFonts w:hint="eastAsia" w:ascii="宋体" w:hAnsi="宋体" w:cs="宋体"/>
          <w:b/>
          <w:sz w:val="28"/>
          <w:szCs w:val="28"/>
        </w:rPr>
        <w:t>况</w:t>
      </w:r>
    </w:p>
    <w:p w14:paraId="51E3FA10">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1.产出完成情况分析</w:t>
      </w:r>
    </w:p>
    <w:tbl>
      <w:tblPr>
        <w:tblStyle w:val="3"/>
        <w:tblW w:w="498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3"/>
        <w:gridCol w:w="920"/>
        <w:gridCol w:w="2055"/>
        <w:gridCol w:w="823"/>
        <w:gridCol w:w="636"/>
        <w:gridCol w:w="1109"/>
        <w:gridCol w:w="1015"/>
        <w:gridCol w:w="1061"/>
      </w:tblGrid>
      <w:tr w14:paraId="5A5D6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573E456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一级指标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2726316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二级指标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4A1F1C2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三级指标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3FCCD6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指标性质</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28CF4F1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指标值</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30B0C7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度量单位</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1320F2D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权重（%）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219D41E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实现情况</w:t>
            </w:r>
          </w:p>
        </w:tc>
      </w:tr>
      <w:tr w14:paraId="012B1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136C2B11">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3323CBF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时效指标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280B51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开展劳模评选表彰、五一前关心关爱完成时效</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4AB8B862">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4B8301F1">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F29A02D">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月</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4F49A03F">
            <w:pPr>
              <w:keepNext w:val="0"/>
              <w:keepLines w:val="0"/>
              <w:widowControl/>
              <w:suppressLineNumbers w:val="0"/>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5E22EF85">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6B4ED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D725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72DD2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时效指标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535639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开展劳模疗休养完成时效</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30B3C1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1110961C">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BC6D3E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6CC84B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607F8D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0A1A9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9242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45DA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时效指标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7A48FD1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开展劳模体检完成时效</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6975B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54AFE57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6EF77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395F6FC4">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377DC1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468A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E1B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B91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时效指标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7CF6EDB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按季度及时支付</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72220F2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57A5B57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D6795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次</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46F896EB">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5503E4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479C3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2A76725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42811D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数量指标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31FD1EC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调解成功数量</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EAC6FD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690E674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420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339F1C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个（台、套、件、辆）</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1975D6B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EF2AB6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成功调解劳动争议案件711件</w:t>
            </w:r>
          </w:p>
        </w:tc>
      </w:tr>
      <w:tr w14:paraId="109B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2B795F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4EBFDA6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数量指标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279A3E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 xml:space="preserve">劳模疗休养工作劳模人数 </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7193060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1803B52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B9899E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人</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001B3A5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FAFB9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2D6B6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FB773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E790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数量指标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37DF6C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在册劳模的关心关爱与五一评选表彰工作劳模人数</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14C0B11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7B10A486">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500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C540D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人</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0116CEE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9CD7D5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已完成，共633人</w:t>
            </w:r>
          </w:p>
        </w:tc>
      </w:tr>
      <w:tr w14:paraId="481D5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320729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2CC318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成本指标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206A46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劳模体检</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A27B19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27C96B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AD0535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万元</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466763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6CAC08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已完成，支出13.1万元</w:t>
            </w:r>
          </w:p>
        </w:tc>
      </w:tr>
      <w:tr w14:paraId="43763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noWrap w:val="0"/>
            <w:vAlign w:val="center"/>
          </w:tcPr>
          <w:p w14:paraId="357CAA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61A2E6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质量指标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70351E4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受理案件量达到同期仲裁立案量</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4E365C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33D2E56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86097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5190760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5BAB93D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已完成，达到40%</w:t>
            </w:r>
          </w:p>
        </w:tc>
      </w:tr>
      <w:tr w14:paraId="3EFC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F97E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BB64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质量指标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1F0681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调解成功率</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A508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3571F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3F2E1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6CC48F1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28BBCC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已完成，达到32%</w:t>
            </w:r>
          </w:p>
        </w:tc>
      </w:tr>
      <w:tr w14:paraId="06A75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1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83FF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产出指标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49D1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质量指标</w:t>
            </w:r>
          </w:p>
        </w:tc>
        <w:tc>
          <w:tcPr>
            <w:tcW w:w="1208" w:type="pct"/>
            <w:tcBorders>
              <w:top w:val="single" w:color="000000" w:sz="4" w:space="0"/>
              <w:left w:val="single" w:color="000000" w:sz="4" w:space="0"/>
              <w:bottom w:val="single" w:color="000000" w:sz="4" w:space="0"/>
              <w:right w:val="single" w:color="000000" w:sz="4" w:space="0"/>
            </w:tcBorders>
            <w:noWrap w:val="0"/>
            <w:vAlign w:val="center"/>
          </w:tcPr>
          <w:p w14:paraId="295BF7E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劳模体检愿检尽检完成率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681D69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noWrap w:val="0"/>
            <w:vAlign w:val="center"/>
          </w:tcPr>
          <w:p w14:paraId="3FDE5BC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FCD59B4">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14:paraId="4D7F4C7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49615AE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已完成，达100%</w:t>
            </w:r>
          </w:p>
        </w:tc>
      </w:tr>
    </w:tbl>
    <w:p w14:paraId="2177DAC8">
      <w:pPr>
        <w:keepNext w:val="0"/>
        <w:keepLines w:val="0"/>
        <w:widowControl/>
        <w:suppressLineNumbers w:val="0"/>
        <w:jc w:val="center"/>
        <w:textAlignment w:val="center"/>
        <w:rPr>
          <w:rFonts w:hint="eastAsia" w:ascii="仿宋_GB2312" w:hAnsi="Times New Roman" w:eastAsia="仿宋_GB2312" w:cs="宋体"/>
          <w:bCs/>
          <w:snapToGrid w:val="0"/>
          <w:kern w:val="0"/>
          <w:sz w:val="28"/>
          <w:szCs w:val="28"/>
        </w:rPr>
      </w:pPr>
      <w:r>
        <w:rPr>
          <w:rFonts w:hint="eastAsia" w:ascii="仿宋_GB2312" w:hAnsi="仿宋_GB2312" w:eastAsia="仿宋_GB2312" w:cs="仿宋_GB2312"/>
          <w:i w:val="0"/>
          <w:iCs w:val="0"/>
          <w:color w:val="000000"/>
          <w:kern w:val="0"/>
          <w:sz w:val="28"/>
          <w:szCs w:val="28"/>
          <w:u w:val="none"/>
          <w:lang w:val="en-US" w:eastAsia="zh-CN" w:bidi="ar"/>
        </w:rPr>
        <w:t xml:space="preserve">                                  </w:t>
      </w:r>
    </w:p>
    <w:p w14:paraId="0F2E0B17">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2.效果实现情况分析</w:t>
      </w:r>
    </w:p>
    <w:tbl>
      <w:tblPr>
        <w:tblStyle w:val="3"/>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960"/>
        <w:gridCol w:w="2048"/>
        <w:gridCol w:w="826"/>
        <w:gridCol w:w="635"/>
        <w:gridCol w:w="1105"/>
        <w:gridCol w:w="1020"/>
        <w:gridCol w:w="1063"/>
      </w:tblGrid>
      <w:tr w14:paraId="0FDC4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099558B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一级指标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3D8DFEC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二级指标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6DA32F8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三级指标</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633D74C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指标性质</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21A643E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指标值</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554074C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度量单位</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6DF3F96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权重（%）</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35441B0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完成情况</w:t>
            </w:r>
          </w:p>
        </w:tc>
      </w:tr>
      <w:tr w14:paraId="49297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3F15BCE8">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73B32C63">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社会效益指标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6EF1871D">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通过开展劳模送温暖、体检、疗休养及宣传表彰等工作，把党和政府及工会组织对劳模的关怀和关心传达到位，并在社会上营造向劳模学习、向劳模致敬的良好氛围。充分发挥劳模在群众中的特殊影响力。</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3BD4F01B">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定性</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626A1E19">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优良中低差</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785766DF">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其他</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B0E1DCA">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402AC595">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优</w:t>
            </w:r>
          </w:p>
        </w:tc>
      </w:tr>
      <w:tr w14:paraId="213F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73DE96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0BD40F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社会效益指标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6870D59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快速解决纠纷，促进劳动关系的和谐稳定</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23E1D9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定性</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1818FB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优良中低差</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14F1780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078AFF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75CA22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w:t>
            </w:r>
          </w:p>
        </w:tc>
      </w:tr>
      <w:tr w14:paraId="20709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6C36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9448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可持续影响指标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0306BCE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对于劳模的关爱、表彰、服务每年都有，管理服务好劳模，对于提升劳模的含金量、引领性打下良好基础</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0BC269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定性</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0D86D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优良中低差</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C888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637A2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987A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w:t>
            </w:r>
          </w:p>
        </w:tc>
      </w:tr>
      <w:tr w14:paraId="49049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6D3ADA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6B3C08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可持续影响指标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40F763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提升工会调解的社会影响力</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546A26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定性</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766F04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优良中低差</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2E37A9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60AC565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4D56C1D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w:t>
            </w:r>
          </w:p>
        </w:tc>
      </w:tr>
      <w:tr w14:paraId="2CE40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71BF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68C10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社会效益指标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3C23841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律师每月提供普法志愿服务，提升职工法律意识</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E4DB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60F40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5E5E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次</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8CFA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F4B4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46120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3439C5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效益指标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1A7B5D8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社会效益指标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0F45B4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按时发放、足额发放</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213C8E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定性</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1A1401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优良中低差</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28268A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2F7C47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19D8D0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优</w:t>
            </w:r>
          </w:p>
        </w:tc>
      </w:tr>
      <w:tr w14:paraId="21CD9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3"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340AC1B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满意度指标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2E8E4A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服务对象满意度指标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5DE4CA1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调解律师被投诉量</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2842FB1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7B310AFE">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69D30A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次</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521BD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4C3E93F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已完成，共2次</w:t>
            </w:r>
          </w:p>
        </w:tc>
      </w:tr>
      <w:tr w14:paraId="29E94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3E8406E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满意度指标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77FE98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服务对象满意度指标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41DB78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离退休干部</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35C870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62FB54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76931D7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6F95C0F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358D0A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r w14:paraId="3F10E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1" w:hRule="atLeast"/>
        </w:trPr>
        <w:tc>
          <w:tcPr>
            <w:tcW w:w="499" w:type="pct"/>
            <w:tcBorders>
              <w:top w:val="single" w:color="000000" w:sz="4" w:space="0"/>
              <w:left w:val="single" w:color="000000" w:sz="4" w:space="0"/>
              <w:bottom w:val="single" w:color="000000" w:sz="4" w:space="0"/>
              <w:right w:val="single" w:color="000000" w:sz="4" w:space="0"/>
            </w:tcBorders>
            <w:noWrap w:val="0"/>
            <w:vAlign w:val="center"/>
          </w:tcPr>
          <w:p w14:paraId="2F2F2C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满意度指标</w:t>
            </w:r>
          </w:p>
        </w:tc>
        <w:tc>
          <w:tcPr>
            <w:tcW w:w="564" w:type="pct"/>
            <w:tcBorders>
              <w:top w:val="single" w:color="000000" w:sz="4" w:space="0"/>
              <w:left w:val="single" w:color="000000" w:sz="4" w:space="0"/>
              <w:bottom w:val="single" w:color="000000" w:sz="4" w:space="0"/>
              <w:right w:val="single" w:color="000000" w:sz="4" w:space="0"/>
            </w:tcBorders>
            <w:noWrap w:val="0"/>
            <w:vAlign w:val="center"/>
          </w:tcPr>
          <w:p w14:paraId="0C4F52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服务对象满意度指标</w:t>
            </w:r>
          </w:p>
        </w:tc>
        <w:tc>
          <w:tcPr>
            <w:tcW w:w="1203" w:type="pct"/>
            <w:tcBorders>
              <w:top w:val="single" w:color="000000" w:sz="4" w:space="0"/>
              <w:left w:val="single" w:color="000000" w:sz="4" w:space="0"/>
              <w:bottom w:val="single" w:color="000000" w:sz="4" w:space="0"/>
              <w:right w:val="single" w:color="000000" w:sz="4" w:space="0"/>
            </w:tcBorders>
            <w:noWrap w:val="0"/>
            <w:vAlign w:val="center"/>
          </w:tcPr>
          <w:p w14:paraId="39E22D0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劳模满意度</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14:paraId="7F74119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6A9EF0A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4D4959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w:t>
            </w:r>
          </w:p>
        </w:tc>
        <w:tc>
          <w:tcPr>
            <w:tcW w:w="599" w:type="pct"/>
            <w:tcBorders>
              <w:top w:val="single" w:color="000000" w:sz="4" w:space="0"/>
              <w:left w:val="single" w:color="000000" w:sz="4" w:space="0"/>
              <w:bottom w:val="single" w:color="000000" w:sz="4" w:space="0"/>
              <w:right w:val="single" w:color="000000" w:sz="4" w:space="0"/>
            </w:tcBorders>
            <w:noWrap w:val="0"/>
            <w:vAlign w:val="center"/>
          </w:tcPr>
          <w:p w14:paraId="5F4423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14:paraId="4AB9A31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已完成</w:t>
            </w:r>
          </w:p>
        </w:tc>
      </w:tr>
    </w:tbl>
    <w:p w14:paraId="2C59DFF7">
      <w:pPr>
        <w:ind w:firstLine="562" w:firstLineChars="200"/>
        <w:outlineLvl w:val="1"/>
        <w:rPr>
          <w:rFonts w:hint="eastAsia" w:ascii="宋体" w:hAnsi="宋体" w:cs="宋体"/>
          <w:b/>
          <w:sz w:val="28"/>
          <w:szCs w:val="28"/>
        </w:rPr>
      </w:pPr>
      <w:r>
        <w:rPr>
          <w:rFonts w:hint="eastAsia" w:ascii="宋体" w:hAnsi="宋体" w:cs="宋体"/>
          <w:b/>
          <w:sz w:val="28"/>
          <w:szCs w:val="28"/>
        </w:rPr>
        <w:t>四</w:t>
      </w:r>
      <w:r>
        <w:rPr>
          <w:rFonts w:hint="eastAsia" w:ascii="宋体" w:hAnsi="宋体" w:cs="宋体"/>
          <w:b/>
          <w:sz w:val="28"/>
          <w:szCs w:val="28"/>
          <w:lang w:eastAsia="zh-CN"/>
        </w:rPr>
        <w:t>、</w:t>
      </w:r>
      <w:r>
        <w:rPr>
          <w:rFonts w:hint="eastAsia" w:ascii="宋体" w:hAnsi="宋体" w:cs="宋体"/>
          <w:b/>
          <w:sz w:val="28"/>
          <w:szCs w:val="28"/>
        </w:rPr>
        <w:t>预算管理情况分析</w:t>
      </w:r>
    </w:p>
    <w:p w14:paraId="58DB916D">
      <w:pPr>
        <w:pStyle w:val="2"/>
        <w:ind w:firstLine="56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1.财务管理</w:t>
      </w:r>
    </w:p>
    <w:p w14:paraId="409A2978">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财务管理制度健全性</w:t>
      </w:r>
    </w:p>
    <w:p w14:paraId="2A3A82CC">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西城区总工会制定了《西城区总工会财务管理制度》、《西城区总工会内控制度》、《西城区总工会经费审查委员会制度》、《西城区总工会对所属事业单位审计监督办法》、《西城区总工会经费支出管理制度》、《西城区总工会采购管理制度》、《西城区总工会公务卡管理制度》、《西城区总工会合同管理制度》等制度，涵盖了资产管理、资金管理、内部控制等方面的内容，能够满足内部控制的需要。</w:t>
      </w:r>
    </w:p>
    <w:p w14:paraId="46FADE1F">
      <w:pPr>
        <w:pStyle w:val="2"/>
        <w:ind w:firstLine="560"/>
        <w:rPr>
          <w:rFonts w:hint="eastAsia" w:ascii="仿宋_GB2312" w:hAnsi="Times New Roman" w:eastAsia="仿宋_GB2312" w:cs="宋体"/>
          <w:bCs/>
          <w:snapToGrid w:val="0"/>
          <w:kern w:val="0"/>
          <w:sz w:val="28"/>
          <w:szCs w:val="28"/>
        </w:rPr>
      </w:pPr>
    </w:p>
    <w:p w14:paraId="36D5BF05">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资金使用合规性和安全性</w:t>
      </w:r>
    </w:p>
    <w:p w14:paraId="2105B3CD">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西城区总工会制定了《专项资金管理制度》，专项资金实行“专人管理、专项使用”，纳入预算进行管理。专项资金使用部门按专项资金预算、资金安排计划、项目实施进度和支付方式，编制专项资金用款计划；财务资产部对专项资金用款计划进行审核，严格执行项目资金批准的使用计划和项目批复内容。</w:t>
      </w:r>
    </w:p>
    <w:p w14:paraId="0ED449A9">
      <w:pPr>
        <w:pStyle w:val="2"/>
        <w:ind w:firstLine="560"/>
        <w:rPr>
          <w:rFonts w:hint="eastAsia" w:ascii="仿宋_GB2312" w:hAnsi="Times New Roman" w:eastAsia="仿宋_GB2312" w:cs="宋体"/>
          <w:bCs/>
          <w:snapToGrid w:val="0"/>
          <w:kern w:val="0"/>
          <w:sz w:val="28"/>
          <w:szCs w:val="28"/>
        </w:rPr>
      </w:pPr>
    </w:p>
    <w:p w14:paraId="0CDC0012">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会计基础信息完善性</w:t>
      </w:r>
    </w:p>
    <w:p w14:paraId="0CB1DA6E">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西城区总工会严格按照《经费支出管理制度》，由财务资产部作为归口管理部室，确定各项经济活动的支出标准，明确支出报销流程；经费支出按以下程序执行：</w:t>
      </w:r>
    </w:p>
    <w:p w14:paraId="49C08CB2">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一）年度预算内基本支出（机关在职及退休人员经费和基础公用经费）不需上会决策可直接履行支出流程。年度预算内专项公用经费及项目经费需先按照资金额度履行上会决策流程通过后再履行支出流程，其中年度预算内事业单位在职及退休人员经费和基础公用经费以及工会社工人员经费不需上会决策可直接履行支出流程，履行后应及时上会通报。</w:t>
      </w:r>
    </w:p>
    <w:p w14:paraId="605AA713">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二）支付申请。各部门经办人根据年度工作计划及预算批复情况，填写《西城区总工会经费支出申请表》，逐项填列部门、项目名称、项目预算编号、内容、标准、数量、金额、日期等内容，注明请示事项及会议纪要相关信息、事前审批文件、采购文件、合同以及项目相关文件等。</w:t>
      </w:r>
    </w:p>
    <w:p w14:paraId="5E553F19">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（三）业务审核。《西城区总工会经费支出申请表》经部门负责人审核后报主管部门领导审核并签署审批意见。</w:t>
      </w:r>
    </w:p>
    <w:p w14:paraId="751A08AC">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（四）财务审核。财务资产部对资金支付事项进行审核，确认经费支出预算额度，核实数额的准确性，并在《西城区总工会经费支出申请表》上签署审核意见。</w:t>
      </w:r>
    </w:p>
    <w:p w14:paraId="474D4006">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 xml:space="preserve">（五）经费支出审批。《西城区总工会经费支出申请表》前期审批完成后由主管财务工作的领导负责审批。其中，主管财务工作的领导所主管科室的经费支出还需要主要领导审批。经费支出应按照批准后的预算方案严格执行，确保支出不超预算额度，年度部门预算内经费按照支付审批权限进行审批。当年预算执行中因处理突发事件、政策性增支及其他难以预见的开支,需要增加预算支出的, 须向主管部门领导提出申请动用预备费的方案,提交党组会集体讨论通过，其中单笔金额在30万元（含）以上的支出，需提交主席办公会审议通过后方可履行经费支付审批程序，严禁无预算支出。 </w:t>
      </w:r>
    </w:p>
    <w:p w14:paraId="0FE0DAB1">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六）各级经费支出审批人应在其审批权限内进行支付审批，越权审批无效。审批人因故不能履行职责时，可由直接上级领导指定代理人并报财务资产部备案。代理人在代理期间行使审批权力，对相应的审批事项承担法律责任。</w:t>
      </w:r>
    </w:p>
    <w:p w14:paraId="013CF1F0">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（七）临时突发性事项资金支付，需党组书记签字确认，需求科室事后应按规定流程及时补办相关手续。</w:t>
      </w:r>
    </w:p>
    <w:p w14:paraId="778722DA">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 xml:space="preserve"> 经批准后的经费支出申请，按照以下要求办理经费支出手续。</w:t>
      </w:r>
    </w:p>
    <w:p w14:paraId="4DA50D22">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（一）各部门经办人员持签批手续齐全等《西城区总工会经费支出申请表》交由出纳人员办理经费支出手续。经费支出原则上避免现金支出，根据实际情况使用公务卡、转账支票、汇款等方式办理经费支出手续。</w:t>
      </w:r>
    </w:p>
    <w:p w14:paraId="4B34451D">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（二）通过汇款等方式结算的款项，各部门经办人员必须提供准确的收款单位名称、开户行、账号、款项用途、金额，方可办理。</w:t>
      </w:r>
    </w:p>
    <w:p w14:paraId="5A014DEB">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（三）各部门办理经济业务需借支现金时，需提前填写《西城区总工会借款单》，写明借款用途、借款金额，经主管部门领导、主管财务领导审批后到财务资产部办理借款手续。</w:t>
      </w:r>
    </w:p>
    <w:p w14:paraId="5529C0F2">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（四）属于财政直接付款的，如采购尾款、项目结余等，由财务资产部按照区财政局相关要求办理相应手续。</w:t>
      </w:r>
    </w:p>
    <w:p w14:paraId="24B9CF89">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各预算部门经办人应在经费支出后十五个工作日内，填写《西城区总工会项目及公用经费支出报销单》，办理报销手续。</w:t>
      </w:r>
    </w:p>
    <w:p w14:paraId="742CA850">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一）经费报销签批手续同经费申请签批手续一致，部门经办人、部门负责人、财务审核人、主管部门领导、主管财务领导要进行审核签批。各预算部门负责人及经办人需在取得的发票背面签字并写明时间对发票的真实有效性负责。</w:t>
      </w:r>
    </w:p>
    <w:p w14:paraId="1742A17A">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二）财务资产部人员应对报销发票进行全面审核。发票抬头应写单位全称及统一社会信用代码，发票内容应与业务一致，发票金额应与付款金额一致。发票的有效时限为款项支付后1个月内，如因特殊情况发票超期经办人需书面说明原因后办理报销手续。</w:t>
      </w:r>
    </w:p>
    <w:p w14:paraId="5E806CF4">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2.资产管理</w:t>
      </w:r>
    </w:p>
    <w:p w14:paraId="1F261734">
      <w:pPr>
        <w:pStyle w:val="2"/>
        <w:ind w:firstLine="560"/>
        <w:rPr>
          <w:rFonts w:hint="eastAsia" w:ascii="仿宋_GB2312" w:hAnsi="Times New Roman" w:eastAsia="仿宋_GB2312" w:cs="宋体"/>
          <w:bCs/>
          <w:snapToGrid w:val="0"/>
          <w:kern w:val="0"/>
          <w:sz w:val="28"/>
          <w:szCs w:val="28"/>
          <w:lang w:eastAsia="zh-CN"/>
        </w:rPr>
      </w:pPr>
      <w:r>
        <w:rPr>
          <w:rFonts w:hint="eastAsia" w:ascii="仿宋_GB2312" w:hAnsi="Times New Roman" w:eastAsia="仿宋_GB2312" w:cs="宋体"/>
          <w:bCs/>
          <w:snapToGrid w:val="0"/>
          <w:kern w:val="0"/>
          <w:sz w:val="28"/>
          <w:szCs w:val="28"/>
          <w:lang w:eastAsia="zh-CN"/>
        </w:rPr>
        <w:t>本单位无国有资产，不涉及资产管理。</w:t>
      </w:r>
    </w:p>
    <w:p w14:paraId="56589259">
      <w:pPr>
        <w:pStyle w:val="2"/>
        <w:ind w:firstLine="56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3.绩效管理</w:t>
      </w:r>
    </w:p>
    <w:p w14:paraId="5CE80C86">
      <w:pPr>
        <w:pStyle w:val="2"/>
        <w:numPr>
          <w:ilvl w:val="0"/>
          <w:numId w:val="0"/>
        </w:numPr>
        <w:ind w:firstLine="840" w:firstLineChars="300"/>
        <w:rPr>
          <w:rFonts w:hint="eastAsia" w:ascii="仿宋_GB2312" w:hAnsi="Times New Roman" w:eastAsia="仿宋_GB2312" w:cs="宋体"/>
          <w:bCs/>
          <w:snapToGrid w:val="0"/>
          <w:kern w:val="0"/>
          <w:sz w:val="28"/>
          <w:szCs w:val="28"/>
          <w:lang w:val="en-US" w:eastAsia="zh-CN"/>
        </w:rPr>
      </w:pPr>
      <w:r>
        <w:rPr>
          <w:rFonts w:hint="eastAsia" w:ascii="仿宋_GB2312" w:hAnsi="Times New Roman" w:eastAsia="仿宋_GB2312" w:cs="宋体"/>
          <w:bCs/>
          <w:snapToGrid w:val="0"/>
          <w:kern w:val="0"/>
          <w:sz w:val="28"/>
          <w:szCs w:val="28"/>
          <w:lang w:eastAsia="zh-CN"/>
        </w:rPr>
        <w:t>本单位</w:t>
      </w:r>
      <w:r>
        <w:rPr>
          <w:rFonts w:hint="eastAsia" w:ascii="仿宋_GB2312" w:hAnsi="Times New Roman" w:eastAsia="仿宋_GB2312" w:cs="宋体"/>
          <w:bCs/>
          <w:snapToGrid w:val="0"/>
          <w:kern w:val="0"/>
          <w:sz w:val="28"/>
          <w:szCs w:val="28"/>
          <w:lang w:val="en-US" w:eastAsia="zh-CN"/>
        </w:rPr>
        <w:t>202</w:t>
      </w:r>
      <w:r>
        <w:rPr>
          <w:rFonts w:hint="eastAsia" w:ascii="仿宋_GB2312" w:eastAsia="仿宋_GB2312" w:cs="宋体"/>
          <w:bCs/>
          <w:snapToGrid w:val="0"/>
          <w:kern w:val="0"/>
          <w:sz w:val="28"/>
          <w:szCs w:val="28"/>
          <w:lang w:val="en-US" w:eastAsia="zh-CN"/>
        </w:rPr>
        <w:t>4</w:t>
      </w:r>
      <w:r>
        <w:rPr>
          <w:rFonts w:hint="eastAsia" w:ascii="仿宋_GB2312" w:hAnsi="Times New Roman" w:eastAsia="仿宋_GB2312" w:cs="宋体"/>
          <w:bCs/>
          <w:snapToGrid w:val="0"/>
          <w:kern w:val="0"/>
          <w:sz w:val="28"/>
          <w:szCs w:val="28"/>
          <w:lang w:val="en-US" w:eastAsia="zh-CN"/>
        </w:rPr>
        <w:t>年共有项目</w:t>
      </w:r>
      <w:r>
        <w:rPr>
          <w:rFonts w:hint="eastAsia" w:ascii="仿宋_GB2312" w:eastAsia="仿宋_GB2312" w:cs="宋体"/>
          <w:bCs/>
          <w:snapToGrid w:val="0"/>
          <w:kern w:val="0"/>
          <w:sz w:val="28"/>
          <w:szCs w:val="28"/>
          <w:lang w:val="en-US" w:eastAsia="zh-CN"/>
        </w:rPr>
        <w:t>4</w:t>
      </w:r>
      <w:r>
        <w:rPr>
          <w:rFonts w:hint="eastAsia" w:ascii="仿宋_GB2312" w:hAnsi="Times New Roman" w:eastAsia="仿宋_GB2312" w:cs="宋体"/>
          <w:bCs/>
          <w:snapToGrid w:val="0"/>
          <w:kern w:val="0"/>
          <w:sz w:val="28"/>
          <w:szCs w:val="28"/>
          <w:lang w:val="en-US" w:eastAsia="zh-CN"/>
        </w:rPr>
        <w:t>个，其中：律师调解劳动争议案件补贴项目年初预算</w:t>
      </w:r>
      <w:r>
        <w:rPr>
          <w:rFonts w:hint="eastAsia" w:ascii="仿宋_GB2312" w:eastAsia="仿宋_GB2312" w:cs="宋体"/>
          <w:bCs/>
          <w:snapToGrid w:val="0"/>
          <w:kern w:val="0"/>
          <w:sz w:val="28"/>
          <w:szCs w:val="28"/>
          <w:lang w:val="en-US" w:eastAsia="zh-CN"/>
        </w:rPr>
        <w:t>102.5</w:t>
      </w:r>
      <w:r>
        <w:rPr>
          <w:rFonts w:hint="eastAsia" w:ascii="仿宋_GB2312" w:hAnsi="Times New Roman" w:eastAsia="仿宋_GB2312" w:cs="宋体"/>
          <w:bCs/>
          <w:snapToGrid w:val="0"/>
          <w:kern w:val="0"/>
          <w:sz w:val="28"/>
          <w:szCs w:val="28"/>
          <w:lang w:val="en-US" w:eastAsia="zh-CN"/>
        </w:rPr>
        <w:t>万元，实际支出128.22万元；劳模经费年初预算</w:t>
      </w:r>
      <w:r>
        <w:rPr>
          <w:rFonts w:hint="eastAsia" w:ascii="仿宋_GB2312" w:eastAsia="仿宋_GB2312" w:cs="宋体"/>
          <w:bCs/>
          <w:snapToGrid w:val="0"/>
          <w:kern w:val="0"/>
          <w:sz w:val="28"/>
          <w:szCs w:val="28"/>
          <w:lang w:val="en-US" w:eastAsia="zh-CN"/>
        </w:rPr>
        <w:t>82.5</w:t>
      </w:r>
      <w:r>
        <w:rPr>
          <w:rFonts w:hint="eastAsia" w:ascii="仿宋_GB2312" w:hAnsi="Times New Roman" w:eastAsia="仿宋_GB2312" w:cs="宋体"/>
          <w:bCs/>
          <w:snapToGrid w:val="0"/>
          <w:kern w:val="0"/>
          <w:sz w:val="28"/>
          <w:szCs w:val="28"/>
          <w:lang w:val="en-US" w:eastAsia="zh-CN"/>
        </w:rPr>
        <w:t xml:space="preserve"> 万元，实际支出</w:t>
      </w:r>
      <w:r>
        <w:rPr>
          <w:rFonts w:hint="eastAsia" w:ascii="仿宋_GB2312" w:eastAsia="仿宋_GB2312" w:cs="宋体"/>
          <w:bCs/>
          <w:snapToGrid w:val="0"/>
          <w:kern w:val="0"/>
          <w:sz w:val="28"/>
          <w:szCs w:val="28"/>
          <w:lang w:val="en-US" w:eastAsia="zh-CN"/>
        </w:rPr>
        <w:t>82.5</w:t>
      </w:r>
      <w:r>
        <w:rPr>
          <w:rFonts w:hint="eastAsia" w:ascii="仿宋_GB2312" w:hAnsi="Times New Roman" w:eastAsia="仿宋_GB2312" w:cs="宋体"/>
          <w:bCs/>
          <w:snapToGrid w:val="0"/>
          <w:kern w:val="0"/>
          <w:sz w:val="28"/>
          <w:szCs w:val="28"/>
          <w:lang w:val="en-US" w:eastAsia="zh-CN"/>
        </w:rPr>
        <w:t>万元；离退休委员工作补贴年初预算</w:t>
      </w:r>
      <w:r>
        <w:rPr>
          <w:rFonts w:hint="eastAsia" w:ascii="仿宋_GB2312" w:eastAsia="仿宋_GB2312" w:cs="宋体"/>
          <w:bCs/>
          <w:snapToGrid w:val="0"/>
          <w:kern w:val="0"/>
          <w:sz w:val="28"/>
          <w:szCs w:val="28"/>
          <w:lang w:val="en-US" w:eastAsia="zh-CN"/>
        </w:rPr>
        <w:t>4.32</w:t>
      </w:r>
      <w:r>
        <w:rPr>
          <w:rFonts w:hint="eastAsia" w:ascii="仿宋_GB2312" w:hAnsi="Times New Roman" w:eastAsia="仿宋_GB2312" w:cs="宋体"/>
          <w:bCs/>
          <w:snapToGrid w:val="0"/>
          <w:kern w:val="0"/>
          <w:sz w:val="28"/>
          <w:szCs w:val="28"/>
          <w:lang w:val="en-US" w:eastAsia="zh-CN"/>
        </w:rPr>
        <w:t>万元，实际支出</w:t>
      </w:r>
      <w:r>
        <w:rPr>
          <w:rFonts w:hint="eastAsia" w:ascii="仿宋_GB2312" w:eastAsia="仿宋_GB2312" w:cs="宋体"/>
          <w:bCs/>
          <w:snapToGrid w:val="0"/>
          <w:kern w:val="0"/>
          <w:sz w:val="28"/>
          <w:szCs w:val="28"/>
          <w:lang w:val="en-US" w:eastAsia="zh-CN"/>
        </w:rPr>
        <w:t>4.32</w:t>
      </w:r>
      <w:r>
        <w:rPr>
          <w:rFonts w:hint="eastAsia" w:ascii="仿宋_GB2312" w:hAnsi="Times New Roman" w:eastAsia="仿宋_GB2312" w:cs="宋体"/>
          <w:bCs/>
          <w:snapToGrid w:val="0"/>
          <w:kern w:val="0"/>
          <w:sz w:val="28"/>
          <w:szCs w:val="28"/>
          <w:lang w:val="en-US" w:eastAsia="zh-CN"/>
        </w:rPr>
        <w:t>万元</w:t>
      </w:r>
      <w:r>
        <w:rPr>
          <w:rFonts w:hint="eastAsia" w:ascii="仿宋_GB2312" w:eastAsia="仿宋_GB2312" w:cs="宋体"/>
          <w:bCs/>
          <w:snapToGrid w:val="0"/>
          <w:kern w:val="0"/>
          <w:sz w:val="28"/>
          <w:szCs w:val="28"/>
          <w:lang w:val="en-US" w:eastAsia="zh-CN"/>
        </w:rPr>
        <w:t>；2024运行管理经费</w:t>
      </w:r>
      <w:r>
        <w:rPr>
          <w:rFonts w:hint="eastAsia" w:ascii="仿宋_GB2312" w:hAnsi="Times New Roman" w:eastAsia="仿宋_GB2312" w:cs="宋体"/>
          <w:bCs/>
          <w:snapToGrid w:val="0"/>
          <w:kern w:val="0"/>
          <w:sz w:val="28"/>
          <w:szCs w:val="28"/>
          <w:lang w:val="en-US" w:eastAsia="zh-CN"/>
        </w:rPr>
        <w:t>年初预算</w:t>
      </w:r>
      <w:r>
        <w:rPr>
          <w:rFonts w:hint="eastAsia" w:ascii="仿宋_GB2312" w:eastAsia="仿宋_GB2312" w:cs="宋体"/>
          <w:bCs/>
          <w:snapToGrid w:val="0"/>
          <w:kern w:val="0"/>
          <w:sz w:val="28"/>
          <w:szCs w:val="28"/>
          <w:lang w:val="en-US" w:eastAsia="zh-CN"/>
        </w:rPr>
        <w:t>8.16</w:t>
      </w:r>
      <w:r>
        <w:rPr>
          <w:rFonts w:hint="eastAsia" w:ascii="仿宋_GB2312" w:hAnsi="Times New Roman" w:eastAsia="仿宋_GB2312" w:cs="宋体"/>
          <w:bCs/>
          <w:snapToGrid w:val="0"/>
          <w:kern w:val="0"/>
          <w:sz w:val="28"/>
          <w:szCs w:val="28"/>
          <w:lang w:val="en-US" w:eastAsia="zh-CN"/>
        </w:rPr>
        <w:t>万元，实际支出</w:t>
      </w:r>
      <w:r>
        <w:rPr>
          <w:rFonts w:hint="eastAsia" w:ascii="仿宋_GB2312" w:eastAsia="仿宋_GB2312" w:cs="宋体"/>
          <w:bCs/>
          <w:snapToGrid w:val="0"/>
          <w:kern w:val="0"/>
          <w:sz w:val="28"/>
          <w:szCs w:val="28"/>
          <w:lang w:val="en-US" w:eastAsia="zh-CN"/>
        </w:rPr>
        <w:t>7.06</w:t>
      </w:r>
      <w:r>
        <w:rPr>
          <w:rFonts w:hint="eastAsia" w:ascii="仿宋_GB2312" w:hAnsi="Times New Roman" w:eastAsia="仿宋_GB2312" w:cs="宋体"/>
          <w:bCs/>
          <w:snapToGrid w:val="0"/>
          <w:kern w:val="0"/>
          <w:sz w:val="28"/>
          <w:szCs w:val="28"/>
          <w:lang w:val="en-US" w:eastAsia="zh-CN"/>
        </w:rPr>
        <w:t>万元。202</w:t>
      </w:r>
      <w:r>
        <w:rPr>
          <w:rFonts w:hint="eastAsia" w:ascii="仿宋_GB2312" w:eastAsia="仿宋_GB2312" w:cs="宋体"/>
          <w:bCs/>
          <w:snapToGrid w:val="0"/>
          <w:kern w:val="0"/>
          <w:sz w:val="28"/>
          <w:szCs w:val="28"/>
          <w:lang w:val="en-US" w:eastAsia="zh-CN"/>
        </w:rPr>
        <w:t>4</w:t>
      </w:r>
      <w:r>
        <w:rPr>
          <w:rFonts w:hint="eastAsia" w:ascii="仿宋_GB2312" w:hAnsi="Times New Roman" w:eastAsia="仿宋_GB2312" w:cs="宋体"/>
          <w:bCs/>
          <w:snapToGrid w:val="0"/>
          <w:kern w:val="0"/>
          <w:sz w:val="28"/>
          <w:szCs w:val="28"/>
          <w:lang w:val="en-US" w:eastAsia="zh-CN"/>
        </w:rPr>
        <w:t>年度对单位绩效进行自评，评价项目</w:t>
      </w:r>
      <w:r>
        <w:rPr>
          <w:rFonts w:hint="eastAsia" w:ascii="仿宋_GB2312" w:eastAsia="仿宋_GB2312" w:cs="宋体"/>
          <w:bCs/>
          <w:snapToGrid w:val="0"/>
          <w:kern w:val="0"/>
          <w:sz w:val="28"/>
          <w:szCs w:val="28"/>
          <w:lang w:val="en-US" w:eastAsia="zh-CN"/>
        </w:rPr>
        <w:t>2</w:t>
      </w:r>
      <w:r>
        <w:rPr>
          <w:rFonts w:hint="eastAsia" w:ascii="仿宋_GB2312" w:hAnsi="Times New Roman" w:eastAsia="仿宋_GB2312" w:cs="宋体"/>
          <w:bCs/>
          <w:snapToGrid w:val="0"/>
          <w:kern w:val="0"/>
          <w:sz w:val="28"/>
          <w:szCs w:val="28"/>
          <w:lang w:val="en-US" w:eastAsia="zh-CN"/>
        </w:rPr>
        <w:t>个，占部门项目总数的</w:t>
      </w:r>
      <w:r>
        <w:rPr>
          <w:rFonts w:hint="eastAsia" w:ascii="仿宋_GB2312" w:eastAsia="仿宋_GB2312" w:cs="宋体"/>
          <w:bCs/>
          <w:snapToGrid w:val="0"/>
          <w:kern w:val="0"/>
          <w:sz w:val="28"/>
          <w:szCs w:val="28"/>
          <w:lang w:val="en-US" w:eastAsia="zh-CN"/>
        </w:rPr>
        <w:t>50</w:t>
      </w:r>
      <w:r>
        <w:rPr>
          <w:rFonts w:hint="eastAsia" w:ascii="仿宋_GB2312" w:hAnsi="Times New Roman" w:eastAsia="仿宋_GB2312" w:cs="宋体"/>
          <w:bCs/>
          <w:snapToGrid w:val="0"/>
          <w:kern w:val="0"/>
          <w:sz w:val="28"/>
          <w:szCs w:val="28"/>
          <w:lang w:val="en-US" w:eastAsia="zh-CN"/>
        </w:rPr>
        <w:t>%，涉及金额</w:t>
      </w:r>
      <w:r>
        <w:rPr>
          <w:rFonts w:hint="eastAsia" w:ascii="仿宋_GB2312" w:eastAsia="仿宋_GB2312" w:cs="宋体"/>
          <w:bCs/>
          <w:snapToGrid w:val="0"/>
          <w:kern w:val="0"/>
          <w:sz w:val="28"/>
          <w:szCs w:val="28"/>
          <w:lang w:val="en-US" w:eastAsia="zh-CN"/>
        </w:rPr>
        <w:t>135.28</w:t>
      </w:r>
      <w:r>
        <w:rPr>
          <w:rFonts w:hint="eastAsia" w:ascii="仿宋_GB2312" w:hAnsi="Times New Roman" w:eastAsia="仿宋_GB2312" w:cs="宋体"/>
          <w:bCs/>
          <w:snapToGrid w:val="0"/>
          <w:kern w:val="0"/>
          <w:sz w:val="28"/>
          <w:szCs w:val="28"/>
          <w:lang w:val="en-US" w:eastAsia="zh-CN"/>
        </w:rPr>
        <w:t>万元，占部门项目总金额的</w:t>
      </w:r>
      <w:r>
        <w:rPr>
          <w:rFonts w:hint="eastAsia" w:ascii="仿宋_GB2312" w:eastAsia="仿宋_GB2312" w:cs="宋体"/>
          <w:bCs/>
          <w:snapToGrid w:val="0"/>
          <w:kern w:val="0"/>
          <w:sz w:val="28"/>
          <w:szCs w:val="28"/>
          <w:lang w:val="en-US" w:eastAsia="zh-CN"/>
        </w:rPr>
        <w:t>60.91</w:t>
      </w:r>
      <w:r>
        <w:rPr>
          <w:rFonts w:hint="eastAsia" w:ascii="仿宋_GB2312" w:hAnsi="Times New Roman" w:eastAsia="仿宋_GB2312" w:cs="宋体"/>
          <w:bCs/>
          <w:snapToGrid w:val="0"/>
          <w:kern w:val="0"/>
          <w:sz w:val="28"/>
          <w:szCs w:val="28"/>
          <w:lang w:val="en-US" w:eastAsia="zh-CN"/>
        </w:rPr>
        <w:t>%。自价结果：西城区总工会圆满完成各项目标任务，同年初预算的阶段性目标保持一致，并基本达到预期总目标。</w:t>
      </w:r>
    </w:p>
    <w:p w14:paraId="19664056">
      <w:pPr>
        <w:pStyle w:val="2"/>
        <w:numPr>
          <w:ilvl w:val="0"/>
          <w:numId w:val="0"/>
        </w:numPr>
        <w:ind w:firstLine="840" w:firstLineChars="300"/>
        <w:rPr>
          <w:rFonts w:hint="eastAsia" w:ascii="楷体_GB2312" w:eastAsia="楷体_GB2312"/>
          <w:b w:val="0"/>
          <w:bCs w:val="0"/>
          <w:sz w:val="32"/>
          <w:szCs w:val="32"/>
        </w:rPr>
      </w:pPr>
      <w:r>
        <w:rPr>
          <w:rFonts w:hint="eastAsia" w:ascii="仿宋_GB2312" w:hAnsi="仿宋" w:eastAsia="仿宋_GB2312" w:cs="仿宋"/>
          <w:bCs/>
          <w:sz w:val="28"/>
          <w:szCs w:val="28"/>
        </w:rPr>
        <w:t>在项目管理方面，在项目实施过程中进行定期和不定期检查，对存在不规范的项目及时跟进处理，做到事前控制、事中监督、事后评价，通过规范业务流程，构筑内部监督管理体系。进一步增强项目预算绩效管理意识，及时归集绩效成果、效益资料，注重项目资料梳理和数据统计分析，加强对</w:t>
      </w:r>
      <w:r>
        <w:rPr>
          <w:rFonts w:hint="eastAsia" w:ascii="仿宋_GB2312" w:hAnsi="仿宋" w:eastAsia="仿宋_GB2312" w:cs="仿宋"/>
          <w:bCs/>
          <w:sz w:val="28"/>
          <w:szCs w:val="28"/>
          <w:lang w:eastAsia="zh-CN"/>
        </w:rPr>
        <w:t>业务</w:t>
      </w:r>
      <w:r>
        <w:rPr>
          <w:rFonts w:hint="eastAsia" w:ascii="仿宋_GB2312" w:hAnsi="仿宋" w:eastAsia="仿宋_GB2312" w:cs="仿宋"/>
          <w:bCs/>
          <w:sz w:val="28"/>
          <w:szCs w:val="28"/>
        </w:rPr>
        <w:t>项目的创新，发挥项目的可持续性影响力；全面开展满意度调查工作，并对调查结果进行深入分析，认真听取</w:t>
      </w:r>
      <w:r>
        <w:rPr>
          <w:rFonts w:hint="eastAsia" w:ascii="仿宋_GB2312" w:hAnsi="仿宋" w:eastAsia="仿宋_GB2312" w:cs="仿宋"/>
          <w:bCs/>
          <w:sz w:val="28"/>
          <w:szCs w:val="28"/>
          <w:lang w:eastAsia="zh-CN"/>
        </w:rPr>
        <w:t>服务对象</w:t>
      </w:r>
      <w:r>
        <w:rPr>
          <w:rFonts w:hint="eastAsia" w:ascii="仿宋_GB2312" w:hAnsi="仿宋" w:eastAsia="仿宋_GB2312" w:cs="仿宋"/>
          <w:bCs/>
          <w:sz w:val="28"/>
          <w:szCs w:val="28"/>
        </w:rPr>
        <w:t>的意见和建议，充分体现服务对象满意程度，为项目决策和优化管理提供参考。提高预算绩效管理，增强对项目绩效考评指标体系的理解，合理设定绩效目标，做到细化、量化、可衡量、可考核。</w:t>
      </w:r>
    </w:p>
    <w:p w14:paraId="7BB207E5">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4.结转结余率</w:t>
      </w:r>
    </w:p>
    <w:p w14:paraId="2646F15D">
      <w:pPr>
        <w:pStyle w:val="2"/>
        <w:ind w:firstLine="560"/>
        <w:rPr>
          <w:rFonts w:hint="eastAsia" w:ascii="仿宋_GB2312" w:hAnsi="Times New Roman" w:eastAsia="仿宋_GB2312" w:cs="宋体"/>
          <w:bCs/>
          <w:snapToGrid w:val="0"/>
          <w:kern w:val="0"/>
          <w:sz w:val="28"/>
          <w:szCs w:val="28"/>
          <w:lang w:eastAsia="zh-CN"/>
        </w:rPr>
      </w:pPr>
      <w:r>
        <w:rPr>
          <w:rFonts w:hint="eastAsia" w:ascii="仿宋_GB2312" w:hAnsi="Times New Roman" w:eastAsia="仿宋_GB2312" w:cs="宋体"/>
          <w:bCs/>
          <w:snapToGrid w:val="0"/>
          <w:kern w:val="0"/>
          <w:sz w:val="28"/>
          <w:szCs w:val="28"/>
          <w:lang w:eastAsia="zh-CN"/>
        </w:rPr>
        <w:t>本单位</w:t>
      </w:r>
      <w:r>
        <w:rPr>
          <w:rFonts w:hint="eastAsia" w:ascii="仿宋_GB2312" w:hAnsi="Times New Roman" w:eastAsia="仿宋_GB2312" w:cs="宋体"/>
          <w:bCs/>
          <w:snapToGrid w:val="0"/>
          <w:kern w:val="0"/>
          <w:sz w:val="28"/>
          <w:szCs w:val="28"/>
          <w:lang w:val="en-US" w:eastAsia="zh-CN"/>
        </w:rPr>
        <w:t>202</w:t>
      </w:r>
      <w:r>
        <w:rPr>
          <w:rFonts w:hint="eastAsia" w:ascii="仿宋_GB2312" w:eastAsia="仿宋_GB2312" w:cs="宋体"/>
          <w:bCs/>
          <w:snapToGrid w:val="0"/>
          <w:kern w:val="0"/>
          <w:sz w:val="28"/>
          <w:szCs w:val="28"/>
          <w:lang w:val="en-US" w:eastAsia="zh-CN"/>
        </w:rPr>
        <w:t>4</w:t>
      </w:r>
      <w:r>
        <w:rPr>
          <w:rFonts w:hint="eastAsia" w:ascii="仿宋_GB2312" w:hAnsi="Times New Roman" w:eastAsia="仿宋_GB2312" w:cs="宋体"/>
          <w:bCs/>
          <w:snapToGrid w:val="0"/>
          <w:kern w:val="0"/>
          <w:sz w:val="28"/>
          <w:szCs w:val="28"/>
          <w:lang w:val="en-US" w:eastAsia="zh-CN"/>
        </w:rPr>
        <w:t>年收支</w:t>
      </w:r>
      <w:r>
        <w:rPr>
          <w:rFonts w:hint="eastAsia" w:ascii="仿宋_GB2312" w:eastAsia="仿宋_GB2312" w:cs="宋体"/>
          <w:bCs/>
          <w:snapToGrid w:val="0"/>
          <w:kern w:val="0"/>
          <w:sz w:val="28"/>
          <w:szCs w:val="28"/>
          <w:lang w:val="en-US" w:eastAsia="zh-CN"/>
        </w:rPr>
        <w:t>一致</w:t>
      </w:r>
      <w:r>
        <w:rPr>
          <w:rFonts w:hint="eastAsia" w:ascii="仿宋_GB2312" w:hAnsi="Times New Roman" w:eastAsia="仿宋_GB2312" w:cs="宋体"/>
          <w:bCs/>
          <w:snapToGrid w:val="0"/>
          <w:kern w:val="0"/>
          <w:sz w:val="28"/>
          <w:szCs w:val="28"/>
          <w:lang w:val="en-US" w:eastAsia="zh-CN"/>
        </w:rPr>
        <w:t>，结余为0</w:t>
      </w:r>
      <w:r>
        <w:rPr>
          <w:rFonts w:hint="eastAsia" w:ascii="仿宋_GB2312" w:hAnsi="Times New Roman" w:eastAsia="仿宋_GB2312" w:cs="宋体"/>
          <w:bCs/>
          <w:snapToGrid w:val="0"/>
          <w:kern w:val="0"/>
          <w:sz w:val="28"/>
          <w:szCs w:val="28"/>
          <w:lang w:eastAsia="zh-CN"/>
        </w:rPr>
        <w:t>，</w:t>
      </w:r>
      <w:r>
        <w:rPr>
          <w:rFonts w:hint="eastAsia" w:ascii="仿宋_GB2312" w:hAnsi="Times New Roman" w:eastAsia="仿宋_GB2312" w:cs="宋体"/>
          <w:bCs/>
          <w:snapToGrid w:val="0"/>
          <w:kern w:val="0"/>
          <w:sz w:val="28"/>
          <w:szCs w:val="28"/>
        </w:rPr>
        <w:t>结转结余率</w:t>
      </w:r>
      <w:r>
        <w:rPr>
          <w:rFonts w:hint="eastAsia" w:ascii="仿宋_GB2312" w:hAnsi="Times New Roman" w:eastAsia="仿宋_GB2312" w:cs="宋体"/>
          <w:bCs/>
          <w:snapToGrid w:val="0"/>
          <w:kern w:val="0"/>
          <w:sz w:val="28"/>
          <w:szCs w:val="28"/>
          <w:lang w:eastAsia="zh-CN"/>
        </w:rPr>
        <w:t>为</w:t>
      </w:r>
      <w:r>
        <w:rPr>
          <w:rFonts w:hint="eastAsia" w:ascii="仿宋_GB2312" w:hAnsi="Times New Roman" w:eastAsia="仿宋_GB2312" w:cs="宋体"/>
          <w:bCs/>
          <w:snapToGrid w:val="0"/>
          <w:kern w:val="0"/>
          <w:sz w:val="28"/>
          <w:szCs w:val="28"/>
          <w:lang w:val="en-US" w:eastAsia="zh-CN"/>
        </w:rPr>
        <w:t>0</w:t>
      </w:r>
      <w:r>
        <w:rPr>
          <w:rFonts w:hint="eastAsia" w:ascii="仿宋_GB2312" w:hAnsi="Times New Roman" w:eastAsia="仿宋_GB2312" w:cs="宋体"/>
          <w:bCs/>
          <w:snapToGrid w:val="0"/>
          <w:kern w:val="0"/>
          <w:sz w:val="28"/>
          <w:szCs w:val="28"/>
          <w:lang w:eastAsia="zh-CN"/>
        </w:rPr>
        <w:t>。</w:t>
      </w:r>
    </w:p>
    <w:p w14:paraId="759D6E16">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5.部门预决算差异率</w:t>
      </w:r>
    </w:p>
    <w:p w14:paraId="4E8274BC">
      <w:pPr>
        <w:tabs>
          <w:tab w:val="center" w:pos="6979"/>
        </w:tabs>
        <w:spacing w:line="580" w:lineRule="exact"/>
        <w:ind w:firstLine="57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202</w:t>
      </w:r>
      <w:r>
        <w:rPr>
          <w:rFonts w:hint="eastAsia" w:ascii="仿宋_GB2312" w:eastAsia="仿宋_GB2312" w:cs="宋体"/>
          <w:bCs/>
          <w:snapToGrid w:val="0"/>
          <w:kern w:val="0"/>
          <w:sz w:val="28"/>
          <w:szCs w:val="28"/>
          <w:highlight w:val="none"/>
          <w:lang w:val="en-US" w:eastAsia="zh-CN"/>
        </w:rPr>
        <w:t>4</w:t>
      </w:r>
      <w:r>
        <w:rPr>
          <w:rFonts w:hint="eastAsia" w:ascii="仿宋_GB2312" w:hAnsi="Times New Roman" w:eastAsia="仿宋_GB2312" w:cs="宋体"/>
          <w:bCs/>
          <w:snapToGrid w:val="0"/>
          <w:kern w:val="0"/>
          <w:sz w:val="28"/>
          <w:szCs w:val="28"/>
          <w:highlight w:val="none"/>
        </w:rPr>
        <w:t>年</w:t>
      </w:r>
      <w:r>
        <w:rPr>
          <w:rFonts w:hint="eastAsia" w:ascii="仿宋_GB2312" w:eastAsia="仿宋_GB2312" w:cs="宋体"/>
          <w:bCs/>
          <w:snapToGrid w:val="0"/>
          <w:kern w:val="0"/>
          <w:sz w:val="28"/>
          <w:szCs w:val="28"/>
          <w:highlight w:val="none"/>
          <w:lang w:eastAsia="zh-CN"/>
        </w:rPr>
        <w:t>年初</w:t>
      </w:r>
      <w:r>
        <w:rPr>
          <w:rFonts w:hint="eastAsia" w:ascii="仿宋_GB2312" w:hAnsi="Times New Roman" w:eastAsia="仿宋_GB2312" w:cs="宋体"/>
          <w:bCs/>
          <w:snapToGrid w:val="0"/>
          <w:kern w:val="0"/>
          <w:sz w:val="28"/>
          <w:szCs w:val="28"/>
          <w:highlight w:val="none"/>
        </w:rPr>
        <w:t>预算数</w:t>
      </w:r>
      <w:r>
        <w:rPr>
          <w:rFonts w:hint="eastAsia" w:ascii="仿宋_GB2312" w:eastAsia="仿宋_GB2312" w:cs="宋体"/>
          <w:bCs/>
          <w:snapToGrid w:val="0"/>
          <w:kern w:val="0"/>
          <w:sz w:val="28"/>
          <w:szCs w:val="28"/>
          <w:highlight w:val="none"/>
          <w:lang w:val="en-US" w:eastAsia="zh-CN"/>
        </w:rPr>
        <w:t>636.61</w:t>
      </w:r>
      <w:r>
        <w:rPr>
          <w:rFonts w:hint="eastAsia" w:ascii="仿宋_GB2312" w:hAnsi="Times New Roman" w:eastAsia="仿宋_GB2312" w:cs="宋体"/>
          <w:bCs/>
          <w:snapToGrid w:val="0"/>
          <w:kern w:val="0"/>
          <w:sz w:val="28"/>
          <w:szCs w:val="28"/>
          <w:highlight w:val="none"/>
        </w:rPr>
        <w:t>万元，其中，基本支出预算数</w:t>
      </w:r>
      <w:r>
        <w:rPr>
          <w:rFonts w:hint="eastAsia" w:ascii="仿宋_GB2312" w:hAnsi="Times New Roman" w:eastAsia="仿宋_GB2312" w:cs="宋体"/>
          <w:bCs/>
          <w:snapToGrid w:val="0"/>
          <w:kern w:val="0"/>
          <w:sz w:val="28"/>
          <w:szCs w:val="28"/>
          <w:highlight w:val="none"/>
          <w:lang w:val="en-US" w:eastAsia="zh-CN"/>
        </w:rPr>
        <w:t>4</w:t>
      </w:r>
      <w:r>
        <w:rPr>
          <w:rFonts w:hint="eastAsia" w:ascii="仿宋_GB2312" w:eastAsia="仿宋_GB2312" w:cs="宋体"/>
          <w:bCs/>
          <w:snapToGrid w:val="0"/>
          <w:kern w:val="0"/>
          <w:sz w:val="28"/>
          <w:szCs w:val="28"/>
          <w:highlight w:val="none"/>
          <w:lang w:val="en-US" w:eastAsia="zh-CN"/>
        </w:rPr>
        <w:t>39.13</w:t>
      </w:r>
      <w:r>
        <w:rPr>
          <w:rFonts w:hint="eastAsia" w:ascii="仿宋_GB2312" w:hAnsi="Times New Roman" w:eastAsia="仿宋_GB2312" w:cs="宋体"/>
          <w:bCs/>
          <w:snapToGrid w:val="0"/>
          <w:kern w:val="0"/>
          <w:sz w:val="28"/>
          <w:szCs w:val="28"/>
          <w:highlight w:val="none"/>
        </w:rPr>
        <w:t>万元，项目支出预算数</w:t>
      </w:r>
      <w:r>
        <w:rPr>
          <w:rFonts w:hint="eastAsia" w:ascii="仿宋_GB2312" w:eastAsia="仿宋_GB2312" w:cs="宋体"/>
          <w:bCs/>
          <w:snapToGrid w:val="0"/>
          <w:kern w:val="0"/>
          <w:sz w:val="28"/>
          <w:szCs w:val="28"/>
          <w:highlight w:val="none"/>
          <w:lang w:val="en-US" w:eastAsia="zh-CN"/>
        </w:rPr>
        <w:t>197.48</w:t>
      </w:r>
      <w:r>
        <w:rPr>
          <w:rFonts w:hint="eastAsia" w:ascii="仿宋_GB2312" w:hAnsi="Times New Roman" w:eastAsia="仿宋_GB2312" w:cs="宋体"/>
          <w:bCs/>
          <w:snapToGrid w:val="0"/>
          <w:kern w:val="0"/>
          <w:sz w:val="28"/>
          <w:szCs w:val="28"/>
          <w:highlight w:val="none"/>
        </w:rPr>
        <w:t>万元，其他支出预算数</w:t>
      </w:r>
      <w:r>
        <w:rPr>
          <w:rFonts w:hint="eastAsia" w:ascii="仿宋_GB2312" w:hAnsi="Times New Roman" w:eastAsia="仿宋_GB2312" w:cs="宋体"/>
          <w:bCs/>
          <w:snapToGrid w:val="0"/>
          <w:kern w:val="0"/>
          <w:sz w:val="28"/>
          <w:szCs w:val="28"/>
          <w:highlight w:val="none"/>
          <w:lang w:val="en-US" w:eastAsia="zh-CN"/>
        </w:rPr>
        <w:t>0</w:t>
      </w:r>
      <w:r>
        <w:rPr>
          <w:rFonts w:hint="eastAsia" w:ascii="仿宋_GB2312" w:hAnsi="Times New Roman" w:eastAsia="仿宋_GB2312" w:cs="宋体"/>
          <w:bCs/>
          <w:snapToGrid w:val="0"/>
          <w:kern w:val="0"/>
          <w:sz w:val="28"/>
          <w:szCs w:val="28"/>
          <w:highlight w:val="none"/>
        </w:rPr>
        <w:t>万元。资金总体支出</w:t>
      </w:r>
      <w:r>
        <w:rPr>
          <w:rFonts w:hint="eastAsia" w:ascii="仿宋_GB2312" w:eastAsia="仿宋_GB2312"/>
          <w:sz w:val="28"/>
          <w:szCs w:val="28"/>
          <w:highlight w:val="none"/>
          <w:lang w:val="en-US" w:eastAsia="zh-CN"/>
        </w:rPr>
        <w:t>693.73</w:t>
      </w:r>
      <w:r>
        <w:rPr>
          <w:rFonts w:hint="eastAsia" w:ascii="仿宋_GB2312" w:hAnsi="Times New Roman" w:eastAsia="仿宋_GB2312" w:cs="宋体"/>
          <w:bCs/>
          <w:snapToGrid w:val="0"/>
          <w:kern w:val="0"/>
          <w:sz w:val="28"/>
          <w:szCs w:val="28"/>
          <w:highlight w:val="none"/>
        </w:rPr>
        <w:t>万元，其中，基本支出</w:t>
      </w:r>
      <w:r>
        <w:rPr>
          <w:rFonts w:hint="eastAsia" w:ascii="仿宋_GB2312" w:eastAsia="仿宋_GB2312"/>
          <w:sz w:val="28"/>
          <w:szCs w:val="28"/>
          <w:highlight w:val="none"/>
          <w:lang w:val="en-US" w:eastAsia="zh-CN"/>
        </w:rPr>
        <w:t>471.63</w:t>
      </w:r>
      <w:r>
        <w:rPr>
          <w:rFonts w:hint="eastAsia" w:ascii="仿宋_GB2312" w:hAnsi="Times New Roman" w:eastAsia="仿宋_GB2312" w:cs="宋体"/>
          <w:bCs/>
          <w:snapToGrid w:val="0"/>
          <w:kern w:val="0"/>
          <w:sz w:val="28"/>
          <w:szCs w:val="28"/>
          <w:highlight w:val="none"/>
        </w:rPr>
        <w:t>万元，项目支出</w:t>
      </w:r>
      <w:r>
        <w:rPr>
          <w:rFonts w:hint="eastAsia" w:ascii="仿宋_GB2312" w:eastAsia="仿宋_GB2312" w:cs="宋体"/>
          <w:bCs/>
          <w:snapToGrid w:val="0"/>
          <w:kern w:val="0"/>
          <w:sz w:val="28"/>
          <w:szCs w:val="28"/>
          <w:highlight w:val="none"/>
          <w:lang w:val="en-US" w:eastAsia="zh-CN"/>
        </w:rPr>
        <w:t>222.1</w:t>
      </w:r>
      <w:r>
        <w:rPr>
          <w:rFonts w:hint="eastAsia" w:ascii="仿宋_GB2312" w:hAnsi="Times New Roman" w:eastAsia="仿宋_GB2312" w:cs="宋体"/>
          <w:bCs/>
          <w:snapToGrid w:val="0"/>
          <w:kern w:val="0"/>
          <w:sz w:val="28"/>
          <w:szCs w:val="28"/>
          <w:highlight w:val="none"/>
        </w:rPr>
        <w:t>万元，其他支出</w:t>
      </w:r>
      <w:r>
        <w:rPr>
          <w:rFonts w:hint="eastAsia" w:ascii="仿宋_GB2312" w:hAnsi="Times New Roman" w:eastAsia="仿宋_GB2312" w:cs="宋体"/>
          <w:bCs/>
          <w:snapToGrid w:val="0"/>
          <w:kern w:val="0"/>
          <w:sz w:val="28"/>
          <w:szCs w:val="28"/>
          <w:highlight w:val="none"/>
          <w:lang w:val="en-US" w:eastAsia="zh-CN"/>
        </w:rPr>
        <w:t>0</w:t>
      </w:r>
      <w:r>
        <w:rPr>
          <w:rFonts w:hint="eastAsia" w:ascii="仿宋_GB2312" w:hAnsi="Times New Roman" w:eastAsia="仿宋_GB2312" w:cs="宋体"/>
          <w:bCs/>
          <w:snapToGrid w:val="0"/>
          <w:kern w:val="0"/>
          <w:sz w:val="28"/>
          <w:szCs w:val="28"/>
          <w:highlight w:val="none"/>
        </w:rPr>
        <w:t>万元。预决算差异率</w:t>
      </w:r>
      <w:r>
        <w:rPr>
          <w:rFonts w:hint="eastAsia" w:ascii="仿宋_GB2312" w:hAnsi="Times New Roman" w:eastAsia="仿宋_GB2312" w:cs="宋体"/>
          <w:bCs/>
          <w:snapToGrid w:val="0"/>
          <w:kern w:val="0"/>
          <w:sz w:val="28"/>
          <w:szCs w:val="28"/>
          <w:highlight w:val="none"/>
          <w:lang w:eastAsia="zh-CN"/>
        </w:rPr>
        <w:t>为</w:t>
      </w:r>
      <w:r>
        <w:rPr>
          <w:rFonts w:hint="eastAsia" w:ascii="仿宋_GB2312" w:hAnsi="Times New Roman" w:eastAsia="仿宋_GB2312" w:cs="宋体"/>
          <w:bCs/>
          <w:snapToGrid w:val="0"/>
          <w:kern w:val="0"/>
          <w:sz w:val="28"/>
          <w:szCs w:val="28"/>
          <w:highlight w:val="none"/>
          <w:lang w:val="en-US" w:eastAsia="zh-CN"/>
        </w:rPr>
        <w:t>8.976%。</w:t>
      </w:r>
      <w:r>
        <w:rPr>
          <w:rFonts w:hint="eastAsia" w:ascii="仿宋_GB2312" w:hAnsi="Times New Roman" w:eastAsia="仿宋_GB2312" w:cs="宋体"/>
          <w:bCs/>
          <w:snapToGrid w:val="0"/>
          <w:kern w:val="0"/>
          <w:sz w:val="28"/>
          <w:szCs w:val="28"/>
          <w:highlight w:val="none"/>
        </w:rPr>
        <w:t>主要原因：</w:t>
      </w:r>
      <w:r>
        <w:rPr>
          <w:rFonts w:hint="eastAsia" w:ascii="仿宋_GB2312" w:hAnsi="Times New Roman" w:eastAsia="仿宋_GB2312" w:cs="宋体"/>
          <w:bCs/>
          <w:snapToGrid w:val="0"/>
          <w:kern w:val="0"/>
          <w:sz w:val="28"/>
          <w:szCs w:val="28"/>
          <w:highlight w:val="none"/>
          <w:lang w:val="en-US" w:eastAsia="zh-CN"/>
        </w:rPr>
        <w:t>西城区总工会本级2024年退休人员去世2人，追加抚恤金。西城区总工会本级调解成功案件个案补贴标准为2400元/件，2024年劳动争议调解成功案件增加，追加项目经费</w:t>
      </w:r>
      <w:r>
        <w:rPr>
          <w:rFonts w:hint="eastAsia" w:ascii="仿宋_GB2312" w:hAnsi="Times New Roman" w:eastAsia="仿宋_GB2312" w:cs="宋体"/>
          <w:bCs/>
          <w:snapToGrid w:val="0"/>
          <w:kern w:val="0"/>
          <w:sz w:val="28"/>
          <w:szCs w:val="28"/>
          <w:highlight w:val="none"/>
        </w:rPr>
        <w:t>。</w:t>
      </w:r>
    </w:p>
    <w:p w14:paraId="38E1D8DE">
      <w:pPr>
        <w:ind w:firstLine="562" w:firstLineChars="200"/>
        <w:outlineLvl w:val="1"/>
        <w:rPr>
          <w:rFonts w:hint="eastAsia" w:ascii="宋体" w:hAnsi="宋体" w:cs="宋体"/>
          <w:b/>
          <w:sz w:val="28"/>
          <w:szCs w:val="28"/>
        </w:rPr>
      </w:pPr>
      <w:r>
        <w:rPr>
          <w:rFonts w:hint="eastAsia" w:ascii="宋体" w:hAnsi="宋体" w:cs="宋体"/>
          <w:b/>
          <w:sz w:val="28"/>
          <w:szCs w:val="28"/>
        </w:rPr>
        <w:t>五</w:t>
      </w:r>
      <w:r>
        <w:rPr>
          <w:rFonts w:hint="eastAsia" w:ascii="宋体" w:hAnsi="宋体" w:cs="宋体"/>
          <w:b/>
          <w:sz w:val="28"/>
          <w:szCs w:val="28"/>
          <w:lang w:eastAsia="zh-CN"/>
        </w:rPr>
        <w:t>、</w:t>
      </w:r>
      <w:r>
        <w:rPr>
          <w:rFonts w:hint="eastAsia" w:ascii="宋体" w:hAnsi="宋体" w:cs="宋体"/>
          <w:b/>
          <w:sz w:val="28"/>
          <w:szCs w:val="28"/>
        </w:rPr>
        <w:t>总体评价结论</w:t>
      </w:r>
    </w:p>
    <w:p w14:paraId="4BBC401E">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1.评价得分情况</w:t>
      </w:r>
    </w:p>
    <w:tbl>
      <w:tblPr>
        <w:tblStyle w:val="3"/>
        <w:tblpPr w:leftFromText="180" w:rightFromText="180" w:vertAnchor="text" w:horzAnchor="page" w:tblpX="1216" w:tblpY="592"/>
        <w:tblOverlap w:val="never"/>
        <w:tblW w:w="557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6"/>
        <w:gridCol w:w="4341"/>
        <w:gridCol w:w="926"/>
        <w:gridCol w:w="2052"/>
      </w:tblGrid>
      <w:tr w14:paraId="1792B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1149" w:type="pc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619F4241">
            <w:pPr>
              <w:tabs>
                <w:tab w:val="center" w:pos="6979"/>
              </w:tabs>
              <w:spacing w:line="580" w:lineRule="exact"/>
              <w:rPr>
                <w:rFonts w:hint="eastAsia"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单位信息：</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D9043E">
            <w:pPr>
              <w:tabs>
                <w:tab w:val="center" w:pos="6979"/>
              </w:tabs>
              <w:spacing w:line="580" w:lineRule="exact"/>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261-北京市西城区总工会</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195392">
            <w:pPr>
              <w:tabs>
                <w:tab w:val="center" w:pos="6979"/>
              </w:tabs>
              <w:spacing w:line="580" w:lineRule="exact"/>
              <w:ind w:firstLine="570"/>
              <w:rPr>
                <w:rFonts w:hint="default" w:ascii="仿宋_GB2312" w:hAnsi="Times New Roman" w:eastAsia="仿宋_GB2312" w:cs="宋体"/>
                <w:bCs/>
                <w:snapToGrid w:val="0"/>
                <w:kern w:val="0"/>
                <w:sz w:val="28"/>
                <w:szCs w:val="28"/>
              </w:rPr>
            </w:pP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4BD8F">
            <w:pPr>
              <w:tabs>
                <w:tab w:val="center" w:pos="6979"/>
              </w:tabs>
              <w:spacing w:line="580" w:lineRule="exact"/>
              <w:ind w:firstLine="570"/>
              <w:rPr>
                <w:rFonts w:hint="default" w:ascii="仿宋_GB2312" w:hAnsi="Times New Roman" w:eastAsia="仿宋_GB2312" w:cs="宋体"/>
                <w:bCs/>
                <w:snapToGrid w:val="0"/>
                <w:kern w:val="0"/>
                <w:sz w:val="28"/>
                <w:szCs w:val="28"/>
              </w:rPr>
            </w:pPr>
          </w:p>
        </w:tc>
      </w:tr>
      <w:tr w14:paraId="7CB7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8884F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评估内容</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7E53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评估问题</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0858DE">
            <w:pPr>
              <w:tabs>
                <w:tab w:val="center" w:pos="6979"/>
              </w:tabs>
              <w:spacing w:line="580" w:lineRule="exact"/>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权重</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45695">
            <w:pPr>
              <w:tabs>
                <w:tab w:val="center" w:pos="6979"/>
              </w:tabs>
              <w:spacing w:line="580" w:lineRule="exact"/>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单位自评分和评估等级</w:t>
            </w:r>
          </w:p>
        </w:tc>
      </w:tr>
      <w:tr w14:paraId="416B5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15D9A">
            <w:pPr>
              <w:tabs>
                <w:tab w:val="center" w:pos="6979"/>
              </w:tabs>
              <w:spacing w:line="580" w:lineRule="exact"/>
              <w:ind w:firstLine="570"/>
              <w:rPr>
                <w:rFonts w:hint="default" w:ascii="仿宋_GB2312" w:hAnsi="Times New Roman" w:eastAsia="仿宋_GB2312" w:cs="宋体"/>
                <w:bCs/>
                <w:snapToGrid w:val="0"/>
                <w:kern w:val="0"/>
                <w:sz w:val="28"/>
                <w:szCs w:val="28"/>
              </w:rPr>
            </w:pP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7C2E0">
            <w:pPr>
              <w:tabs>
                <w:tab w:val="center" w:pos="6979"/>
              </w:tabs>
              <w:spacing w:line="580" w:lineRule="exact"/>
              <w:ind w:firstLine="570"/>
              <w:rPr>
                <w:rFonts w:hint="default" w:ascii="仿宋_GB2312" w:hAnsi="Times New Roman" w:eastAsia="仿宋_GB2312" w:cs="宋体"/>
                <w:bCs/>
                <w:snapToGrid w:val="0"/>
                <w:kern w:val="0"/>
                <w:sz w:val="28"/>
                <w:szCs w:val="28"/>
              </w:rPr>
            </w:pP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E77E0">
            <w:pPr>
              <w:tabs>
                <w:tab w:val="center" w:pos="6979"/>
              </w:tabs>
              <w:spacing w:line="580" w:lineRule="exact"/>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200</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650A8">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90</w:t>
            </w:r>
          </w:p>
        </w:tc>
      </w:tr>
      <w:tr w14:paraId="7A5E9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844D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A8FD9">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项目是否与国家及北京市法律法规、国民经济和社会发展规划、行业规划相符</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E666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8C5B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0F19C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F84B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F76BD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项目是否与部门的中长期规划目标、年度工作计划目标相一致</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57E3E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28BE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r>
      <w:tr w14:paraId="348F6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03D5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2B5D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项目是否与部门、单位的职责相关，是否有迫切的现实需求</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140D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1A79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r>
      <w:tr w14:paraId="77379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61D0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B8AE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项目是否经过充分调研和前期论证，与其他项目或政策是否交叉重叠</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8B489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C3AD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5B242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7628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24BB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项目是否符合申报条件，申报、批复程序是否符合相关要求或手续</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2F783">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678D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508D9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0394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F4A8C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绩效目标的内容是否完整，绩效目标是否明确、清晰 ，并与相应的财政支出范围、方向、效果等紧密相关</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50429">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64ED43">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1985B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E9C1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0334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绩效目标的设定是否与部门职能、事业发展规划相关，是否对申报的绩效目标设定了相关联的绩效指标，绩效指标是否细化、量化</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1BEF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9159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59C71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5D1E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CFF1A">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绩效目标与资金规模之间是否匹配，在既定资金规模下，绩效目标是否过高或过低；或者要完成既定绩效目标，资金规模是否过大或过小</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58A0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48499">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w:t>
            </w:r>
          </w:p>
        </w:tc>
      </w:tr>
      <w:tr w14:paraId="7522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00ED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项目必要性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AA62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绩绩效目标是否经过充分论证和合理测算；所采取的措施是否切实可行，并能确保绩效目标如期实现。综合考虑成本效益，是否有必要安排财政资金</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4F748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2DEE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06E7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0A01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项目可行性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D673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组织机构是否健全，职责分工是否明确  预期产出及效果是否可持续</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85EB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6869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3DD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4756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项目可行性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2E34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是否制定实施方案（包括时间、工作程序、运行机制和技术路线等）</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35D7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E1E7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0FDC4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FCC5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项目可行性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F1D2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实施条件是否具备（包括基础设施条件、行业备案信息、应急措施等）</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A3A3A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18C0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133C3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54F8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项目可行性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B95223">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是否具有相应的质量检查、验收等必要的控制措施或手段，是否有健全的各项管理制度</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FE7D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81353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w:t>
            </w:r>
          </w:p>
        </w:tc>
      </w:tr>
      <w:tr w14:paraId="4DB4E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3ED0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项目可行性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298C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是否有替代方案 ，是否在不同方案中有技术经济性的优化比较</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CE7A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09F39">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0</w:t>
            </w:r>
          </w:p>
        </w:tc>
      </w:tr>
      <w:tr w14:paraId="23FD0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8E57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项目经济性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35A12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达到预期产出和效果所需的成本资源（人、财、物等）是否达到最小化，是否考虑成本节约原则，依据不同技术标准形成可比较的成本测算依据</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38153">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431C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01560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18B4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项目经济性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16F6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财政资金支出方式是否科学合理，是否有明确的降低支出成本的措施</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FBD3A">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DB3E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w:t>
            </w:r>
          </w:p>
        </w:tc>
      </w:tr>
      <w:tr w14:paraId="46319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7368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项目经济性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32DE4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财政资金是否有明确资金使用进度安排， 资金使用周期与目标任务预期完成周期是否相符</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84CF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BD53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w:t>
            </w:r>
          </w:p>
        </w:tc>
      </w:tr>
      <w:tr w14:paraId="11F63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9B8D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项目经济性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EDFF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项目资金安排是否符合成本绩效要求，是否有明确、合理的单位成本或成本控制标准</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26FA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CC3D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2</w:t>
            </w:r>
          </w:p>
        </w:tc>
      </w:tr>
      <w:tr w14:paraId="12A8B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43B02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项目经济性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318F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项目资金安排是否有明确的筹资来源渠道，筹资结构是否合理</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24C39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51B4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346FF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88B58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项目效率性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06A02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项目预期产出是否清晰明确，是否与项目密切相关</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06222">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F806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r>
      <w:tr w14:paraId="3E55E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6EDD9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项目效率性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B566E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项目预期产出是否提供了明确的公共产品或公共服务</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442F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C7F2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r>
      <w:tr w14:paraId="6D21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8DE78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项目效率性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E265BC">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产出数量预期指标值是否合理、可考核 ；是否与预算申请相符，是否反映了既定投入水平下的最大产出</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07F1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A12B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r>
      <w:tr w14:paraId="200B4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0323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项目效率性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91D1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产出质量预期指标值是否符合行业或业务标准，是否有明确的质量达标率</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A9755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A0309">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r>
      <w:tr w14:paraId="23308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AE0C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项目效率性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948E5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项目实施的时间效率是否清晰明确，实施周期是否具有时效性</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2323E">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9097A">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r>
      <w:tr w14:paraId="0AEE4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6B20D">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项目效益性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B525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项目预期效益（经济、社会、生态和可持续影响）是否清晰明确</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51A51">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0DA57">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0D812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BF70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项目效益性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C0346">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项目预期效益是否与项目投入密切相关，是否与预期产出相吻合</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D1CD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DD2E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3</w:t>
            </w:r>
          </w:p>
        </w:tc>
      </w:tr>
      <w:tr w14:paraId="582B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CF1DF">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项目效益性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29BFB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项目预期效益（经济、社会、生态和可持续影响）否与预算申请相符，是否量化、可实现</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A27EF0">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B73B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5</w:t>
            </w:r>
          </w:p>
        </w:tc>
      </w:tr>
      <w:tr w14:paraId="38F5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11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76CD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项目效益性</w:t>
            </w:r>
          </w:p>
        </w:tc>
        <w:tc>
          <w:tcPr>
            <w:tcW w:w="228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C93B5">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可实现的效益是否得到利益相关者的认可，实施主体、社会公众或受益对象对项目（政策）预期效果的满意程度是否合理、可评价</w:t>
            </w:r>
          </w:p>
        </w:tc>
        <w:tc>
          <w:tcPr>
            <w:tcW w:w="4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6CB68B">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c>
          <w:tcPr>
            <w:tcW w:w="10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3DE444">
            <w:pPr>
              <w:tabs>
                <w:tab w:val="center" w:pos="6979"/>
              </w:tabs>
              <w:spacing w:line="580" w:lineRule="exact"/>
              <w:ind w:firstLine="570"/>
              <w:rPr>
                <w:rFonts w:hint="default" w:ascii="仿宋_GB2312" w:hAnsi="Times New Roman" w:eastAsia="仿宋_GB2312" w:cs="宋体"/>
                <w:bCs/>
                <w:snapToGrid w:val="0"/>
                <w:kern w:val="0"/>
                <w:sz w:val="28"/>
                <w:szCs w:val="28"/>
              </w:rPr>
            </w:pPr>
            <w:r>
              <w:rPr>
                <w:rFonts w:hint="default" w:ascii="仿宋_GB2312" w:hAnsi="Times New Roman" w:eastAsia="仿宋_GB2312" w:cs="宋体"/>
                <w:bCs/>
                <w:snapToGrid w:val="0"/>
                <w:kern w:val="0"/>
                <w:sz w:val="28"/>
                <w:szCs w:val="28"/>
                <w:lang w:val="en-US" w:eastAsia="zh-CN"/>
              </w:rPr>
              <w:t>4</w:t>
            </w:r>
          </w:p>
        </w:tc>
      </w:tr>
    </w:tbl>
    <w:p w14:paraId="6B5F06A4">
      <w:pPr>
        <w:pStyle w:val="2"/>
        <w:ind w:firstLine="560"/>
        <w:rPr>
          <w:rFonts w:hint="eastAsia" w:ascii="仿宋_GB2312" w:hAnsi="Times New Roman" w:eastAsia="仿宋_GB2312" w:cs="宋体"/>
          <w:bCs/>
          <w:snapToGrid w:val="0"/>
          <w:kern w:val="0"/>
          <w:sz w:val="28"/>
          <w:szCs w:val="28"/>
        </w:rPr>
      </w:pPr>
    </w:p>
    <w:p w14:paraId="03EA27F7">
      <w:pPr>
        <w:pStyle w:val="2"/>
        <w:ind w:firstLine="560"/>
        <w:rPr>
          <w:rFonts w:hint="eastAsia" w:ascii="仿宋_GB2312" w:hAnsi="Times New Roman" w:eastAsia="仿宋_GB2312" w:cs="宋体"/>
          <w:bCs/>
          <w:snapToGrid w:val="0"/>
          <w:kern w:val="0"/>
          <w:sz w:val="28"/>
          <w:szCs w:val="28"/>
        </w:rPr>
      </w:pPr>
      <w:r>
        <w:rPr>
          <w:rFonts w:hint="eastAsia" w:ascii="仿宋_GB2312" w:hAnsi="Times New Roman" w:eastAsia="仿宋_GB2312" w:cs="宋体"/>
          <w:bCs/>
          <w:snapToGrid w:val="0"/>
          <w:kern w:val="0"/>
          <w:sz w:val="28"/>
          <w:szCs w:val="28"/>
        </w:rPr>
        <w:t>2.存在的问题及原因分析</w:t>
      </w:r>
    </w:p>
    <w:p w14:paraId="1EEA3137">
      <w:pPr>
        <w:pStyle w:val="2"/>
        <w:ind w:firstLine="56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1）部门整体绩效总体目标绩效效果指标细化、量化不足，项目决策科学性支撑资料不足；项目政策依据较为充分明确，但可行性研究报告编制较为简单，缺少项目的整体规划及重点工作内容的体现；部分绩效指标的可衡量性和合理性存在不足，经济效益的体现不够充分，应结合项目具体实际内容设置为社会效益指标；预算编制准确性不足，未细化年度经费需求，财政预算需求分析存在不足。需要加强可行性研究论证，对预期绩效的可实现性、实施方案的可操作性，预期风险和控制措施进行有效论证，</w:t>
      </w:r>
    </w:p>
    <w:p w14:paraId="31226C35">
      <w:pPr>
        <w:pStyle w:val="2"/>
        <w:ind w:firstLine="560"/>
        <w:rPr>
          <w:rFonts w:hint="eastAsia" w:ascii="仿宋_GB2312" w:hAnsi="Times New Roman" w:eastAsia="仿宋_GB2312" w:cs="宋体"/>
          <w:bCs/>
          <w:snapToGrid w:val="0"/>
          <w:kern w:val="0"/>
          <w:sz w:val="28"/>
          <w:szCs w:val="28"/>
          <w:highlight w:val="none"/>
        </w:rPr>
      </w:pPr>
      <w:r>
        <w:rPr>
          <w:rFonts w:hint="eastAsia" w:ascii="仿宋_GB2312" w:hAnsi="Times New Roman" w:eastAsia="仿宋_GB2312" w:cs="宋体"/>
          <w:bCs/>
          <w:snapToGrid w:val="0"/>
          <w:kern w:val="0"/>
          <w:sz w:val="28"/>
          <w:szCs w:val="28"/>
          <w:highlight w:val="none"/>
        </w:rPr>
        <w:t>（2）项目相关管理办法有待进一步更新完善，在实施过程中涉及到部分资金使用具体细化管理办法需要加强分析论证，需进一步完善项目实施方案，明确对项目覆盖范围的界定、职责分工和保障措施；提升项目实施方案的规范性，重点关注实施方案，体现实施部门对该项目过程管理、监督检查和验收方式等内容；提高项目过程管理的规范性，对第三方服务商服务质量监管的过程资料完善相关办法制度。</w:t>
      </w:r>
    </w:p>
    <w:p w14:paraId="2E7AAB23">
      <w:pPr>
        <w:ind w:firstLine="562" w:firstLineChars="200"/>
        <w:outlineLvl w:val="1"/>
        <w:rPr>
          <w:rFonts w:hint="eastAsia" w:ascii="宋体" w:hAnsi="宋体" w:cs="宋体"/>
          <w:b/>
          <w:sz w:val="28"/>
          <w:szCs w:val="28"/>
        </w:rPr>
      </w:pPr>
      <w:r>
        <w:rPr>
          <w:rFonts w:hint="eastAsia" w:ascii="宋体" w:hAnsi="宋体" w:cs="宋体"/>
          <w:b/>
          <w:sz w:val="28"/>
          <w:szCs w:val="28"/>
        </w:rPr>
        <w:t>六</w:t>
      </w:r>
      <w:r>
        <w:rPr>
          <w:rFonts w:hint="eastAsia" w:ascii="宋体" w:hAnsi="宋体" w:cs="宋体"/>
          <w:b/>
          <w:sz w:val="28"/>
          <w:szCs w:val="28"/>
          <w:lang w:eastAsia="zh-CN"/>
        </w:rPr>
        <w:t>、</w:t>
      </w:r>
      <w:r>
        <w:rPr>
          <w:rFonts w:hint="eastAsia" w:ascii="宋体" w:hAnsi="宋体" w:cs="宋体"/>
          <w:b/>
          <w:sz w:val="28"/>
          <w:szCs w:val="28"/>
        </w:rPr>
        <w:t>措施建议</w:t>
      </w:r>
    </w:p>
    <w:p w14:paraId="25DC9FC5">
      <w:pPr>
        <w:pStyle w:val="2"/>
        <w:ind w:firstLine="560"/>
        <w:rPr>
          <w:rFonts w:hint="eastAsia" w:ascii="仿宋_GB2312" w:eastAsia="仿宋_GB2312" w:cs="宋体"/>
          <w:bCs/>
          <w:snapToGrid w:val="0"/>
          <w:kern w:val="0"/>
          <w:sz w:val="28"/>
          <w:szCs w:val="28"/>
        </w:rPr>
      </w:pPr>
      <w:r>
        <w:rPr>
          <w:rFonts w:hint="eastAsia" w:ascii="仿宋_GB2312" w:eastAsia="仿宋_GB2312" w:cs="宋体"/>
          <w:bCs/>
          <w:snapToGrid w:val="0"/>
          <w:kern w:val="0"/>
          <w:sz w:val="28"/>
          <w:szCs w:val="28"/>
          <w:highlight w:val="none"/>
        </w:rPr>
        <w:t>（1）加强项目可行性研究论证，对预期绩效的可实现性、</w:t>
      </w:r>
      <w:r>
        <w:rPr>
          <w:rFonts w:hint="eastAsia" w:ascii="仿宋_GB2312" w:eastAsia="仿宋_GB2312" w:cs="宋体"/>
          <w:bCs/>
          <w:snapToGrid w:val="0"/>
          <w:kern w:val="0"/>
          <w:sz w:val="28"/>
          <w:szCs w:val="28"/>
        </w:rPr>
        <w:t>实施方案的可操作性，预期风险和控制措施进行有效论证，充分考虑业务职能工作的具体受众数量，提高决策的科学性；增强对项目绩效考评指标体系的理解，合理设定绩效目标和产出指标。确保项目绩效目标科学合理、可考核、可衡量和可追溯；绩效目标与项目实施内容要求基本相符，提高绩效指标的可考核性。准确测算预算需求，加强预算管理，提高预算执行有效性，确保财政资金使用效益最大化。</w:t>
      </w:r>
    </w:p>
    <w:p w14:paraId="67D05F3E">
      <w:pPr>
        <w:pStyle w:val="2"/>
        <w:ind w:firstLine="560"/>
      </w:pPr>
      <w:r>
        <w:rPr>
          <w:rFonts w:hint="eastAsia" w:ascii="仿宋_GB2312" w:hAnsi="Times New Roman" w:eastAsia="仿宋_GB2312" w:cs="宋体"/>
          <w:bCs/>
          <w:snapToGrid w:val="0"/>
          <w:kern w:val="0"/>
          <w:sz w:val="28"/>
          <w:szCs w:val="28"/>
        </w:rPr>
        <w:t>（2）加强项目的全过程管理，规范对第三方服务单位的遴选程序，结合政府采购与政府购买服务有关法律法规和文件的要求，加强采购决策管理，强化成本管控，提高财政资金使用经济性和合规性；严格执行相关管理制度，及时履行预算调整程序，建立常态化监督管理机制。在资金使用过程中严格监督审核，认真落实资金内部审批制度，保证资金安全、科学、合理利用。树立项目管理意识；制定项目管理制度，明确项目实施方案、资金预算、实施过程中检查、监督等内容；注重项目管理过程中的工作流程规范，并做好工作留痕记录和证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55E64"/>
    <w:rsid w:val="1D2A6502"/>
    <w:rsid w:val="60E224AE"/>
    <w:rsid w:val="7A713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2193</Words>
  <Characters>2264</Characters>
  <Lines>0</Lines>
  <Paragraphs>0</Paragraphs>
  <TotalTime>1</TotalTime>
  <ScaleCrop>false</ScaleCrop>
  <LinksUpToDate>false</LinksUpToDate>
  <CharactersWithSpaces>2299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2025-07-23T06:15:00Z</dcterms:created>
  <dc:creator>admin</dc:creator>
  <cp:lastModifiedBy>1+1</cp:lastModifiedBy>
  <dcterms:modified xsi:type="dcterms:W3CDTF">2025-07-24T08:05:48Z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eyJoZGlkIjoiZjlkY2UwMzA3NWFkNTJlZjY1MzQ5N2NjZDA3OGU2YjgiLCJ1c2VySWQiOiI0MjI5ODUyODIifQ==</vt:lpwstr>
  </property>
  <property fmtid="{D5CDD505-2E9C-101B-9397-08002B2CF9AE}" pid="4" name="ICV">
    <vt:lpwstr>C1EF2FB177344719AAC415753784604A_12</vt:lpwstr>
  </property>
</Properties>
</file>