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43351C">
      <w:pPr>
        <w:jc w:val="center"/>
        <w:rPr>
          <w:rFonts w:ascii="仿宋_GB2312" w:eastAsia="仿宋_GB2312"/>
          <w:b/>
          <w:sz w:val="32"/>
          <w:szCs w:val="32"/>
        </w:rPr>
      </w:pPr>
    </w:p>
    <w:p w14:paraId="2FF538E8">
      <w:pPr>
        <w:jc w:val="center"/>
        <w:rPr>
          <w:rFonts w:ascii="黑体" w:eastAsia="黑体"/>
          <w:sz w:val="72"/>
          <w:szCs w:val="72"/>
        </w:rPr>
      </w:pPr>
    </w:p>
    <w:p w14:paraId="56B75148">
      <w:pPr>
        <w:jc w:val="center"/>
        <w:rPr>
          <w:rFonts w:ascii="黑体" w:eastAsia="黑体"/>
          <w:sz w:val="72"/>
          <w:szCs w:val="72"/>
        </w:rPr>
      </w:pPr>
    </w:p>
    <w:p w14:paraId="6CCF5D3D">
      <w:pPr>
        <w:jc w:val="center"/>
        <w:rPr>
          <w:rFonts w:ascii="黑体" w:eastAsia="黑体"/>
          <w:sz w:val="72"/>
          <w:szCs w:val="72"/>
        </w:rPr>
      </w:pPr>
    </w:p>
    <w:p w14:paraId="7DC34D32">
      <w:pPr>
        <w:jc w:val="center"/>
        <w:rPr>
          <w:rFonts w:ascii="黑体" w:eastAsia="黑体"/>
          <w:sz w:val="72"/>
          <w:szCs w:val="72"/>
        </w:rPr>
      </w:pPr>
    </w:p>
    <w:p w14:paraId="6726BFC8">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14:paraId="642A93A7">
      <w:pPr>
        <w:jc w:val="center"/>
        <w:rPr>
          <w:rFonts w:ascii="黑体" w:eastAsia="黑体"/>
          <w:sz w:val="52"/>
          <w:szCs w:val="52"/>
        </w:rPr>
      </w:pPr>
    </w:p>
    <w:p w14:paraId="15089791">
      <w:pPr>
        <w:jc w:val="center"/>
        <w:rPr>
          <w:rFonts w:ascii="黑体" w:eastAsia="黑体"/>
          <w:sz w:val="52"/>
          <w:szCs w:val="52"/>
        </w:rPr>
      </w:pPr>
    </w:p>
    <w:p w14:paraId="64AACF9E">
      <w:pPr>
        <w:jc w:val="center"/>
        <w:rPr>
          <w:rFonts w:ascii="黑体" w:eastAsia="黑体"/>
          <w:sz w:val="52"/>
          <w:szCs w:val="52"/>
        </w:rPr>
      </w:pPr>
    </w:p>
    <w:p w14:paraId="0781A15E">
      <w:pPr>
        <w:jc w:val="center"/>
        <w:rPr>
          <w:rFonts w:ascii="黑体" w:eastAsia="黑体"/>
          <w:sz w:val="52"/>
          <w:szCs w:val="52"/>
        </w:rPr>
      </w:pPr>
    </w:p>
    <w:p w14:paraId="78E21C87">
      <w:pPr>
        <w:jc w:val="center"/>
        <w:rPr>
          <w:rFonts w:ascii="黑体" w:eastAsia="黑体"/>
          <w:sz w:val="32"/>
          <w:szCs w:val="32"/>
        </w:rPr>
      </w:pPr>
    </w:p>
    <w:p w14:paraId="3FF63F5C">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0DFB3B90">
      <w:pPr>
        <w:spacing w:line="500" w:lineRule="exact"/>
        <w:ind w:firstLine="645"/>
        <w:jc w:val="center"/>
        <w:rPr>
          <w:rFonts w:hint="eastAsia" w:ascii="宋体" w:hAnsi="宋体" w:cs="宋体"/>
          <w:b/>
          <w:bCs/>
          <w:kern w:val="0"/>
          <w:sz w:val="36"/>
          <w:szCs w:val="36"/>
        </w:rPr>
      </w:pPr>
    </w:p>
    <w:p w14:paraId="52B5F62E">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14:paraId="1C344D22">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73571F54">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5C8C557D">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193D015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255723AE">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34BAE98E">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1361CF1F">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28842370">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50C7944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1D956BFB">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788EE8D9">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04F4E62C">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0351E4B7">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14:paraId="038997D8">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10C196CB">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14:paraId="0259988F">
      <w:pPr>
        <w:tabs>
          <w:tab w:val="center" w:pos="6979"/>
        </w:tabs>
        <w:spacing w:before="156" w:beforeLines="50" w:after="156" w:afterLines="50"/>
        <w:jc w:val="center"/>
        <w:rPr>
          <w:rFonts w:ascii="宋体" w:hAnsi="宋体" w:cs="宋体"/>
          <w:b/>
          <w:bCs/>
          <w:spacing w:val="40"/>
          <w:kern w:val="0"/>
          <w:sz w:val="32"/>
          <w:szCs w:val="32"/>
        </w:rPr>
      </w:pPr>
    </w:p>
    <w:p w14:paraId="756E7F23">
      <w:pPr>
        <w:tabs>
          <w:tab w:val="center" w:pos="6979"/>
        </w:tabs>
        <w:spacing w:before="156" w:beforeLines="50" w:after="156" w:afterLines="50"/>
        <w:jc w:val="center"/>
        <w:rPr>
          <w:rFonts w:ascii="宋体" w:hAnsi="宋体" w:cs="宋体"/>
          <w:b/>
          <w:bCs/>
          <w:spacing w:val="40"/>
          <w:kern w:val="0"/>
          <w:sz w:val="32"/>
          <w:szCs w:val="32"/>
        </w:rPr>
      </w:pPr>
    </w:p>
    <w:p w14:paraId="30CC7089">
      <w:pPr>
        <w:tabs>
          <w:tab w:val="center" w:pos="6979"/>
        </w:tabs>
        <w:spacing w:before="156" w:beforeLines="50" w:after="156" w:afterLines="50"/>
        <w:jc w:val="center"/>
        <w:rPr>
          <w:rFonts w:ascii="宋体" w:hAnsi="宋体" w:cs="宋体"/>
          <w:b/>
          <w:bCs/>
          <w:spacing w:val="40"/>
          <w:kern w:val="0"/>
          <w:sz w:val="32"/>
          <w:szCs w:val="32"/>
        </w:rPr>
      </w:pPr>
    </w:p>
    <w:p w14:paraId="3E4FD6C4">
      <w:pPr>
        <w:tabs>
          <w:tab w:val="center" w:pos="6979"/>
        </w:tabs>
        <w:spacing w:before="156" w:beforeLines="50" w:after="156" w:afterLines="50"/>
        <w:jc w:val="center"/>
        <w:rPr>
          <w:rFonts w:ascii="宋体" w:hAnsi="宋体" w:cs="宋体"/>
          <w:b/>
          <w:bCs/>
          <w:spacing w:val="40"/>
          <w:kern w:val="0"/>
          <w:sz w:val="32"/>
          <w:szCs w:val="32"/>
        </w:rPr>
      </w:pPr>
    </w:p>
    <w:p w14:paraId="126A615D">
      <w:pPr>
        <w:tabs>
          <w:tab w:val="center" w:pos="6979"/>
        </w:tabs>
        <w:spacing w:before="156" w:beforeLines="50" w:after="156" w:afterLines="50"/>
        <w:jc w:val="center"/>
        <w:rPr>
          <w:rFonts w:ascii="宋体" w:hAnsi="宋体" w:cs="宋体"/>
          <w:b/>
          <w:bCs/>
          <w:spacing w:val="40"/>
          <w:kern w:val="0"/>
          <w:sz w:val="32"/>
          <w:szCs w:val="32"/>
        </w:rPr>
      </w:pPr>
    </w:p>
    <w:p w14:paraId="549DBF93">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14:paraId="0746630E">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1BB1A52A">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14:paraId="7437983F">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一、部门/单位基本情况</w:t>
      </w:r>
      <w:r>
        <w:rPr>
          <w:rFonts w:hint="eastAsia" w:ascii="仿宋_GB2312" w:eastAsia="仿宋_GB2312"/>
          <w:sz w:val="28"/>
          <w:szCs w:val="28"/>
        </w:rPr>
        <w:t>（比照</w:t>
      </w:r>
      <w:r>
        <w:rPr>
          <w:rFonts w:ascii="仿宋_GB2312" w:eastAsia="仿宋_GB2312"/>
          <w:sz w:val="28"/>
          <w:szCs w:val="28"/>
        </w:rPr>
        <w:t>预算公开</w:t>
      </w:r>
      <w:r>
        <w:rPr>
          <w:rFonts w:hint="eastAsia" w:ascii="仿宋_GB2312" w:eastAsia="仿宋_GB2312"/>
          <w:sz w:val="28"/>
          <w:szCs w:val="28"/>
        </w:rPr>
        <w:t>的内容</w:t>
      </w:r>
      <w:r>
        <w:rPr>
          <w:rFonts w:ascii="仿宋_GB2312" w:eastAsia="仿宋_GB2312"/>
          <w:sz w:val="28"/>
          <w:szCs w:val="28"/>
        </w:rPr>
        <w:t>格式）</w:t>
      </w:r>
    </w:p>
    <w:p w14:paraId="7CAF5AD8">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lang w:eastAsia="zh-CN"/>
        </w:rPr>
        <w:t>（1）贯彻执行党的路线、方针和政策，根据区委、区政府、北京市总工会的中心工作和党的工运方针，研究制定每个时期工会工作的方针和任务，指导全区各级工会工作。</w:t>
      </w:r>
    </w:p>
    <w:p w14:paraId="6A58F3B4">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lang w:eastAsia="zh-CN"/>
        </w:rPr>
        <w:t>（2）负责工运理论政策的调研，组织对工会工作中重大问题的调查研究。向区委、区政府反映职工群众切身利益、呼声和要求，就有关涉及职工群众利益的改革进行调查研究，提出建议或方案。参与有关法律、法规的制定，并监督执行。</w:t>
      </w:r>
    </w:p>
    <w:p w14:paraId="0FC2536C">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lang w:eastAsia="zh-CN"/>
        </w:rPr>
        <w:t>（3）依照法律和工会章程，组织和指导各级工会认真履行工会的职能。贯彻执行北京市西城区工会代表大会和北京市西城区总工会常委会决议，开展工会的各项业务工作。根据各基层直属工会的意见和要求，解决需要由区总工会与有关党政方面协商解决的问题。</w:t>
      </w:r>
    </w:p>
    <w:p w14:paraId="24CC1172">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lang w:eastAsia="zh-CN"/>
        </w:rPr>
        <w:t>（4）负责全区工会的组织建设和制度建设，与区委有关部委协商推荐各直属基层工会的主要领导人选。研究制定各级工会干部的管理制度和培训教育规划，并组织实施。</w:t>
      </w:r>
    </w:p>
    <w:p w14:paraId="02D931E6">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lang w:eastAsia="zh-CN"/>
        </w:rPr>
        <w:t>（5）协助区委、区政府做好全国、市级、区级劳动模范的推荐工作，负责全国“五一”劳动奖章（状）和首都劳动奖章（状）的推荐和西城区劳动奖章（状）的评选表彰工作，负责全区劳动模范的各项管理工作。</w:t>
      </w:r>
    </w:p>
    <w:p w14:paraId="38AD6A52">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eastAsia="zh-CN"/>
        </w:rPr>
        <w:t>（6）负责研究制定本区工会财务制度及区总工会经费及资产管理工作</w:t>
      </w:r>
      <w:r>
        <w:rPr>
          <w:rFonts w:hint="eastAsia" w:ascii="仿宋_GB2312" w:eastAsia="仿宋_GB2312"/>
          <w:sz w:val="28"/>
          <w:szCs w:val="28"/>
          <w:lang w:val="en-US" w:eastAsia="zh-CN"/>
        </w:rPr>
        <w:t>,</w:t>
      </w:r>
      <w:r>
        <w:rPr>
          <w:rFonts w:hint="eastAsia" w:ascii="仿宋_GB2312" w:eastAsia="仿宋_GB2312"/>
          <w:sz w:val="28"/>
          <w:szCs w:val="28"/>
          <w:lang w:eastAsia="zh-CN"/>
        </w:rPr>
        <w:t>培训指导直属基层工会及所属事业单位财务管理、资产管理、预决算工作。</w:t>
      </w:r>
    </w:p>
    <w:p w14:paraId="75816852">
      <w:pPr>
        <w:tabs>
          <w:tab w:val="center" w:pos="6979"/>
        </w:tabs>
        <w:spacing w:line="580" w:lineRule="exact"/>
        <w:rPr>
          <w:rFonts w:hint="eastAsia" w:ascii="仿宋_GB2312" w:eastAsia="仿宋_GB2312"/>
          <w:sz w:val="28"/>
          <w:szCs w:val="28"/>
          <w:lang w:eastAsia="zh-CN"/>
        </w:rPr>
      </w:pPr>
      <w:r>
        <w:rPr>
          <w:rFonts w:hint="eastAsia" w:ascii="仿宋_GB2312" w:eastAsia="仿宋_GB2312"/>
          <w:sz w:val="28"/>
          <w:szCs w:val="28"/>
          <w:lang w:eastAsia="zh-CN"/>
        </w:rPr>
        <w:t>北京市西城区总工会是中共北京市西城区委和北京市总工会领导下的职工自愿结合的</w:t>
      </w:r>
      <w:r>
        <w:rPr>
          <w:rFonts w:hint="eastAsia" w:ascii="仿宋_GB2312" w:eastAsia="仿宋_GB2312"/>
          <w:sz w:val="28"/>
          <w:szCs w:val="28"/>
          <w:lang w:eastAsia="zh-CN"/>
        </w:rPr>
        <w:fldChar w:fldCharType="begin"/>
      </w:r>
      <w:r>
        <w:rPr>
          <w:rFonts w:hint="eastAsia" w:ascii="仿宋_GB2312" w:eastAsia="仿宋_GB2312"/>
          <w:sz w:val="28"/>
          <w:szCs w:val="28"/>
          <w:lang w:eastAsia="zh-CN"/>
        </w:rPr>
        <w:instrText xml:space="preserve"> HYPERLINK "http://baike.baidu.com/view/400954.htm" \t "_blank" </w:instrText>
      </w:r>
      <w:r>
        <w:rPr>
          <w:rFonts w:hint="eastAsia" w:ascii="仿宋_GB2312" w:eastAsia="仿宋_GB2312"/>
          <w:sz w:val="28"/>
          <w:szCs w:val="28"/>
          <w:lang w:eastAsia="zh-CN"/>
        </w:rPr>
        <w:fldChar w:fldCharType="separate"/>
      </w:r>
      <w:r>
        <w:rPr>
          <w:rFonts w:hint="eastAsia" w:ascii="仿宋_GB2312" w:eastAsia="仿宋_GB2312"/>
          <w:sz w:val="28"/>
          <w:szCs w:val="28"/>
          <w:lang w:eastAsia="zh-CN"/>
        </w:rPr>
        <w:t>工人阶级</w:t>
      </w:r>
      <w:r>
        <w:rPr>
          <w:rFonts w:hint="eastAsia" w:ascii="仿宋_GB2312" w:eastAsia="仿宋_GB2312"/>
          <w:sz w:val="28"/>
          <w:szCs w:val="28"/>
          <w:lang w:eastAsia="zh-CN"/>
        </w:rPr>
        <w:fldChar w:fldCharType="end"/>
      </w:r>
      <w:r>
        <w:rPr>
          <w:rFonts w:hint="eastAsia" w:ascii="仿宋_GB2312" w:eastAsia="仿宋_GB2312"/>
          <w:sz w:val="28"/>
          <w:szCs w:val="28"/>
          <w:lang w:eastAsia="zh-CN"/>
        </w:rPr>
        <w:t>群众组织，是党联系职工群众的桥梁和纽带，是会员和职工利益的代表。</w:t>
      </w:r>
    </w:p>
    <w:p w14:paraId="4F05262D">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lang w:eastAsia="zh-CN"/>
        </w:rPr>
        <w:t>西城区总工会下属西城区职工文化宫、和西城技术交流创新中心为财政差额补助事业单位，其退休人员经费纳入财政补助。在区总工会本级核算。</w:t>
      </w:r>
    </w:p>
    <w:p w14:paraId="174FFA59">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lang w:eastAsia="zh-CN"/>
        </w:rPr>
        <w:t>西城区总工会下属事业单位北京市西城区职工服务中心，为独立核算全额拨款事业单位。服务中心是西城区总工会直属的事业单位，是区总工会职工三级服务体系的中心枢纽。</w:t>
      </w:r>
    </w:p>
    <w:p w14:paraId="4FA6C658">
      <w:pPr>
        <w:tabs>
          <w:tab w:val="center" w:pos="6979"/>
        </w:tabs>
        <w:spacing w:line="580" w:lineRule="exact"/>
        <w:ind w:firstLine="570"/>
        <w:rPr>
          <w:rFonts w:hint="eastAsia" w:ascii="仿宋_GB2312" w:eastAsia="仿宋_GB2312"/>
          <w:sz w:val="28"/>
          <w:szCs w:val="28"/>
          <w:lang w:eastAsia="zh-CN"/>
        </w:rPr>
      </w:pPr>
      <w:r>
        <w:rPr>
          <w:rFonts w:hint="eastAsia" w:ascii="仿宋_GB2312" w:eastAsia="仿宋_GB2312"/>
          <w:sz w:val="28"/>
          <w:szCs w:val="28"/>
          <w:lang w:eastAsia="zh-CN"/>
        </w:rPr>
        <w:t>业务涵盖9大类16小项。具体包括：会员服务项目、互助保障、困难帮扶、法人证办理、12351热线派单、婚姻家庭建设、职业介绍、心理健康、社工管理等。中心秉承“维护职工合法权益，竭诚服务职工群众”的职责，开展各项职工服务项目。单位建立了由西城区劳动争议调解中心、职工法律援助中心、职工互助保险代办处等职能机构组成的职工服务后台支撑系统，进一步整合了工会服务资源，共享了部分政府资源和社会资源，制定了相关工作制度和工作人员守则，全力为广大职工提供优质的“一站式”公共服务，充分利用工会组织的独特优势，在教育职工、凝聚职工、服务职工和帮扶困难职工中发挥工会参与社会管理和公共服务的重要作用。</w:t>
      </w:r>
    </w:p>
    <w:p w14:paraId="67954A87">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15EB8BD7">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693.73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66.4</w:t>
      </w:r>
      <w:r>
        <w:rPr>
          <w:rFonts w:hint="eastAsia" w:ascii="仿宋_GB2312" w:eastAsia="仿宋_GB2312"/>
          <w:sz w:val="28"/>
          <w:szCs w:val="28"/>
        </w:rPr>
        <w:t>万元，下降</w:t>
      </w:r>
      <w:r>
        <w:rPr>
          <w:rFonts w:hint="eastAsia" w:ascii="仿宋_GB2312" w:eastAsia="仿宋_GB2312"/>
          <w:sz w:val="28"/>
          <w:szCs w:val="28"/>
          <w:lang w:val="en-US" w:eastAsia="zh-CN"/>
        </w:rPr>
        <w:t>8.74</w:t>
      </w:r>
      <w:r>
        <w:rPr>
          <w:rFonts w:hint="eastAsia" w:ascii="仿宋_GB2312" w:eastAsia="仿宋_GB2312"/>
          <w:sz w:val="28"/>
          <w:szCs w:val="28"/>
        </w:rPr>
        <w:t>%。</w:t>
      </w:r>
    </w:p>
    <w:p w14:paraId="558D4EE1">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14:paraId="23691111">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693.73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66.4</w:t>
      </w:r>
      <w:r>
        <w:rPr>
          <w:rFonts w:hint="eastAsia" w:ascii="仿宋_GB2312" w:eastAsia="仿宋_GB2312"/>
          <w:sz w:val="28"/>
          <w:szCs w:val="28"/>
        </w:rPr>
        <w:t>万元，下降</w:t>
      </w:r>
      <w:r>
        <w:rPr>
          <w:rFonts w:hint="eastAsia" w:ascii="仿宋_GB2312" w:eastAsia="仿宋_GB2312"/>
          <w:sz w:val="28"/>
          <w:szCs w:val="28"/>
          <w:lang w:val="en-US" w:eastAsia="zh-CN"/>
        </w:rPr>
        <w:t>8.74</w:t>
      </w:r>
      <w:r>
        <w:rPr>
          <w:rFonts w:hint="eastAsia" w:ascii="仿宋_GB2312" w:eastAsia="仿宋_GB2312"/>
          <w:sz w:val="28"/>
          <w:szCs w:val="28"/>
        </w:rPr>
        <w:t>%</w:t>
      </w:r>
      <w:r>
        <w:rPr>
          <w:rFonts w:hint="eastAsia" w:ascii="仿宋_GB2312" w:eastAsia="仿宋_GB2312"/>
          <w:sz w:val="28"/>
          <w:szCs w:val="28"/>
          <w:lang w:eastAsia="zh-CN"/>
        </w:rPr>
        <w:t>。</w:t>
      </w:r>
    </w:p>
    <w:p w14:paraId="476B0AAA">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693.73</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693.73</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6F33EABD">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E9FD632">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4E271BF3">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2B16362D">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29062388">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0E33508">
      <w:pPr>
        <w:spacing w:line="560" w:lineRule="exact"/>
        <w:ind w:firstLine="640"/>
        <w:rPr>
          <w:rFonts w:hint="eastAsia" w:ascii="仿宋_GB2312" w:eastAsia="仿宋_GB2312" w:cs="Droid Sans"/>
          <w:color w:val="000000"/>
          <w:sz w:val="32"/>
          <w:szCs w:val="32"/>
          <w:highlight w:val="none"/>
          <w:lang w:eastAsia="zh-CN"/>
        </w:rPr>
      </w:pPr>
      <w:r>
        <w:rPr>
          <w:rFonts w:hint="eastAsia" w:ascii="仿宋_GB2312" w:eastAsia="仿宋_GB2312" w:cs="Droid Sans"/>
          <w:color w:val="000000"/>
          <w:sz w:val="32"/>
          <w:szCs w:val="32"/>
          <w:highlight w:val="none"/>
          <w:lang w:eastAsia="zh-CN"/>
        </w:rPr>
        <w:t>（此处插入图表，用上述</w:t>
      </w:r>
      <w:r>
        <w:rPr>
          <w:rFonts w:hint="eastAsia" w:ascii="仿宋_GB2312" w:eastAsia="仿宋_GB2312" w:cs="Droid Sans"/>
          <w:color w:val="000000"/>
          <w:sz w:val="32"/>
          <w:szCs w:val="32"/>
          <w:highlight w:val="none"/>
          <w:lang w:val="en-US" w:eastAsia="zh-CN"/>
        </w:rPr>
        <w:t>收入</w:t>
      </w:r>
      <w:r>
        <w:rPr>
          <w:rFonts w:hint="eastAsia" w:ascii="仿宋_GB2312" w:eastAsia="仿宋_GB2312" w:cs="Droid Sans"/>
          <w:color w:val="000000"/>
          <w:sz w:val="32"/>
          <w:szCs w:val="32"/>
          <w:highlight w:val="none"/>
          <w:lang w:eastAsia="zh-CN"/>
        </w:rPr>
        <w:t>金额制作饼状图，示例如下，无金额类型不必制图）</w:t>
      </w:r>
    </w:p>
    <w:p w14:paraId="5CD8DE1D">
      <w:pPr>
        <w:pStyle w:val="2"/>
        <w:ind w:firstLine="0"/>
        <w:jc w:val="center"/>
      </w:pPr>
      <w:r>
        <w:rPr>
          <w:rFonts w:hint="eastAsia" w:ascii="仿宋_GB2312" w:eastAsia="仿宋_GB2312"/>
          <w:color w:val="000000"/>
          <w:sz w:val="32"/>
          <w:szCs w:val="32"/>
          <w:highlight w:val="none"/>
          <w:lang w:val="en-US" w:eastAsia="zh-CN"/>
        </w:rPr>
        <w:t>图1：收入预算</w:t>
      </w:r>
    </w:p>
    <w:p w14:paraId="59A7A972">
      <w:pPr>
        <w:pStyle w:val="3"/>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4CC2901">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084906A4">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693.73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66.4</w:t>
      </w:r>
      <w:r>
        <w:rPr>
          <w:rFonts w:hint="eastAsia" w:ascii="仿宋_GB2312" w:eastAsia="仿宋_GB2312"/>
          <w:sz w:val="28"/>
          <w:szCs w:val="28"/>
        </w:rPr>
        <w:t>万元，下降</w:t>
      </w:r>
      <w:r>
        <w:rPr>
          <w:rFonts w:hint="eastAsia" w:ascii="仿宋_GB2312" w:eastAsia="仿宋_GB2312"/>
          <w:sz w:val="28"/>
          <w:szCs w:val="28"/>
          <w:lang w:val="en-US" w:eastAsia="zh-CN"/>
        </w:rPr>
        <w:t>8.74</w:t>
      </w:r>
      <w:r>
        <w:rPr>
          <w:rFonts w:hint="eastAsia" w:ascii="仿宋_GB2312" w:eastAsia="仿宋_GB2312"/>
          <w:sz w:val="28"/>
          <w:szCs w:val="28"/>
        </w:rPr>
        <w:t>%，其中：基本支出</w:t>
      </w:r>
      <w:r>
        <w:rPr>
          <w:rFonts w:ascii="仿宋_GB2312" w:eastAsia="仿宋_GB2312"/>
          <w:sz w:val="28"/>
          <w:szCs w:val="28"/>
        </w:rPr>
        <w:t>471.63</w:t>
      </w:r>
      <w:r>
        <w:rPr>
          <w:rFonts w:hint="eastAsia" w:ascii="仿宋_GB2312" w:eastAsia="仿宋_GB2312"/>
          <w:sz w:val="28"/>
          <w:szCs w:val="28"/>
        </w:rPr>
        <w:t>万元，占支出合计的</w:t>
      </w:r>
      <w:r>
        <w:rPr>
          <w:rFonts w:hint="eastAsia" w:ascii="仿宋_GB2312" w:eastAsia="仿宋_GB2312"/>
          <w:sz w:val="28"/>
          <w:szCs w:val="28"/>
          <w:lang w:eastAsia="zh-CN"/>
        </w:rPr>
        <w:t>67.98</w:t>
      </w:r>
      <w:r>
        <w:rPr>
          <w:rFonts w:hint="eastAsia" w:ascii="仿宋_GB2312" w:eastAsia="仿宋_GB2312"/>
          <w:sz w:val="28"/>
          <w:szCs w:val="28"/>
        </w:rPr>
        <w:t>%；项目支出</w:t>
      </w:r>
      <w:r>
        <w:rPr>
          <w:rFonts w:ascii="仿宋_GB2312" w:eastAsia="仿宋_GB2312"/>
          <w:sz w:val="28"/>
          <w:szCs w:val="28"/>
        </w:rPr>
        <w:t>222.1</w:t>
      </w:r>
      <w:r>
        <w:rPr>
          <w:rFonts w:hint="eastAsia" w:ascii="仿宋_GB2312" w:eastAsia="仿宋_GB2312"/>
          <w:sz w:val="28"/>
          <w:szCs w:val="28"/>
        </w:rPr>
        <w:t>万元，占支出合计的</w:t>
      </w:r>
      <w:r>
        <w:rPr>
          <w:rFonts w:hint="eastAsia" w:ascii="仿宋_GB2312" w:eastAsia="仿宋_GB2312"/>
          <w:sz w:val="28"/>
          <w:szCs w:val="28"/>
          <w:lang w:eastAsia="zh-CN"/>
        </w:rPr>
        <w:t>32.02</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1C69EBAE">
      <w:pPr>
        <w:spacing w:line="560" w:lineRule="exact"/>
        <w:ind w:firstLine="640"/>
        <w:rPr>
          <w:rFonts w:hint="eastAsia" w:ascii="仿宋_GB2312" w:eastAsia="仿宋_GB2312" w:cs="Droid Sans"/>
          <w:color w:val="000000"/>
          <w:sz w:val="32"/>
          <w:szCs w:val="32"/>
          <w:highlight w:val="none"/>
          <w:lang w:eastAsia="zh-CN"/>
        </w:rPr>
      </w:pPr>
      <w:r>
        <w:rPr>
          <w:rFonts w:hint="eastAsia" w:ascii="仿宋_GB2312" w:eastAsia="仿宋_GB2312" w:cs="Droid Sans"/>
          <w:color w:val="000000"/>
          <w:sz w:val="32"/>
          <w:szCs w:val="32"/>
          <w:highlight w:val="none"/>
          <w:lang w:eastAsia="zh-CN"/>
        </w:rPr>
        <w:t>（此处插入图表，用上述</w:t>
      </w:r>
      <w:r>
        <w:rPr>
          <w:rFonts w:hint="eastAsia" w:ascii="仿宋_GB2312" w:eastAsia="仿宋_GB2312" w:cs="Droid Sans"/>
          <w:color w:val="000000"/>
          <w:sz w:val="32"/>
          <w:szCs w:val="32"/>
          <w:highlight w:val="none"/>
          <w:lang w:val="en-US" w:eastAsia="zh-CN"/>
        </w:rPr>
        <w:t>支出</w:t>
      </w:r>
      <w:r>
        <w:rPr>
          <w:rFonts w:hint="eastAsia" w:ascii="仿宋_GB2312" w:eastAsia="仿宋_GB2312" w:cs="Droid Sans"/>
          <w:color w:val="000000"/>
          <w:sz w:val="32"/>
          <w:szCs w:val="32"/>
          <w:highlight w:val="none"/>
          <w:lang w:eastAsia="zh-CN"/>
        </w:rPr>
        <w:t>金额制作饼状图，示例如下，无金额类型不必制图）</w:t>
      </w:r>
    </w:p>
    <w:p w14:paraId="5E5ACD32">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3F796DCB">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484910C">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49A7B664">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693.73</w:t>
      </w:r>
      <w:r>
        <w:rPr>
          <w:rFonts w:hint="eastAsia" w:ascii="仿宋_GB2312" w:eastAsia="仿宋_GB2312"/>
          <w:sz w:val="28"/>
          <w:szCs w:val="28"/>
        </w:rPr>
        <w:t>万元，，比上年减少</w:t>
      </w:r>
      <w:r>
        <w:rPr>
          <w:rFonts w:hint="eastAsia" w:ascii="仿宋_GB2312" w:eastAsia="仿宋_GB2312"/>
          <w:sz w:val="28"/>
          <w:szCs w:val="28"/>
          <w:lang w:val="en-US" w:eastAsia="zh-CN"/>
        </w:rPr>
        <w:t>66.4</w:t>
      </w:r>
      <w:r>
        <w:rPr>
          <w:rFonts w:hint="eastAsia" w:ascii="仿宋_GB2312" w:eastAsia="仿宋_GB2312"/>
          <w:sz w:val="28"/>
          <w:szCs w:val="28"/>
        </w:rPr>
        <w:t>万元，下降</w:t>
      </w:r>
      <w:r>
        <w:rPr>
          <w:rFonts w:hint="eastAsia" w:ascii="仿宋_GB2312" w:eastAsia="仿宋_GB2312"/>
          <w:sz w:val="28"/>
          <w:szCs w:val="28"/>
          <w:lang w:val="en-US" w:eastAsia="zh-CN"/>
        </w:rPr>
        <w:t>8.74%</w:t>
      </w:r>
      <w:r>
        <w:rPr>
          <w:rFonts w:hint="eastAsia" w:ascii="仿宋_GB2312" w:eastAsia="仿宋_GB2312"/>
          <w:sz w:val="28"/>
          <w:szCs w:val="28"/>
        </w:rPr>
        <w:t>。主要</w:t>
      </w:r>
      <w:r>
        <w:rPr>
          <w:rFonts w:hint="eastAsia" w:ascii="仿宋_GB2312" w:hAnsi="Times New Roman" w:eastAsia="仿宋_GB2312" w:cs="Times New Roman"/>
          <w:sz w:val="28"/>
          <w:szCs w:val="28"/>
        </w:rPr>
        <w:t>原因：</w:t>
      </w:r>
      <w:r>
        <w:rPr>
          <w:rFonts w:hint="eastAsia" w:ascii="仿宋_GB2312" w:hAnsi="Times New Roman" w:eastAsia="仿宋_GB2312" w:cs="Times New Roman"/>
          <w:sz w:val="28"/>
          <w:szCs w:val="28"/>
          <w:lang w:val="en-US" w:eastAsia="zh-CN"/>
        </w:rPr>
        <w:t>本级2023年退休人员去世6人，2024年退休人员去世2人，抚恤金减少；落实过紧日子要求，减少项目经费</w:t>
      </w:r>
      <w:r>
        <w:rPr>
          <w:rFonts w:hint="eastAsia" w:ascii="仿宋_GB2312" w:hAnsi="Times New Roman" w:eastAsia="仿宋_GB2312" w:cs="Times New Roman"/>
          <w:sz w:val="28"/>
          <w:szCs w:val="28"/>
        </w:rPr>
        <w:t>。</w:t>
      </w:r>
    </w:p>
    <w:p w14:paraId="58E446E1">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14:paraId="2D7D5219">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14:paraId="10045A40">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693.73</w:t>
      </w:r>
      <w:r>
        <w:rPr>
          <w:rFonts w:hint="eastAsia" w:ascii="仿宋_GB2312" w:eastAsia="仿宋_GB2312"/>
          <w:sz w:val="28"/>
          <w:szCs w:val="28"/>
        </w:rPr>
        <w:t>万元，主要用于以下方面（按大类）：一般公共服务支出</w:t>
      </w:r>
      <w:r>
        <w:rPr>
          <w:rFonts w:hint="eastAsia" w:ascii="仿宋_GB2312" w:eastAsia="仿宋_GB2312"/>
          <w:sz w:val="28"/>
          <w:szCs w:val="28"/>
          <w:lang w:val="en-US" w:eastAsia="zh-CN"/>
        </w:rPr>
        <w:t>400.85</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57.78</w:t>
      </w:r>
      <w:r>
        <w:rPr>
          <w:rFonts w:hint="eastAsia" w:ascii="仿宋_GB2312" w:eastAsia="仿宋_GB2312"/>
          <w:sz w:val="28"/>
          <w:szCs w:val="28"/>
        </w:rPr>
        <w:t>%； 社会保障和就业支出</w:t>
      </w:r>
      <w:r>
        <w:rPr>
          <w:rFonts w:hint="eastAsia" w:ascii="仿宋_GB2312" w:eastAsia="仿宋_GB2312"/>
          <w:sz w:val="28"/>
          <w:szCs w:val="28"/>
          <w:lang w:val="en-US" w:eastAsia="zh-CN"/>
        </w:rPr>
        <w:t>220.96</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31.85</w:t>
      </w:r>
      <w:r>
        <w:rPr>
          <w:rFonts w:hint="eastAsia" w:ascii="仿宋_GB2312" w:eastAsia="仿宋_GB2312"/>
          <w:sz w:val="28"/>
          <w:szCs w:val="28"/>
        </w:rPr>
        <w:t>%；卫生健康支出</w:t>
      </w:r>
      <w:r>
        <w:rPr>
          <w:rFonts w:hint="eastAsia" w:ascii="仿宋_GB2312" w:eastAsia="仿宋_GB2312"/>
          <w:sz w:val="28"/>
          <w:szCs w:val="28"/>
          <w:lang w:val="en-US" w:eastAsia="zh-CN"/>
        </w:rPr>
        <w:t>20.24</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2.92</w:t>
      </w:r>
      <w:r>
        <w:rPr>
          <w:rFonts w:hint="eastAsia" w:ascii="仿宋_GB2312" w:eastAsia="仿宋_GB2312"/>
          <w:sz w:val="28"/>
          <w:szCs w:val="28"/>
        </w:rPr>
        <w:t>%；住房保障支出</w:t>
      </w:r>
      <w:r>
        <w:rPr>
          <w:rFonts w:hint="eastAsia" w:ascii="仿宋_GB2312" w:eastAsia="仿宋_GB2312"/>
          <w:sz w:val="28"/>
          <w:szCs w:val="28"/>
          <w:lang w:val="en-US" w:eastAsia="zh-CN"/>
        </w:rPr>
        <w:t>51.68</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7.45</w:t>
      </w:r>
      <w:r>
        <w:rPr>
          <w:rFonts w:hint="eastAsia" w:ascii="仿宋_GB2312" w:eastAsia="仿宋_GB2312"/>
          <w:sz w:val="28"/>
          <w:szCs w:val="28"/>
        </w:rPr>
        <w:t>%。</w:t>
      </w:r>
    </w:p>
    <w:p w14:paraId="5EE06CD3">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14:paraId="0F0DD8AB">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1、“一般公共服务支出”（类）202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379.2</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400.85</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105.71</w:t>
      </w:r>
      <w:r>
        <w:rPr>
          <w:rFonts w:hint="eastAsia" w:ascii="仿宋_GB2312" w:eastAsia="仿宋_GB2312"/>
          <w:sz w:val="28"/>
          <w:szCs w:val="28"/>
        </w:rPr>
        <w:t>%。其中：</w:t>
      </w:r>
    </w:p>
    <w:p w14:paraId="56DAE02B">
      <w:pPr>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rPr>
        <w:t>“工会事务”（款）202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12.48</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37.1</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297.2</w:t>
      </w:r>
      <w:r>
        <w:rPr>
          <w:rFonts w:hint="eastAsia" w:ascii="仿宋_GB2312" w:eastAsia="仿宋_GB2312"/>
          <w:sz w:val="28"/>
          <w:szCs w:val="28"/>
          <w:highlight w:val="none"/>
          <w:lang w:val="en-US" w:eastAsia="zh-CN"/>
        </w:rPr>
        <w:t>8</w:t>
      </w:r>
      <w:r>
        <w:rPr>
          <w:rFonts w:hint="eastAsia" w:ascii="仿宋_GB2312" w:eastAsia="仿宋_GB2312"/>
          <w:sz w:val="28"/>
          <w:szCs w:val="28"/>
          <w:highlight w:val="none"/>
        </w:rPr>
        <w:t>%。主要原因：2024年劳动争议调解成功案件增加，追加项目经费。</w:t>
      </w:r>
    </w:p>
    <w:p w14:paraId="1BD3F189">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“事业运行”（款）202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181.72</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178.75</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98.37</w:t>
      </w:r>
      <w:r>
        <w:rPr>
          <w:rFonts w:hint="eastAsia" w:ascii="仿宋_GB2312" w:eastAsia="仿宋_GB2312"/>
          <w:sz w:val="28"/>
          <w:szCs w:val="28"/>
        </w:rPr>
        <w:t>%。</w:t>
      </w:r>
      <w:r>
        <w:rPr>
          <w:rFonts w:hint="eastAsia" w:ascii="仿宋_GB2312" w:eastAsia="仿宋_GB2312"/>
          <w:sz w:val="28"/>
          <w:szCs w:val="28"/>
          <w:highlight w:val="none"/>
        </w:rPr>
        <w:t>主要原因</w:t>
      </w:r>
      <w:r>
        <w:rPr>
          <w:rFonts w:hint="eastAsia" w:ascii="仿宋_GB2312" w:hAnsi="Times New Roman" w:eastAsia="仿宋_GB2312" w:cs="Times New Roman"/>
          <w:sz w:val="28"/>
          <w:szCs w:val="28"/>
          <w:highlight w:val="none"/>
          <w:lang w:val="en-US" w:eastAsia="zh-CN"/>
        </w:rPr>
        <w:t>：2024年服务中心职工食堂由于基础设施、设备不全等原因，1月中旬才正式设立食堂,</w:t>
      </w:r>
      <w:r>
        <w:rPr>
          <w:rFonts w:hint="eastAsia" w:ascii="仿宋_GB2312" w:eastAsia="仿宋_GB2312" w:cs="Times New Roman"/>
          <w:sz w:val="28"/>
          <w:szCs w:val="28"/>
          <w:highlight w:val="none"/>
          <w:lang w:val="en-US" w:eastAsia="zh-CN"/>
        </w:rPr>
        <w:t>开始</w:t>
      </w:r>
      <w:r>
        <w:rPr>
          <w:rFonts w:hint="eastAsia" w:ascii="仿宋_GB2312" w:hAnsi="Times New Roman" w:eastAsia="仿宋_GB2312" w:cs="Times New Roman"/>
          <w:sz w:val="28"/>
          <w:szCs w:val="28"/>
          <w:highlight w:val="none"/>
          <w:lang w:val="en-US" w:eastAsia="zh-CN"/>
        </w:rPr>
        <w:t>使用</w:t>
      </w:r>
      <w:r>
        <w:rPr>
          <w:rFonts w:hint="eastAsia" w:ascii="仿宋_GB2312" w:eastAsia="仿宋_GB2312" w:cs="Times New Roman"/>
          <w:sz w:val="28"/>
          <w:szCs w:val="28"/>
          <w:highlight w:val="none"/>
          <w:lang w:val="en-US" w:eastAsia="zh-CN"/>
        </w:rPr>
        <w:t>项目</w:t>
      </w:r>
      <w:r>
        <w:rPr>
          <w:rFonts w:hint="eastAsia" w:ascii="仿宋_GB2312" w:hAnsi="Times New Roman" w:eastAsia="仿宋_GB2312" w:cs="Times New Roman"/>
          <w:sz w:val="28"/>
          <w:szCs w:val="28"/>
          <w:highlight w:val="none"/>
          <w:lang w:val="en-US" w:eastAsia="zh-CN"/>
        </w:rPr>
        <w:t>经费。</w:t>
      </w:r>
    </w:p>
    <w:p w14:paraId="649E3640">
      <w:pPr>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“其他群众团体事务支出”（款）202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185</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185</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w:t>
      </w:r>
      <w:r>
        <w:rPr>
          <w:rFonts w:hint="eastAsia" w:ascii="仿宋_GB2312" w:eastAsia="仿宋_GB2312"/>
          <w:sz w:val="28"/>
          <w:szCs w:val="28"/>
          <w:lang w:eastAsia="zh-CN"/>
        </w:rPr>
        <w:t>。</w:t>
      </w:r>
    </w:p>
    <w:p w14:paraId="1DFD687B">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2、“社会保障和就业支出”(类)202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190.63</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220.96</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117.12</w:t>
      </w:r>
      <w:r>
        <w:rPr>
          <w:rFonts w:hint="eastAsia" w:ascii="仿宋_GB2312" w:eastAsia="仿宋_GB2312"/>
          <w:sz w:val="28"/>
          <w:szCs w:val="28"/>
        </w:rPr>
        <w:t>%。其中：</w:t>
      </w:r>
    </w:p>
    <w:p w14:paraId="6EAFE015">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“行政单位离退休”（款）202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30.59</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30.33</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99.15</w:t>
      </w:r>
      <w:r>
        <w:rPr>
          <w:rFonts w:hint="eastAsia" w:ascii="仿宋_GB2312" w:eastAsia="仿宋_GB2312"/>
          <w:sz w:val="28"/>
          <w:szCs w:val="28"/>
        </w:rPr>
        <w:t>%</w:t>
      </w:r>
    </w:p>
    <w:p w14:paraId="24ED41A1">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“事业单位离退休”（款）202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125.17</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125.17</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w:t>
      </w:r>
      <w:r>
        <w:rPr>
          <w:rFonts w:hint="eastAsia" w:ascii="仿宋_GB2312" w:eastAsia="仿宋_GB2312"/>
          <w:sz w:val="28"/>
          <w:szCs w:val="28"/>
          <w:lang w:eastAsia="zh-CN"/>
        </w:rPr>
        <w:t>。</w:t>
      </w:r>
    </w:p>
    <w:p w14:paraId="57B1EAA1">
      <w:pPr>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rPr>
        <w:t>“机关事业单位基本养老保险缴费支出”（款）202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21.93</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20.73</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94.53</w:t>
      </w:r>
      <w:r>
        <w:rPr>
          <w:rFonts w:hint="eastAsia" w:ascii="仿宋_GB2312" w:eastAsia="仿宋_GB2312"/>
          <w:sz w:val="28"/>
          <w:szCs w:val="28"/>
        </w:rPr>
        <w:t>%。主要原因</w:t>
      </w:r>
      <w:r>
        <w:rPr>
          <w:rFonts w:hint="eastAsia" w:ascii="仿宋_GB2312" w:eastAsia="仿宋_GB2312"/>
          <w:sz w:val="28"/>
          <w:szCs w:val="28"/>
          <w:lang w:val="en-US" w:eastAsia="zh-CN"/>
        </w:rPr>
        <w:t>：2024年调整养老保险缴费基数</w:t>
      </w:r>
      <w:r>
        <w:rPr>
          <w:rFonts w:hint="eastAsia" w:ascii="仿宋_GB2312" w:eastAsia="仿宋_GB2312"/>
          <w:sz w:val="28"/>
          <w:szCs w:val="28"/>
          <w:lang w:eastAsia="zh-CN"/>
        </w:rPr>
        <w:t>。</w:t>
      </w:r>
    </w:p>
    <w:p w14:paraId="1F8D4151">
      <w:pPr>
        <w:spacing w:line="58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“机关事业单位职业年金缴费支出”（款）202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年度年初预算</w:t>
      </w:r>
      <w:r>
        <w:rPr>
          <w:rFonts w:hint="eastAsia" w:ascii="仿宋_GB2312" w:hAnsi="Times New Roman" w:eastAsia="仿宋_GB2312" w:cs="Times New Roman"/>
          <w:sz w:val="28"/>
          <w:szCs w:val="28"/>
          <w:lang w:val="en-US" w:eastAsia="zh-CN"/>
        </w:rPr>
        <w:t>10.96</w:t>
      </w:r>
      <w:r>
        <w:rPr>
          <w:rFonts w:hint="eastAsia" w:ascii="仿宋_GB2312" w:hAnsi="Times New Roman" w:eastAsia="仿宋_GB2312" w:cs="Times New Roman"/>
          <w:sz w:val="28"/>
          <w:szCs w:val="28"/>
        </w:rPr>
        <w:t>万元，202</w:t>
      </w:r>
      <w:r>
        <w:rPr>
          <w:rFonts w:hint="eastAsia" w:ascii="仿宋_GB2312" w:hAnsi="Times New Roman" w:eastAsia="仿宋_GB2312" w:cs="Times New Roman"/>
          <w:sz w:val="28"/>
          <w:szCs w:val="28"/>
          <w:lang w:val="en-US" w:eastAsia="zh-CN"/>
        </w:rPr>
        <w:t>4</w:t>
      </w:r>
      <w:r>
        <w:rPr>
          <w:rFonts w:hint="eastAsia" w:ascii="仿宋_GB2312" w:hAnsi="Times New Roman" w:eastAsia="仿宋_GB2312" w:cs="Times New Roman"/>
          <w:sz w:val="28"/>
          <w:szCs w:val="28"/>
        </w:rPr>
        <w:t>年度决算</w:t>
      </w:r>
      <w:r>
        <w:rPr>
          <w:rFonts w:hint="eastAsia" w:ascii="仿宋_GB2312" w:hAnsi="Times New Roman" w:eastAsia="仿宋_GB2312" w:cs="Times New Roman"/>
          <w:sz w:val="28"/>
          <w:szCs w:val="28"/>
          <w:lang w:val="en-US" w:eastAsia="zh-CN"/>
        </w:rPr>
        <w:t>10.37</w:t>
      </w:r>
      <w:r>
        <w:rPr>
          <w:rFonts w:hint="eastAsia" w:ascii="仿宋_GB2312" w:hAnsi="Times New Roman" w:eastAsia="仿宋_GB2312" w:cs="Times New Roman"/>
          <w:sz w:val="28"/>
          <w:szCs w:val="28"/>
        </w:rPr>
        <w:t>万元，</w:t>
      </w:r>
      <w:r>
        <w:rPr>
          <w:rFonts w:hint="eastAsia" w:ascii="仿宋_GB2312" w:eastAsia="仿宋_GB2312"/>
          <w:sz w:val="28"/>
          <w:szCs w:val="28"/>
          <w:lang w:eastAsia="zh-CN"/>
        </w:rPr>
        <w:t>完成年初预算的</w:t>
      </w:r>
      <w:r>
        <w:rPr>
          <w:rFonts w:hint="eastAsia" w:ascii="仿宋_GB2312" w:hAnsi="Times New Roman" w:eastAsia="仿宋_GB2312" w:cs="Times New Roman"/>
          <w:sz w:val="28"/>
          <w:szCs w:val="28"/>
          <w:lang w:val="en-US" w:eastAsia="zh-CN"/>
        </w:rPr>
        <w:t>94.62</w:t>
      </w:r>
      <w:r>
        <w:rPr>
          <w:rFonts w:hint="eastAsia" w:ascii="仿宋_GB2312" w:hAnsi="Times New Roman" w:eastAsia="仿宋_GB2312" w:cs="Times New Roman"/>
          <w:sz w:val="28"/>
          <w:szCs w:val="28"/>
        </w:rPr>
        <w:t>%。主要原因：</w:t>
      </w:r>
      <w:r>
        <w:rPr>
          <w:rFonts w:hint="eastAsia" w:ascii="仿宋_GB2312" w:hAnsi="Times New Roman" w:eastAsia="仿宋_GB2312" w:cs="Times New Roman"/>
          <w:sz w:val="28"/>
          <w:szCs w:val="28"/>
          <w:lang w:val="en-US" w:eastAsia="zh-CN"/>
        </w:rPr>
        <w:t>2024年调整职业年金缴费基数</w:t>
      </w:r>
      <w:r>
        <w:rPr>
          <w:rFonts w:hint="eastAsia" w:ascii="仿宋_GB2312" w:hAnsi="Times New Roman" w:eastAsia="仿宋_GB2312" w:cs="Times New Roman"/>
          <w:sz w:val="28"/>
          <w:szCs w:val="28"/>
          <w:lang w:eastAsia="zh-CN"/>
        </w:rPr>
        <w:t>。</w:t>
      </w:r>
    </w:p>
    <w:p w14:paraId="3DF4CF58">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“死亡抚恤”（款）202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34.36</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%。主要原因：</w:t>
      </w:r>
      <w:r>
        <w:rPr>
          <w:rFonts w:hint="eastAsia" w:ascii="仿宋_GB2312" w:eastAsia="仿宋_GB2312"/>
          <w:sz w:val="28"/>
          <w:szCs w:val="28"/>
          <w:lang w:eastAsia="zh-CN"/>
        </w:rPr>
        <w:t>退休人员去世两人</w:t>
      </w:r>
      <w:r>
        <w:rPr>
          <w:rFonts w:hint="eastAsia" w:ascii="仿宋_GB2312" w:eastAsia="仿宋_GB2312"/>
          <w:sz w:val="28"/>
          <w:szCs w:val="28"/>
        </w:rPr>
        <w:t>。</w:t>
      </w:r>
    </w:p>
    <w:p w14:paraId="564171CB">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、“卫生健康支出”(类)202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18.18</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20.24</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111.33</w:t>
      </w:r>
      <w:r>
        <w:rPr>
          <w:rFonts w:hint="eastAsia" w:ascii="仿宋_GB2312" w:eastAsia="仿宋_GB2312"/>
          <w:sz w:val="28"/>
          <w:szCs w:val="28"/>
        </w:rPr>
        <w:t>%。其中：</w:t>
      </w:r>
    </w:p>
    <w:p w14:paraId="3B2C39CA">
      <w:pPr>
        <w:spacing w:line="580" w:lineRule="exact"/>
        <w:ind w:firstLine="560" w:firstLineChars="200"/>
        <w:rPr>
          <w:rFonts w:hint="eastAsia" w:ascii="仿宋_GB2312" w:eastAsia="仿宋_GB2312"/>
          <w:sz w:val="28"/>
          <w:szCs w:val="28"/>
          <w:highlight w:val="yellow"/>
        </w:rPr>
      </w:pPr>
      <w:r>
        <w:rPr>
          <w:rFonts w:hint="eastAsia" w:ascii="仿宋_GB2312" w:eastAsia="仿宋_GB2312"/>
          <w:sz w:val="28"/>
          <w:szCs w:val="28"/>
        </w:rPr>
        <w:t>“事业单位医疗”（款）202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18.18</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20.24</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111.33</w:t>
      </w:r>
      <w:r>
        <w:rPr>
          <w:rFonts w:hint="eastAsia" w:ascii="仿宋_GB2312" w:eastAsia="仿宋_GB2312"/>
          <w:sz w:val="28"/>
          <w:szCs w:val="28"/>
        </w:rPr>
        <w:t>%。主要原因：2024年调整医疗保险缴费基数。</w:t>
      </w:r>
    </w:p>
    <w:p w14:paraId="320AC18E">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4</w:t>
      </w:r>
      <w:r>
        <w:rPr>
          <w:rFonts w:hint="eastAsia" w:ascii="仿宋_GB2312" w:eastAsia="仿宋_GB2312"/>
          <w:sz w:val="28"/>
          <w:szCs w:val="28"/>
        </w:rPr>
        <w:t>、“住房保障支出”(类)202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49.88</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51.68</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103.61</w:t>
      </w:r>
      <w:r>
        <w:rPr>
          <w:rFonts w:hint="eastAsia" w:ascii="仿宋_GB2312" w:eastAsia="仿宋_GB2312"/>
          <w:sz w:val="28"/>
          <w:szCs w:val="28"/>
        </w:rPr>
        <w:t>%。其中：</w:t>
      </w:r>
    </w:p>
    <w:p w14:paraId="2189C65A">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“住房公积金”（款）202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18.18</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19.26</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105.94</w:t>
      </w:r>
      <w:r>
        <w:rPr>
          <w:rFonts w:hint="eastAsia" w:ascii="仿宋_GB2312" w:eastAsia="仿宋_GB2312"/>
          <w:sz w:val="28"/>
          <w:szCs w:val="28"/>
        </w:rPr>
        <w:t>%。主要原因：2024年调整住房公积金缴费基数。</w:t>
      </w:r>
    </w:p>
    <w:p w14:paraId="430F2EE8">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“提租补贴”（款）202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14.23</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14.23</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w:t>
      </w:r>
    </w:p>
    <w:p w14:paraId="4739FE98">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“购房补贴”（款）202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17.48</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18.19</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104.06</w:t>
      </w:r>
      <w:r>
        <w:rPr>
          <w:rFonts w:hint="eastAsia" w:ascii="仿宋_GB2312" w:eastAsia="仿宋_GB2312"/>
          <w:sz w:val="28"/>
          <w:szCs w:val="28"/>
        </w:rPr>
        <w:t>%。</w:t>
      </w:r>
    </w:p>
    <w:p w14:paraId="13655397">
      <w:pPr>
        <w:spacing w:line="580" w:lineRule="exact"/>
        <w:ind w:firstLine="560" w:firstLineChars="200"/>
        <w:rPr>
          <w:rFonts w:hint="default" w:ascii="仿宋_GB2312" w:eastAsia="仿宋_GB2312"/>
          <w:sz w:val="28"/>
          <w:szCs w:val="28"/>
          <w:lang w:val="en-US"/>
        </w:rPr>
      </w:pPr>
      <w:r>
        <w:rPr>
          <w:rFonts w:hint="eastAsia" w:ascii="仿宋_GB2312" w:eastAsia="仿宋_GB2312"/>
          <w:sz w:val="28"/>
          <w:szCs w:val="28"/>
          <w:lang w:val="en-US" w:eastAsia="zh-CN"/>
        </w:rPr>
        <w:t>5</w:t>
      </w:r>
      <w:r>
        <w:rPr>
          <w:rFonts w:hint="eastAsia" w:ascii="仿宋_GB2312" w:eastAsia="仿宋_GB2312"/>
          <w:sz w:val="28"/>
          <w:szCs w:val="28"/>
        </w:rPr>
        <w:t>、“教育支出”(类)202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0.69</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0%</w:t>
      </w:r>
      <w:r>
        <w:rPr>
          <w:rFonts w:hint="eastAsia" w:ascii="仿宋_GB2312" w:eastAsia="仿宋_GB2312"/>
          <w:sz w:val="28"/>
          <w:szCs w:val="28"/>
        </w:rPr>
        <w:t>。其中：</w:t>
      </w:r>
    </w:p>
    <w:p w14:paraId="0ACE2EB3">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“培训支出”（款）202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0.69</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0%</w:t>
      </w:r>
      <w:r>
        <w:rPr>
          <w:rFonts w:hint="eastAsia" w:ascii="仿宋_GB2312" w:eastAsia="仿宋_GB2312"/>
          <w:sz w:val="28"/>
          <w:szCs w:val="28"/>
        </w:rPr>
        <w:t>。</w:t>
      </w:r>
    </w:p>
    <w:p w14:paraId="63AC3A60">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14:paraId="5ADB52EF">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年度政府性基金预算财政拨款支出</w:t>
      </w:r>
      <w:r>
        <w:rPr>
          <w:rFonts w:ascii="仿宋_GB2312" w:eastAsia="仿宋_GB2312"/>
          <w:sz w:val="28"/>
          <w:szCs w:val="28"/>
        </w:rPr>
        <w:t>0</w:t>
      </w:r>
      <w:r>
        <w:rPr>
          <w:rFonts w:hint="eastAsia" w:ascii="仿宋_GB2312" w:eastAsia="仿宋_GB2312"/>
          <w:sz w:val="28"/>
          <w:szCs w:val="28"/>
        </w:rPr>
        <w:t>万元。</w:t>
      </w:r>
      <w:r>
        <w:rPr>
          <w:rFonts w:hint="eastAsia" w:ascii="仿宋_GB2312" w:eastAsia="仿宋_GB2312"/>
          <w:sz w:val="28"/>
          <w:szCs w:val="28"/>
          <w:lang w:eastAsia="zh-CN"/>
        </w:rPr>
        <w:t>无此项支出。</w:t>
      </w:r>
    </w:p>
    <w:p w14:paraId="4B6533DC">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11EF619C">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r>
        <w:rPr>
          <w:rFonts w:hint="eastAsia" w:ascii="仿宋_GB2312" w:eastAsia="仿宋_GB2312"/>
          <w:sz w:val="28"/>
          <w:szCs w:val="28"/>
          <w:lang w:eastAsia="zh-CN"/>
        </w:rPr>
        <w:t>无此项支出。</w:t>
      </w:r>
    </w:p>
    <w:p w14:paraId="61FBE479">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14:paraId="7C337F65">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471.63</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2F7D1FE0">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14:paraId="1D091ED4">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1E34E970">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14:paraId="66A12C0D">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0</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0</w:t>
      </w:r>
      <w:r>
        <w:rPr>
          <w:rFonts w:hint="eastAsia" w:ascii="仿宋_GB2312" w:eastAsia="仿宋_GB2312"/>
          <w:sz w:val="28"/>
          <w:szCs w:val="28"/>
        </w:rPr>
        <w:t>万元增加（减少）</w:t>
      </w:r>
      <w:r>
        <w:rPr>
          <w:rFonts w:ascii="仿宋_GB2312" w:eastAsia="仿宋_GB2312"/>
          <w:sz w:val="28"/>
          <w:szCs w:val="28"/>
        </w:rPr>
        <w:t>0</w:t>
      </w:r>
      <w:r>
        <w:rPr>
          <w:rFonts w:hint="eastAsia" w:ascii="仿宋_GB2312" w:eastAsia="仿宋_GB2312"/>
          <w:sz w:val="28"/>
          <w:szCs w:val="28"/>
        </w:rPr>
        <w:t>万元。其中：</w:t>
      </w:r>
    </w:p>
    <w:p w14:paraId="5E354A02">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万元增加（减少）</w:t>
      </w:r>
      <w:r>
        <w:rPr>
          <w:rFonts w:ascii="仿宋_GB2312" w:eastAsia="仿宋_GB2312"/>
          <w:sz w:val="28"/>
          <w:szCs w:val="28"/>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年度组织因公出国（境）团组</w:t>
      </w:r>
      <w:r>
        <w:rPr>
          <w:rFonts w:hint="eastAsia" w:ascii="仿宋_GB2312" w:eastAsia="仿宋_GB2312"/>
          <w:sz w:val="28"/>
          <w:szCs w:val="28"/>
          <w:lang w:eastAsia="zh-CN"/>
        </w:rPr>
        <w:t>0</w:t>
      </w:r>
      <w:r>
        <w:rPr>
          <w:rFonts w:hint="eastAsia" w:ascii="仿宋_GB2312" w:eastAsia="仿宋_GB2312"/>
          <w:sz w:val="28"/>
          <w:szCs w:val="28"/>
        </w:rPr>
        <w:t>个、</w:t>
      </w:r>
      <w:r>
        <w:rPr>
          <w:rFonts w:hint="eastAsia" w:ascii="仿宋_GB2312" w:eastAsia="仿宋_GB2312"/>
          <w:sz w:val="28"/>
          <w:szCs w:val="28"/>
          <w:lang w:eastAsia="zh-CN"/>
        </w:rPr>
        <w:t>0</w:t>
      </w:r>
      <w:r>
        <w:rPr>
          <w:rFonts w:hint="eastAsia" w:ascii="仿宋_GB2312" w:eastAsia="仿宋_GB2312"/>
          <w:sz w:val="28"/>
          <w:szCs w:val="28"/>
        </w:rPr>
        <w:t>人次。</w:t>
      </w:r>
    </w:p>
    <w:p w14:paraId="7C199949">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万元增加（减少）</w:t>
      </w:r>
      <w:r>
        <w:rPr>
          <w:rFonts w:ascii="仿宋_GB2312" w:eastAsia="仿宋_GB2312"/>
          <w:sz w:val="28"/>
          <w:szCs w:val="28"/>
        </w:rPr>
        <w:t>0</w:t>
      </w:r>
      <w:r>
        <w:rPr>
          <w:rFonts w:hint="eastAsia" w:ascii="仿宋_GB2312" w:eastAsia="仿宋_GB2312"/>
          <w:sz w:val="28"/>
          <w:szCs w:val="28"/>
        </w:rPr>
        <w:t>万元。公务接待</w:t>
      </w:r>
      <w:r>
        <w:rPr>
          <w:rFonts w:hint="eastAsia" w:ascii="仿宋_GB2312" w:eastAsia="仿宋_GB2312"/>
          <w:sz w:val="28"/>
          <w:szCs w:val="28"/>
          <w:lang w:eastAsia="zh-CN"/>
        </w:rPr>
        <w:t>0</w:t>
      </w:r>
      <w:r>
        <w:rPr>
          <w:rFonts w:hint="eastAsia" w:ascii="仿宋_GB2312" w:eastAsia="仿宋_GB2312"/>
          <w:sz w:val="28"/>
          <w:szCs w:val="28"/>
        </w:rPr>
        <w:t>批次，公务接待</w:t>
      </w:r>
      <w:r>
        <w:rPr>
          <w:rFonts w:hint="eastAsia" w:ascii="仿宋_GB2312" w:eastAsia="仿宋_GB2312"/>
          <w:sz w:val="28"/>
          <w:szCs w:val="28"/>
          <w:lang w:eastAsia="zh-CN"/>
        </w:rPr>
        <w:t>0</w:t>
      </w:r>
      <w:r>
        <w:rPr>
          <w:rFonts w:hint="eastAsia" w:ascii="仿宋_GB2312" w:eastAsia="仿宋_GB2312"/>
          <w:sz w:val="28"/>
          <w:szCs w:val="28"/>
        </w:rPr>
        <w:t>人次。</w:t>
      </w:r>
    </w:p>
    <w:p w14:paraId="6B41DA0C">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万元增加（减少）</w:t>
      </w:r>
      <w:r>
        <w:rPr>
          <w:rFonts w:ascii="仿宋_GB2312" w:eastAsia="仿宋_GB2312"/>
          <w:sz w:val="28"/>
          <w:szCs w:val="28"/>
        </w:rPr>
        <w:t>0</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0</w:t>
      </w:r>
      <w:r>
        <w:rPr>
          <w:rFonts w:hint="eastAsia" w:ascii="仿宋_GB2312" w:eastAsia="仿宋_GB2312"/>
          <w:sz w:val="28"/>
          <w:szCs w:val="28"/>
        </w:rPr>
        <w:t>辆。</w:t>
      </w:r>
    </w:p>
    <w:p w14:paraId="18A4B330">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14:paraId="6850A091">
      <w:pPr>
        <w:ind w:firstLine="537" w:firstLineChars="192"/>
        <w:rPr>
          <w:rFonts w:hint="eastAsia" w:ascii="仿宋_GB2312" w:eastAsia="仿宋_GB2312"/>
          <w:sz w:val="28"/>
          <w:szCs w:val="28"/>
        </w:rPr>
      </w:pPr>
      <w:r>
        <w:rPr>
          <w:rFonts w:hint="eastAsia" w:ascii="仿宋_GB2312" w:eastAsia="仿宋_GB2312"/>
          <w:sz w:val="28"/>
          <w:szCs w:val="28"/>
        </w:rPr>
        <w:t>目前财政不负担区总工会本级机构运行经费。服务中心为全额拨款事业单位，不属于机关运行经费支出统计范围。</w:t>
      </w:r>
    </w:p>
    <w:p w14:paraId="7E8E4D2D">
      <w:pPr>
        <w:ind w:left="540"/>
        <w:rPr>
          <w:rFonts w:hint="eastAsia" w:ascii="黑体" w:eastAsia="黑体"/>
          <w:sz w:val="28"/>
          <w:szCs w:val="28"/>
        </w:rPr>
      </w:pPr>
      <w:r>
        <w:rPr>
          <w:rFonts w:hint="eastAsia" w:ascii="黑体" w:eastAsia="黑体"/>
          <w:sz w:val="28"/>
          <w:szCs w:val="28"/>
        </w:rPr>
        <w:t>三、政府采购支出情况</w:t>
      </w:r>
    </w:p>
    <w:p w14:paraId="44F5D37A">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0.17</w:t>
      </w:r>
      <w:r>
        <w:rPr>
          <w:rFonts w:hint="eastAsia" w:ascii="仿宋_GB2312" w:eastAsia="仿宋_GB2312"/>
          <w:sz w:val="28"/>
          <w:szCs w:val="28"/>
        </w:rPr>
        <w:t>万元，其中：政府采购货物支出</w:t>
      </w:r>
      <w:r>
        <w:rPr>
          <w:rFonts w:ascii="仿宋_GB2312" w:eastAsia="仿宋_GB2312"/>
          <w:sz w:val="28"/>
          <w:szCs w:val="28"/>
        </w:rPr>
        <w:t>0.17</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0</w:t>
      </w:r>
      <w:r>
        <w:rPr>
          <w:rFonts w:hint="eastAsia" w:ascii="仿宋_GB2312" w:eastAsia="仿宋_GB2312"/>
          <w:sz w:val="28"/>
          <w:szCs w:val="28"/>
        </w:rPr>
        <w:t>万元。授予中小企业合同金额</w:t>
      </w:r>
      <w:r>
        <w:rPr>
          <w:rFonts w:ascii="仿宋_GB2312" w:eastAsia="仿宋_GB2312"/>
          <w:sz w:val="28"/>
          <w:szCs w:val="28"/>
        </w:rPr>
        <w:t>0.17</w:t>
      </w:r>
      <w:r>
        <w:rPr>
          <w:rFonts w:hint="eastAsia" w:ascii="仿宋_GB2312" w:eastAsia="仿宋_GB2312"/>
          <w:sz w:val="28"/>
          <w:szCs w:val="28"/>
        </w:rPr>
        <w:t>万元，占政府采购支出总额的</w:t>
      </w:r>
      <w:r>
        <w:rPr>
          <w:rFonts w:hint="eastAsia" w:ascii="仿宋_GB2312" w:eastAsia="仿宋_GB2312"/>
          <w:sz w:val="28"/>
          <w:szCs w:val="28"/>
          <w:lang w:eastAsia="zh-CN"/>
        </w:rPr>
        <w:t>100</w:t>
      </w:r>
      <w:r>
        <w:rPr>
          <w:rFonts w:hint="eastAsia" w:ascii="仿宋_GB2312" w:eastAsia="仿宋_GB2312"/>
          <w:sz w:val="28"/>
          <w:szCs w:val="28"/>
        </w:rPr>
        <w:t>%，其中：授予小微企业合同金额</w:t>
      </w:r>
      <w:r>
        <w:rPr>
          <w:rFonts w:ascii="仿宋_GB2312" w:eastAsia="仿宋_GB2312"/>
          <w:sz w:val="28"/>
          <w:szCs w:val="28"/>
        </w:rPr>
        <w:t>0.17</w:t>
      </w:r>
      <w:r>
        <w:rPr>
          <w:rFonts w:hint="eastAsia" w:ascii="仿宋_GB2312" w:eastAsia="仿宋_GB2312"/>
          <w:sz w:val="28"/>
          <w:szCs w:val="28"/>
        </w:rPr>
        <w:t>万元，占政府采购支出总额的</w:t>
      </w:r>
      <w:r>
        <w:rPr>
          <w:rFonts w:ascii="仿宋_GB2312" w:eastAsia="仿宋_GB2312"/>
          <w:sz w:val="28"/>
          <w:szCs w:val="28"/>
        </w:rPr>
        <w:t>100</w:t>
      </w:r>
      <w:r>
        <w:rPr>
          <w:rFonts w:hint="eastAsia" w:ascii="仿宋_GB2312" w:eastAsia="仿宋_GB2312"/>
          <w:sz w:val="28"/>
          <w:szCs w:val="28"/>
        </w:rPr>
        <w:t>%。</w:t>
      </w:r>
    </w:p>
    <w:p w14:paraId="5B8C4C2F">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14:paraId="745A4F69">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12月31日，北京市西城区总工会</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0</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14:paraId="26444C56">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0960AE97">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r>
        <w:rPr>
          <w:rFonts w:hint="eastAsia" w:ascii="仿宋_GB2312" w:eastAsia="仿宋_GB2312"/>
          <w:sz w:val="28"/>
          <w:szCs w:val="28"/>
          <w:lang w:eastAsia="zh-CN"/>
        </w:rPr>
        <w:t>无此项支出。</w:t>
      </w:r>
    </w:p>
    <w:p w14:paraId="29385706">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5C47DC35">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63FA8B73">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5BE9B3E5">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3F3FF2E6">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4579915C">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7F7B5764">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2007DC57">
      <w:pPr>
        <w:ind w:firstLine="632" w:firstLineChars="200"/>
        <w:rPr>
          <w:rFonts w:hint="eastAsia" w:ascii="仿宋_GB2312" w:hAnsi="Times New Roman" w:eastAsia="仿宋_GB2312" w:cs="Times New Roman"/>
          <w:b/>
          <w:color w:val="000000"/>
          <w:spacing w:val="-2"/>
          <w:sz w:val="32"/>
          <w:szCs w:val="32"/>
          <w:lang w:eastAsia="zh-CN"/>
        </w:rPr>
      </w:pPr>
      <w:r>
        <w:rPr>
          <w:rFonts w:hint="eastAsia" w:ascii="仿宋_GB2312" w:eastAsia="仿宋_GB2312"/>
          <w:b/>
          <w:color w:val="000000"/>
          <w:spacing w:val="-2"/>
          <w:sz w:val="32"/>
          <w:szCs w:val="32"/>
          <w:lang w:val="en-US" w:eastAsia="zh-CN"/>
        </w:rPr>
        <w:t>7.</w:t>
      </w:r>
      <w:r>
        <w:rPr>
          <w:rFonts w:hint="eastAsia" w:ascii="仿宋_GB2312" w:eastAsia="仿宋_GB2312"/>
          <w:b/>
          <w:color w:val="000000"/>
          <w:spacing w:val="-2"/>
          <w:sz w:val="32"/>
          <w:szCs w:val="32"/>
        </w:rPr>
        <w:t>各</w:t>
      </w:r>
      <w:r>
        <w:rPr>
          <w:rFonts w:hint="eastAsia" w:ascii="仿宋_GB2312" w:eastAsia="仿宋_GB2312"/>
          <w:b/>
          <w:color w:val="000000"/>
          <w:spacing w:val="-2"/>
          <w:sz w:val="32"/>
          <w:szCs w:val="32"/>
          <w:lang w:eastAsia="zh-CN"/>
        </w:rPr>
        <w:t>单位</w:t>
      </w:r>
      <w:r>
        <w:rPr>
          <w:rFonts w:hint="eastAsia" w:ascii="仿宋_GB2312" w:eastAsia="仿宋_GB2312"/>
          <w:b/>
          <w:color w:val="000000"/>
          <w:spacing w:val="-2"/>
          <w:sz w:val="32"/>
          <w:szCs w:val="32"/>
        </w:rPr>
        <w:t>需根据自身业务职能</w:t>
      </w:r>
      <w:r>
        <w:rPr>
          <w:rFonts w:hint="eastAsia" w:ascii="仿宋_GB2312" w:hAnsi="Times New Roman" w:eastAsia="仿宋_GB2312" w:cs="Times New Roman"/>
          <w:b/>
          <w:color w:val="000000"/>
          <w:spacing w:val="-2"/>
          <w:sz w:val="32"/>
          <w:szCs w:val="32"/>
        </w:rPr>
        <w:t>，</w:t>
      </w:r>
      <w:r>
        <w:rPr>
          <w:rFonts w:hint="eastAsia" w:ascii="仿宋_GB2312" w:hAnsi="Times New Roman" w:eastAsia="仿宋_GB2312" w:cs="Times New Roman"/>
          <w:b/>
          <w:color w:val="000000"/>
          <w:spacing w:val="-2"/>
          <w:sz w:val="32"/>
          <w:szCs w:val="32"/>
          <w:lang w:eastAsia="zh-CN"/>
        </w:rPr>
        <w:t>补充当年</w:t>
      </w:r>
      <w:r>
        <w:rPr>
          <w:rFonts w:hint="eastAsia" w:ascii="仿宋_GB2312" w:hAnsi="Times New Roman" w:eastAsia="仿宋_GB2312" w:cs="Times New Roman"/>
          <w:b/>
          <w:color w:val="000000"/>
          <w:spacing w:val="-2"/>
          <w:sz w:val="32"/>
          <w:szCs w:val="32"/>
          <w:lang w:val="en-US" w:eastAsia="zh-CN"/>
        </w:rPr>
        <w:t>使用的所有</w:t>
      </w:r>
      <w:r>
        <w:rPr>
          <w:rFonts w:hint="eastAsia" w:ascii="仿宋_GB2312" w:hAnsi="Times New Roman" w:eastAsia="仿宋_GB2312" w:cs="Times New Roman"/>
          <w:b/>
          <w:color w:val="000000"/>
          <w:spacing w:val="-2"/>
          <w:sz w:val="32"/>
          <w:szCs w:val="32"/>
          <w:lang w:eastAsia="zh-CN"/>
        </w:rPr>
        <w:t>支出功能分类项级科目名词解释，例如：</w:t>
      </w:r>
    </w:p>
    <w:p w14:paraId="401D63C3">
      <w:pPr>
        <w:numPr>
          <w:ilvl w:val="0"/>
          <w:numId w:val="0"/>
        </w:numPr>
        <w:ind w:firstLine="632" w:firstLineChars="200"/>
        <w:rPr>
          <w:rFonts w:hint="eastAsia" w:ascii="仿宋_GB2312" w:eastAsia="仿宋_GB2312"/>
          <w:sz w:val="28"/>
          <w:szCs w:val="28"/>
          <w:lang w:val="en-US" w:eastAsia="zh-CN"/>
        </w:rPr>
      </w:pPr>
      <w:r>
        <w:rPr>
          <w:rFonts w:hint="eastAsia" w:ascii="仿宋_GB2312" w:hAnsi="Times New Roman" w:eastAsia="仿宋_GB2312" w:cs="Times New Roman"/>
          <w:b/>
          <w:color w:val="000000"/>
          <w:spacing w:val="-2"/>
          <w:sz w:val="32"/>
          <w:szCs w:val="32"/>
          <w:lang w:val="en-US" w:eastAsia="zh-CN"/>
        </w:rPr>
        <w:t>一般公共服务支出（类）人大事务（款）行政运行（项）：反映行政单位（包括实行公务员管理的事业单位）的基本支出</w:t>
      </w:r>
      <w:r>
        <w:rPr>
          <w:rFonts w:hint="eastAsia" w:ascii="仿宋_GB2312" w:eastAsia="仿宋_GB2312"/>
          <w:sz w:val="28"/>
          <w:szCs w:val="28"/>
          <w:lang w:val="en-US" w:eastAsia="zh-CN"/>
        </w:rPr>
        <w:t>。</w:t>
      </w:r>
    </w:p>
    <w:p w14:paraId="42DB453F">
      <w:pPr>
        <w:jc w:val="both"/>
        <w:rPr>
          <w:rFonts w:hint="eastAsia" w:ascii="黑体" w:eastAsia="黑体"/>
          <w:sz w:val="32"/>
          <w:szCs w:val="32"/>
        </w:rPr>
      </w:pPr>
    </w:p>
    <w:p w14:paraId="4C456F95">
      <w:pPr>
        <w:tabs>
          <w:tab w:val="center" w:pos="6979"/>
        </w:tabs>
        <w:spacing w:line="380" w:lineRule="exact"/>
        <w:jc w:val="center"/>
        <w:rPr>
          <w:rFonts w:ascii="宋体" w:hAnsi="宋体" w:cs="宋体"/>
          <w:b/>
          <w:bCs/>
          <w:kern w:val="0"/>
          <w:sz w:val="28"/>
          <w:szCs w:val="28"/>
        </w:rPr>
      </w:pPr>
    </w:p>
    <w:p w14:paraId="20C89164">
      <w:pPr>
        <w:tabs>
          <w:tab w:val="center" w:pos="6979"/>
        </w:tabs>
        <w:spacing w:line="380" w:lineRule="exact"/>
        <w:jc w:val="center"/>
        <w:rPr>
          <w:rFonts w:ascii="宋体" w:hAnsi="宋体" w:cs="宋体"/>
          <w:b/>
          <w:bCs/>
          <w:kern w:val="0"/>
          <w:sz w:val="28"/>
          <w:szCs w:val="28"/>
        </w:rPr>
      </w:pPr>
    </w:p>
    <w:p w14:paraId="700EF3FC">
      <w:pPr>
        <w:jc w:val="both"/>
        <w:rPr>
          <w:rFonts w:hint="eastAsia" w:ascii="黑体" w:eastAsia="黑体"/>
          <w:sz w:val="32"/>
          <w:szCs w:val="32"/>
        </w:rPr>
      </w:pPr>
    </w:p>
    <w:p w14:paraId="0259CFF7">
      <w:pPr>
        <w:ind w:firstLine="640" w:firstLineChars="200"/>
        <w:jc w:val="center"/>
        <w:rPr>
          <w:rFonts w:hint="eastAsia" w:ascii="黑体" w:eastAsia="黑体"/>
          <w:sz w:val="32"/>
          <w:szCs w:val="32"/>
        </w:rPr>
      </w:pPr>
    </w:p>
    <w:p w14:paraId="14BB7B84">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14:paraId="72232B79">
      <w:pPr>
        <w:ind w:firstLine="560" w:firstLineChars="200"/>
        <w:rPr>
          <w:rFonts w:hint="eastAsia" w:ascii="黑体" w:eastAsia="黑体"/>
          <w:sz w:val="28"/>
          <w:szCs w:val="28"/>
          <w:highlight w:val="yellow"/>
        </w:rPr>
      </w:pPr>
    </w:p>
    <w:p w14:paraId="3837BE52">
      <w:pPr>
        <w:numPr>
          <w:ilvl w:val="0"/>
          <w:numId w:val="1"/>
        </w:numPr>
        <w:ind w:firstLine="560" w:firstLineChars="200"/>
        <w:rPr>
          <w:rFonts w:hint="eastAsia" w:ascii="黑体" w:eastAsia="黑体"/>
          <w:sz w:val="28"/>
          <w:szCs w:val="28"/>
          <w:lang w:eastAsia="zh-CN"/>
        </w:rPr>
      </w:pPr>
      <w:r>
        <w:rPr>
          <w:rFonts w:hint="eastAsia" w:ascii="黑体" w:eastAsia="黑体"/>
          <w:sz w:val="28"/>
          <w:szCs w:val="28"/>
          <w:highlight w:val="none"/>
        </w:rPr>
        <w:t>部门整体绩效评价报告</w:t>
      </w:r>
      <w:r>
        <w:rPr>
          <w:rFonts w:hint="eastAsia" w:ascii="黑体" w:eastAsia="黑体"/>
          <w:sz w:val="28"/>
          <w:szCs w:val="28"/>
          <w:lang w:eastAsia="zh-CN"/>
        </w:rPr>
        <w:t>（详见附件）</w:t>
      </w:r>
    </w:p>
    <w:p w14:paraId="28DC64EF">
      <w:pPr>
        <w:numPr>
          <w:ilvl w:val="0"/>
          <w:numId w:val="1"/>
        </w:numPr>
        <w:ind w:firstLine="560" w:firstLineChars="200"/>
        <w:rPr>
          <w:rFonts w:hint="eastAsia" w:ascii="黑体" w:eastAsia="黑体"/>
          <w:sz w:val="28"/>
          <w:szCs w:val="28"/>
          <w:lang w:eastAsia="zh-CN"/>
        </w:rPr>
      </w:pPr>
      <w:r>
        <w:rPr>
          <w:rFonts w:hint="eastAsia" w:ascii="黑体" w:eastAsia="黑体"/>
          <w:sz w:val="28"/>
          <w:szCs w:val="28"/>
        </w:rPr>
        <w:t>项目支出绩效评价报告</w:t>
      </w:r>
      <w:r>
        <w:rPr>
          <w:rFonts w:hint="eastAsia" w:ascii="黑体" w:eastAsia="黑体"/>
          <w:sz w:val="28"/>
          <w:szCs w:val="28"/>
          <w:lang w:eastAsia="zh-CN"/>
        </w:rPr>
        <w:t>（详见附件）</w:t>
      </w:r>
      <w:bookmarkStart w:id="0" w:name="_GoBack"/>
      <w:bookmarkEnd w:id="0"/>
    </w:p>
    <w:p w14:paraId="2C433681">
      <w:pPr>
        <w:numPr>
          <w:ilvl w:val="0"/>
          <w:numId w:val="1"/>
        </w:numPr>
        <w:ind w:firstLine="560" w:firstLineChars="200"/>
        <w:rPr>
          <w:rFonts w:ascii="黑体" w:eastAsia="黑体"/>
          <w:sz w:val="28"/>
          <w:szCs w:val="28"/>
        </w:rPr>
      </w:pP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lang w:eastAsia="zh-CN"/>
        </w:rPr>
        <w:t>（详见附件）</w:t>
      </w:r>
    </w:p>
    <w:p w14:paraId="0ACF847B">
      <w:pPr>
        <w:spacing w:line="480" w:lineRule="exact"/>
        <w:rPr>
          <w:rFonts w:hint="eastAsia" w:ascii="仿宋_GB2312" w:hAnsi="仿宋_GB2312" w:eastAsia="仿宋_GB2312" w:cs="仿宋_GB2312"/>
          <w:sz w:val="32"/>
          <w:szCs w:val="32"/>
        </w:rPr>
      </w:pPr>
    </w:p>
    <w:p w14:paraId="5D01D231">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900AA">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609260EF">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F35C9">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43A770EC">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B655A">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732E402E">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E84BE"/>
    <w:multiLevelType w:val="singleLevel"/>
    <w:tmpl w:val="8D7E84B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BA148CA"/>
    <w:rsid w:val="0C1165C4"/>
    <w:rsid w:val="0D6D544B"/>
    <w:rsid w:val="0DD136FE"/>
    <w:rsid w:val="0F8E2C57"/>
    <w:rsid w:val="1059665E"/>
    <w:rsid w:val="10AC13BA"/>
    <w:rsid w:val="145A6C1B"/>
    <w:rsid w:val="14B73493"/>
    <w:rsid w:val="167A2FF9"/>
    <w:rsid w:val="18581C69"/>
    <w:rsid w:val="1AEC0734"/>
    <w:rsid w:val="1DEF20B0"/>
    <w:rsid w:val="214243FA"/>
    <w:rsid w:val="21AD613C"/>
    <w:rsid w:val="22467189"/>
    <w:rsid w:val="257A14F5"/>
    <w:rsid w:val="27196C26"/>
    <w:rsid w:val="29EF086F"/>
    <w:rsid w:val="2EFFE297"/>
    <w:rsid w:val="2F351945"/>
    <w:rsid w:val="301437CA"/>
    <w:rsid w:val="349D1F0A"/>
    <w:rsid w:val="34DD0473"/>
    <w:rsid w:val="3C684897"/>
    <w:rsid w:val="433E495C"/>
    <w:rsid w:val="489F2FD7"/>
    <w:rsid w:val="4AC27CB3"/>
    <w:rsid w:val="4BF72BEF"/>
    <w:rsid w:val="4FA90297"/>
    <w:rsid w:val="4FC41A43"/>
    <w:rsid w:val="51DB3C59"/>
    <w:rsid w:val="550C0952"/>
    <w:rsid w:val="55762E42"/>
    <w:rsid w:val="57A7B272"/>
    <w:rsid w:val="58470068"/>
    <w:rsid w:val="58747CAC"/>
    <w:rsid w:val="5A1720F9"/>
    <w:rsid w:val="5B9C37C2"/>
    <w:rsid w:val="5BA7C654"/>
    <w:rsid w:val="60A54109"/>
    <w:rsid w:val="61D01CDF"/>
    <w:rsid w:val="64C0607C"/>
    <w:rsid w:val="65756C86"/>
    <w:rsid w:val="674D385B"/>
    <w:rsid w:val="676F09E1"/>
    <w:rsid w:val="7357290B"/>
    <w:rsid w:val="798524E4"/>
    <w:rsid w:val="7A7F1C49"/>
    <w:rsid w:val="7B5B7AE6"/>
    <w:rsid w:val="7B7B6628"/>
    <w:rsid w:val="7BA7071E"/>
    <w:rsid w:val="7BDF6DA8"/>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693.73</c:v>
                </c:pt>
                <c:pt idx="1">
                  <c:v>0</c:v>
                </c:pt>
                <c:pt idx="2">
                  <c:v>0</c:v>
                </c:pt>
                <c:pt idx="3">
                  <c:v>0</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023f683a-5489-4b26-8385-8d7960395728}"/>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471.63</c:v>
                </c:pt>
                <c:pt idx="1">
                  <c:v>222.1</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f5d62c92-82b6-4336-888e-9d9740744178}"/>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3440</Words>
  <Characters>3897</Characters>
  <Lines>44</Lines>
  <Paragraphs>12</Paragraphs>
  <TotalTime>20</TotalTime>
  <ScaleCrop>false</ScaleCrop>
  <LinksUpToDate>false</LinksUpToDate>
  <CharactersWithSpaces>3918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1+1</cp:lastModifiedBy>
  <cp:lastPrinted>2020-08-07T11:39:00Z</cp:lastPrinted>
  <dcterms:modified xsi:type="dcterms:W3CDTF">2025-09-01T03:15:53Z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435078ACFECC4A5A8A519EF4C3681114_13</vt:lpwstr>
  </property>
  <property fmtid="{D5CDD505-2E9C-101B-9397-08002B2CF9AE}" pid="4" name="KSOTemplateDocerSaveRecord">
    <vt:lpwstr>eyJoZGlkIjoiZjlkY2UwMzA3NWFkNTJlZjY1MzQ5N2NjZDA3OGU2YjgiLCJ1c2VySWQiOiI0MjI5ODUyODIifQ==</vt:lpwstr>
  </property>
</Properties>
</file>