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6A9AA0">
      <w:pPr>
        <w:spacing w:line="640" w:lineRule="exact"/>
        <w:jc w:val="center"/>
        <w:rPr>
          <w:rFonts w:hint="eastAsia" w:ascii="仿宋_GB2312" w:hAnsi="Times New Roman" w:eastAsia="仿宋_GB2312" w:cs="Times New Roman"/>
          <w:b/>
          <w:sz w:val="44"/>
          <w:szCs w:val="44"/>
        </w:rPr>
      </w:pPr>
    </w:p>
    <w:p w14:paraId="336F1D6E">
      <w:pPr>
        <w:jc w:val="center"/>
        <w:rPr>
          <w:rFonts w:ascii="Times New Roman" w:hAnsi="Times New Roman" w:eastAsia="宋体" w:cs="Times New Roman"/>
          <w:sz w:val="52"/>
          <w:szCs w:val="52"/>
        </w:rPr>
      </w:pPr>
      <w:bookmarkStart w:id="0" w:name="_Toc396293517"/>
      <w:bookmarkStart w:id="1" w:name="_Toc380588482"/>
      <w:r>
        <w:rPr>
          <w:rFonts w:hint="eastAsia" w:ascii="Times New Roman" w:hAnsi="Times New Roman" w:eastAsia="宋体" w:cs="Times New Roman"/>
          <w:b/>
          <w:sz w:val="52"/>
          <w:szCs w:val="52"/>
        </w:rPr>
        <w:t>2024年律师调解劳动争议案件补贴项目支出绩效报告</w:t>
      </w:r>
      <w:bookmarkEnd w:id="0"/>
      <w:bookmarkEnd w:id="1"/>
    </w:p>
    <w:p w14:paraId="2EA8406E">
      <w:pPr>
        <w:adjustRightInd w:val="0"/>
        <w:snapToGrid w:val="0"/>
        <w:spacing w:before="100" w:beforeAutospacing="1" w:after="100" w:afterAutospacing="1" w:line="312" w:lineRule="auto"/>
        <w:ind w:firstLine="600"/>
        <w:jc w:val="center"/>
        <w:rPr>
          <w:rFonts w:ascii="仿宋_GB2312" w:hAnsi="Times New Roman" w:eastAsia="宋体" w:cs="Times New Roman"/>
          <w:sz w:val="30"/>
          <w:szCs w:val="30"/>
        </w:rPr>
      </w:pPr>
    </w:p>
    <w:p w14:paraId="37E3E4DC">
      <w:pPr>
        <w:spacing w:before="100" w:beforeAutospacing="1" w:after="100" w:afterAutospacing="1" w:line="312" w:lineRule="auto"/>
        <w:jc w:val="center"/>
        <w:rPr>
          <w:rFonts w:ascii="仿宋_GB2312" w:hAnsi="宋体" w:eastAsia="宋体" w:cs="Times New Roman"/>
          <w:sz w:val="32"/>
          <w:szCs w:val="32"/>
        </w:rPr>
      </w:pPr>
      <w:r>
        <w:rPr>
          <w:rFonts w:hint="eastAsia" w:ascii="仿宋_GB2312" w:hAnsi="宋体" w:eastAsia="宋体" w:cs="Times New Roman"/>
          <w:sz w:val="32"/>
          <w:szCs w:val="32"/>
        </w:rPr>
        <w:t>（</w:t>
      </w:r>
      <w:r>
        <w:rPr>
          <w:rFonts w:hint="eastAsia" w:ascii="仿宋_GB2312" w:hAnsi="宋体" w:eastAsia="宋体" w:cs="Times New Roman"/>
          <w:sz w:val="32"/>
          <w:szCs w:val="32"/>
          <w:lang w:val="en-US" w:eastAsia="zh-CN"/>
        </w:rPr>
        <w:t>2024</w:t>
      </w:r>
      <w:r>
        <w:rPr>
          <w:rFonts w:hint="eastAsia" w:ascii="仿宋_GB2312" w:hAnsi="宋体" w:eastAsia="宋体" w:cs="Times New Roman"/>
          <w:sz w:val="32"/>
          <w:szCs w:val="32"/>
        </w:rPr>
        <w:t>年度）</w:t>
      </w:r>
    </w:p>
    <w:p w14:paraId="575035BB">
      <w:pPr>
        <w:spacing w:before="100" w:beforeAutospacing="1" w:after="100" w:afterAutospacing="1" w:line="312" w:lineRule="auto"/>
        <w:ind w:firstLine="600"/>
        <w:rPr>
          <w:rFonts w:ascii="仿宋_GB2312" w:hAnsi="Times New Roman" w:eastAsia="宋体" w:cs="Times New Roman"/>
          <w:sz w:val="30"/>
          <w:szCs w:val="24"/>
        </w:rPr>
      </w:pPr>
    </w:p>
    <w:p w14:paraId="1F69082E">
      <w:pPr>
        <w:spacing w:before="100" w:beforeAutospacing="1" w:after="100" w:afterAutospacing="1" w:line="312" w:lineRule="auto"/>
        <w:ind w:firstLine="600"/>
        <w:rPr>
          <w:rFonts w:ascii="仿宋_GB2312" w:hAnsi="Times New Roman" w:eastAsia="宋体" w:cs="Times New Roman"/>
          <w:sz w:val="30"/>
          <w:szCs w:val="24"/>
        </w:rPr>
      </w:pPr>
    </w:p>
    <w:p w14:paraId="767B381F">
      <w:pPr>
        <w:spacing w:before="100" w:beforeAutospacing="1" w:after="100" w:afterAutospacing="1" w:line="312" w:lineRule="auto"/>
        <w:ind w:firstLine="600"/>
        <w:rPr>
          <w:rFonts w:ascii="仿宋_GB2312" w:hAnsi="Times New Roman" w:eastAsia="宋体" w:cs="Times New Roman"/>
          <w:sz w:val="30"/>
          <w:szCs w:val="24"/>
        </w:rPr>
      </w:pPr>
    </w:p>
    <w:p w14:paraId="4B27C2E0">
      <w:pPr>
        <w:spacing w:before="100" w:beforeAutospacing="1" w:after="100" w:afterAutospacing="1" w:line="312" w:lineRule="auto"/>
        <w:ind w:firstLine="600"/>
        <w:rPr>
          <w:rFonts w:ascii="仿宋_GB2312" w:hAnsi="Times New Roman" w:eastAsia="宋体" w:cs="Times New Roman"/>
          <w:sz w:val="30"/>
          <w:szCs w:val="24"/>
        </w:rPr>
      </w:pPr>
    </w:p>
    <w:p w14:paraId="467DBC07">
      <w:pPr>
        <w:spacing w:before="100" w:beforeAutospacing="1" w:after="100" w:afterAutospacing="1" w:line="312" w:lineRule="auto"/>
        <w:ind w:firstLine="600"/>
        <w:rPr>
          <w:rFonts w:ascii="仿宋_GB2312" w:hAnsi="Times New Roman" w:eastAsia="宋体" w:cs="Times New Roman"/>
          <w:sz w:val="30"/>
          <w:szCs w:val="24"/>
        </w:rPr>
      </w:pPr>
    </w:p>
    <w:p w14:paraId="442A4DE7">
      <w:pPr>
        <w:spacing w:before="100" w:beforeAutospacing="1" w:after="100" w:afterAutospacing="1" w:line="312" w:lineRule="auto"/>
        <w:ind w:firstLine="899" w:firstLineChars="281"/>
        <w:rPr>
          <w:rFonts w:ascii="仿宋_GB2312" w:hAnsi="宋体" w:eastAsia="宋体" w:cs="Times New Roman"/>
          <w:sz w:val="32"/>
          <w:szCs w:val="32"/>
          <w:u w:val="single"/>
        </w:rPr>
      </w:pPr>
    </w:p>
    <w:p w14:paraId="2A5CE0BB">
      <w:pPr>
        <w:spacing w:before="100" w:beforeAutospacing="1" w:after="100" w:afterAutospacing="1" w:line="312" w:lineRule="auto"/>
        <w:ind w:firstLine="899" w:firstLineChars="281"/>
        <w:rPr>
          <w:rFonts w:ascii="仿宋_GB2312" w:hAnsi="宋体" w:eastAsia="宋体" w:cs="Times New Roman"/>
          <w:sz w:val="32"/>
          <w:szCs w:val="32"/>
        </w:rPr>
      </w:pPr>
      <w:r>
        <w:rPr>
          <w:rFonts w:hint="eastAsia" w:ascii="仿宋_GB2312" w:hAnsi="宋体" w:eastAsia="宋体" w:cs="Times New Roman"/>
          <w:sz w:val="32"/>
          <w:szCs w:val="32"/>
        </w:rPr>
        <w:t>部门名称</w:t>
      </w:r>
      <w:r>
        <w:rPr>
          <w:rFonts w:hint="eastAsia" w:ascii="仿宋_GB2312" w:hAnsi="宋体" w:eastAsia="宋体" w:cs="Times New Roman"/>
          <w:sz w:val="32"/>
          <w:szCs w:val="32"/>
          <w:u w:val="single"/>
        </w:rPr>
        <w:t xml:space="preserve">  </w:t>
      </w:r>
      <w:r>
        <w:rPr>
          <w:rFonts w:hint="eastAsia" w:ascii="仿宋_GB2312" w:hAnsi="宋体" w:eastAsia="宋体" w:cs="Times New Roman"/>
          <w:sz w:val="32"/>
          <w:szCs w:val="32"/>
          <w:u w:val="single"/>
          <w:lang w:val="en-US" w:eastAsia="zh-CN"/>
        </w:rPr>
        <w:t xml:space="preserve">     </w:t>
      </w:r>
      <w:r>
        <w:rPr>
          <w:rFonts w:hint="eastAsia" w:ascii="仿宋_GB2312" w:hAnsi="宋体" w:eastAsia="宋体" w:cs="Times New Roman"/>
          <w:sz w:val="32"/>
          <w:szCs w:val="32"/>
          <w:u w:val="single"/>
          <w:lang w:eastAsia="zh-CN"/>
        </w:rPr>
        <w:t>西城区总工会</w:t>
      </w:r>
      <w:r>
        <w:rPr>
          <w:rFonts w:hint="eastAsia" w:ascii="仿宋_GB2312" w:hAnsi="宋体" w:eastAsia="宋体" w:cs="Times New Roman"/>
          <w:sz w:val="32"/>
          <w:szCs w:val="32"/>
          <w:u w:val="single"/>
          <w:lang w:val="en-US" w:eastAsia="zh-CN"/>
        </w:rPr>
        <w:t xml:space="preserve">       </w:t>
      </w:r>
      <w:r>
        <w:rPr>
          <w:rFonts w:hint="eastAsia" w:ascii="仿宋_GB2312" w:hAnsi="宋体" w:eastAsia="宋体" w:cs="Times New Roman"/>
          <w:sz w:val="32"/>
          <w:szCs w:val="32"/>
          <w:u w:val="single"/>
        </w:rPr>
        <w:t xml:space="preserve"> </w:t>
      </w:r>
    </w:p>
    <w:p w14:paraId="7405DE24">
      <w:pPr>
        <w:spacing w:before="100" w:beforeAutospacing="1" w:after="100" w:afterAutospacing="1" w:line="312" w:lineRule="auto"/>
        <w:ind w:firstLine="899" w:firstLineChars="281"/>
        <w:rPr>
          <w:rFonts w:ascii="仿宋_GB2312" w:hAnsi="宋体" w:eastAsia="宋体" w:cs="Times New Roman"/>
          <w:sz w:val="32"/>
          <w:szCs w:val="32"/>
        </w:rPr>
      </w:pPr>
      <w:r>
        <w:rPr>
          <w:rFonts w:hint="eastAsia" w:ascii="仿宋_GB2312" w:hAnsi="宋体" w:eastAsia="宋体" w:cs="Times New Roman"/>
          <w:sz w:val="32"/>
          <w:szCs w:val="32"/>
        </w:rPr>
        <w:t>项目名称</w:t>
      </w:r>
      <w:r>
        <w:rPr>
          <w:rFonts w:hint="eastAsia" w:ascii="仿宋_GB2312" w:hAnsi="宋体" w:eastAsia="宋体" w:cs="Times New Roman"/>
          <w:sz w:val="32"/>
          <w:szCs w:val="32"/>
          <w:u w:val="single"/>
        </w:rPr>
        <w:t xml:space="preserve">  </w:t>
      </w:r>
      <w:r>
        <w:rPr>
          <w:rFonts w:hint="eastAsia" w:ascii="仿宋_GB2312" w:hAnsi="宋体" w:eastAsia="宋体" w:cs="Times New Roman"/>
          <w:sz w:val="32"/>
          <w:szCs w:val="32"/>
          <w:u w:val="single"/>
          <w:lang w:eastAsia="zh-CN"/>
        </w:rPr>
        <w:t xml:space="preserve"> </w:t>
      </w:r>
      <w:r>
        <w:rPr>
          <w:rFonts w:hint="eastAsia" w:ascii="仿宋_GB2312" w:hAnsi="宋体" w:eastAsia="宋体" w:cs="Times New Roman"/>
          <w:sz w:val="32"/>
          <w:szCs w:val="32"/>
          <w:u w:val="single"/>
          <w:lang w:val="en-US" w:eastAsia="zh-CN"/>
        </w:rPr>
        <w:t>律师调解劳动争议案件补贴</w:t>
      </w:r>
      <w:r>
        <w:rPr>
          <w:rFonts w:hint="eastAsia" w:ascii="仿宋_GB2312" w:hAnsi="宋体" w:eastAsia="宋体" w:cs="Times New Roman"/>
          <w:sz w:val="32"/>
          <w:szCs w:val="32"/>
          <w:u w:val="single"/>
          <w:lang w:eastAsia="zh-CN"/>
        </w:rPr>
        <w:t xml:space="preserve">   </w:t>
      </w:r>
    </w:p>
    <w:p w14:paraId="7B9135F7">
      <w:pPr>
        <w:spacing w:before="100" w:beforeAutospacing="1" w:after="100" w:afterAutospacing="1" w:line="312" w:lineRule="auto"/>
        <w:ind w:firstLine="899" w:firstLineChars="281"/>
        <w:rPr>
          <w:rFonts w:hint="eastAsia" w:ascii="仿宋_GB2312" w:hAnsi="宋体" w:eastAsia="宋体" w:cs="Times New Roman"/>
          <w:sz w:val="32"/>
          <w:szCs w:val="32"/>
          <w:u w:val="single"/>
          <w:lang w:val="en-US" w:eastAsia="zh-CN"/>
        </w:rPr>
      </w:pPr>
      <w:r>
        <w:rPr>
          <w:rFonts w:hint="eastAsia" w:ascii="仿宋_GB2312" w:hAnsi="宋体" w:eastAsia="宋体" w:cs="Times New Roman"/>
          <w:sz w:val="32"/>
          <w:szCs w:val="32"/>
        </w:rPr>
        <w:t>填报日期</w:t>
      </w:r>
      <w:r>
        <w:rPr>
          <w:rFonts w:hint="eastAsia" w:ascii="仿宋_GB2312" w:hAnsi="宋体" w:eastAsia="宋体" w:cs="Times New Roman"/>
          <w:sz w:val="32"/>
          <w:szCs w:val="32"/>
          <w:u w:val="single"/>
        </w:rPr>
        <w:t xml:space="preserve">     </w:t>
      </w:r>
      <w:r>
        <w:rPr>
          <w:rFonts w:hint="eastAsia" w:ascii="仿宋_GB2312" w:hAnsi="宋体" w:eastAsia="宋体" w:cs="Times New Roman"/>
          <w:sz w:val="32"/>
          <w:szCs w:val="32"/>
          <w:u w:val="single"/>
          <w:lang w:val="en-US" w:eastAsia="zh-CN"/>
        </w:rPr>
        <w:t>2025年7月</w:t>
      </w:r>
      <w:r>
        <w:rPr>
          <w:rFonts w:hint="eastAsia" w:ascii="仿宋_GB2312" w:hAnsi="宋体" w:eastAsia="宋体" w:cs="Times New Roman"/>
          <w:sz w:val="32"/>
          <w:szCs w:val="32"/>
          <w:u w:val="single"/>
        </w:rPr>
        <w:t xml:space="preserve">             </w:t>
      </w:r>
      <w:r>
        <w:rPr>
          <w:rFonts w:hint="eastAsia" w:ascii="仿宋_GB2312" w:hAnsi="宋体" w:eastAsia="宋体" w:cs="Times New Roman"/>
          <w:sz w:val="32"/>
          <w:szCs w:val="32"/>
          <w:u w:val="single"/>
          <w:lang w:val="en-US" w:eastAsia="zh-CN"/>
        </w:rPr>
        <w:t xml:space="preserve"> </w:t>
      </w:r>
    </w:p>
    <w:p w14:paraId="37806D46">
      <w:pPr>
        <w:jc w:val="center"/>
        <w:rPr>
          <w:rFonts w:ascii="仿宋_GB2312" w:hAnsi="Times New Roman" w:eastAsia="宋体" w:cs="Times New Roman"/>
          <w:szCs w:val="24"/>
        </w:rPr>
      </w:pPr>
      <w:bookmarkStart w:id="2" w:name="_GoBack"/>
      <w:bookmarkEnd w:id="2"/>
      <w:r>
        <w:rPr>
          <w:rFonts w:ascii="仿宋_GB2312" w:hAnsi="宋体" w:eastAsia="宋体" w:cs="Times New Roman"/>
          <w:sz w:val="32"/>
          <w:szCs w:val="32"/>
          <w:u w:val="single"/>
        </w:rPr>
        <w:br w:type="page"/>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14:paraId="5CA953CD">
      <w:pPr>
        <w:jc w:val="center"/>
        <w:rPr>
          <w:rFonts w:ascii="仿宋_GB2312" w:hAnsi="Times New Roman" w:eastAsia="宋体" w:cs="Times New Roman"/>
          <w:szCs w:val="30"/>
        </w:rPr>
      </w:pPr>
    </w:p>
    <w:p w14:paraId="5463A479">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一、基本情况</w:t>
      </w:r>
    </w:p>
    <w:p w14:paraId="00DC1435">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（一）项目概况。</w:t>
      </w:r>
    </w:p>
    <w:p w14:paraId="70F36E28">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为充分发挥北京市劳动争议调解六方联动机制在构建和谐劳动关系、维护社会稳定方面的积极作用,全面调动市、区两级政府参与机制建设的积极性和主动性,切实维护广大职工的合法权益,不断满足广大职工日益增长的法律服务需求。根据《北京市劳动争议调解联动机制经费保障办法》及北京市劳动争议调处工作领导小组办公室所出具的《北京市劳动争议调解联动机制调解成功案件补贴明细表》，按季度向调解律师支付调解成功案件补贴。</w:t>
      </w:r>
    </w:p>
    <w:p w14:paraId="39EE1373">
      <w:pPr>
        <w:spacing w:line="600" w:lineRule="exact"/>
        <w:ind w:firstLine="440" w:firstLineChars="200"/>
        <w:outlineLvl w:val="0"/>
        <w:rPr>
          <w:rFonts w:hint="default"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2024年安排劳动争议调解案件补贴预算1008000元，年终执行预算1282200元。</w:t>
      </w:r>
    </w:p>
    <w:p w14:paraId="5C2F7769">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（二）项目绩效目标。包括总体目标和阶段性目标。</w:t>
      </w:r>
    </w:p>
    <w:p w14:paraId="3B3C4A2C">
      <w:pPr>
        <w:spacing w:line="600" w:lineRule="exact"/>
        <w:ind w:firstLine="440" w:firstLineChars="200"/>
        <w:rPr>
          <w:rFonts w:hint="eastAsia"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rPr>
        <w:t>总体目标</w:t>
      </w:r>
      <w:r>
        <w:rPr>
          <w:rFonts w:hint="eastAsia" w:ascii="宋体" w:hAnsi="宋体" w:eastAsia="宋体" w:cs="宋体"/>
          <w:color w:val="000000"/>
          <w:kern w:val="0"/>
          <w:sz w:val="22"/>
          <w:szCs w:val="24"/>
          <w:lang w:eastAsia="zh-CN"/>
        </w:rPr>
        <w:t>：按照成功案件补贴</w:t>
      </w:r>
      <w:r>
        <w:rPr>
          <w:rFonts w:hint="eastAsia" w:ascii="宋体" w:hAnsi="宋体" w:eastAsia="宋体" w:cs="宋体"/>
          <w:color w:val="000000"/>
          <w:kern w:val="0"/>
          <w:sz w:val="22"/>
          <w:szCs w:val="24"/>
          <w:lang w:val="en-US" w:eastAsia="zh-CN"/>
        </w:rPr>
        <w:t>2400元/件的标准，力争全年成功调解420件劳动争议案件；受理调解案件量达到同期仲裁部门受理案件量的30%，且调解成功率达到30%。</w:t>
      </w:r>
    </w:p>
    <w:p w14:paraId="201878D6">
      <w:pPr>
        <w:spacing w:line="600" w:lineRule="exact"/>
        <w:ind w:firstLine="440" w:firstLineChars="200"/>
        <w:rPr>
          <w:rFonts w:hint="default"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rPr>
        <w:t>阶段性目标</w:t>
      </w:r>
      <w:r>
        <w:rPr>
          <w:rFonts w:hint="eastAsia" w:ascii="宋体" w:hAnsi="宋体" w:eastAsia="宋体" w:cs="宋体"/>
          <w:color w:val="000000"/>
          <w:kern w:val="0"/>
          <w:sz w:val="22"/>
          <w:szCs w:val="24"/>
          <w:lang w:eastAsia="zh-CN"/>
        </w:rPr>
        <w:t>：根据北京市总工会下发的</w:t>
      </w:r>
      <w:r>
        <w:rPr>
          <w:rFonts w:hint="eastAsia" w:ascii="宋体" w:hAnsi="宋体" w:eastAsia="宋体" w:cs="宋体"/>
          <w:color w:val="000000"/>
          <w:kern w:val="0"/>
          <w:sz w:val="22"/>
          <w:szCs w:val="24"/>
        </w:rPr>
        <w:t>《北京市劳动争议调解联动机制调解成功案件补贴明细表》</w:t>
      </w:r>
      <w:r>
        <w:rPr>
          <w:rFonts w:hint="eastAsia" w:ascii="宋体" w:hAnsi="宋体" w:eastAsia="宋体" w:cs="宋体"/>
          <w:color w:val="000000"/>
          <w:kern w:val="0"/>
          <w:sz w:val="22"/>
          <w:szCs w:val="24"/>
          <w:lang w:eastAsia="zh-CN"/>
        </w:rPr>
        <w:t>，力争每季度支出进度达到当年预算金额的</w:t>
      </w:r>
      <w:r>
        <w:rPr>
          <w:rFonts w:hint="eastAsia" w:ascii="宋体" w:hAnsi="宋体" w:eastAsia="宋体" w:cs="宋体"/>
          <w:color w:val="000000"/>
          <w:kern w:val="0"/>
          <w:sz w:val="22"/>
          <w:szCs w:val="24"/>
          <w:lang w:val="en-US" w:eastAsia="zh-CN"/>
        </w:rPr>
        <w:t>25%。</w:t>
      </w:r>
    </w:p>
    <w:p w14:paraId="46B36E78">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二、绩效评价工作开展情况</w:t>
      </w:r>
    </w:p>
    <w:p w14:paraId="3041D186">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（一）绩效评价目的、对象和范围。</w:t>
      </w:r>
    </w:p>
    <w:p w14:paraId="3406DBF2">
      <w:pPr>
        <w:spacing w:line="600" w:lineRule="exact"/>
        <w:ind w:firstLine="440" w:firstLineChars="200"/>
        <w:rPr>
          <w:rFonts w:hint="eastAsia"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1.</w:t>
      </w:r>
      <w:r>
        <w:rPr>
          <w:rFonts w:hint="eastAsia" w:ascii="宋体" w:hAnsi="宋体" w:eastAsia="宋体" w:cs="宋体"/>
          <w:color w:val="000000"/>
          <w:kern w:val="0"/>
          <w:sz w:val="22"/>
          <w:szCs w:val="24"/>
          <w:lang w:eastAsia="zh-CN"/>
        </w:rPr>
        <w:t>目的：通过财政专项资金投入，为调解律师团队化解劳动纠纷、维护职工权益提供有力保障，</w:t>
      </w:r>
      <w:r>
        <w:rPr>
          <w:rFonts w:hint="eastAsia" w:ascii="宋体" w:hAnsi="宋体" w:eastAsia="宋体" w:cs="宋体"/>
          <w:color w:val="000000"/>
          <w:kern w:val="0"/>
          <w:sz w:val="22"/>
          <w:szCs w:val="24"/>
          <w:lang w:val="en-US" w:eastAsia="zh-CN"/>
        </w:rPr>
        <w:t>促进企业和谐劳动关系建设，切实发挥出财政专项资金作用。</w:t>
      </w:r>
    </w:p>
    <w:p w14:paraId="2734A78C">
      <w:pPr>
        <w:spacing w:line="600" w:lineRule="exact"/>
        <w:ind w:firstLine="440" w:firstLineChars="200"/>
        <w:rPr>
          <w:rFonts w:hint="eastAsia" w:ascii="宋体" w:hAnsi="宋体" w:eastAsia="宋体" w:cs="宋体"/>
          <w:color w:val="000000"/>
          <w:kern w:val="0"/>
          <w:sz w:val="22"/>
          <w:szCs w:val="24"/>
          <w:lang w:eastAsia="zh-CN"/>
        </w:rPr>
      </w:pPr>
      <w:r>
        <w:rPr>
          <w:rFonts w:hint="eastAsia" w:ascii="宋体" w:hAnsi="宋体" w:eastAsia="宋体" w:cs="宋体"/>
          <w:color w:val="000000"/>
          <w:kern w:val="0"/>
          <w:sz w:val="22"/>
          <w:szCs w:val="24"/>
          <w:lang w:val="en-US" w:eastAsia="zh-CN"/>
        </w:rPr>
        <w:t>2.</w:t>
      </w:r>
      <w:r>
        <w:rPr>
          <w:rFonts w:hint="eastAsia" w:ascii="宋体" w:hAnsi="宋体" w:eastAsia="宋体" w:cs="宋体"/>
          <w:color w:val="000000"/>
          <w:kern w:val="0"/>
          <w:sz w:val="22"/>
          <w:szCs w:val="24"/>
        </w:rPr>
        <w:t>对象</w:t>
      </w:r>
      <w:r>
        <w:rPr>
          <w:rFonts w:hint="eastAsia" w:ascii="宋体" w:hAnsi="宋体" w:eastAsia="宋体" w:cs="宋体"/>
          <w:color w:val="000000"/>
          <w:kern w:val="0"/>
          <w:sz w:val="22"/>
          <w:szCs w:val="24"/>
          <w:lang w:eastAsia="zh-CN"/>
        </w:rPr>
        <w:t>：西城区总工会劳动争议调解中心调解律师</w:t>
      </w:r>
    </w:p>
    <w:p w14:paraId="792A6B4E">
      <w:pPr>
        <w:spacing w:line="600" w:lineRule="exact"/>
        <w:ind w:firstLine="440" w:firstLineChars="200"/>
        <w:rPr>
          <w:rFonts w:hint="eastAsia"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3.</w:t>
      </w:r>
      <w:r>
        <w:rPr>
          <w:rFonts w:hint="eastAsia" w:ascii="宋体" w:hAnsi="宋体" w:eastAsia="宋体" w:cs="宋体"/>
          <w:color w:val="000000"/>
          <w:kern w:val="0"/>
          <w:sz w:val="22"/>
          <w:szCs w:val="24"/>
          <w:lang w:eastAsia="zh-CN"/>
        </w:rPr>
        <w:t>范围：西城区总工会劳动争议调解中心全年调解、法律宣传等各项工作</w:t>
      </w:r>
    </w:p>
    <w:p w14:paraId="1797EE33">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（二）绩效评价原则、评价指标体系（附表说明）、评价方法、评价标准等。</w:t>
      </w:r>
    </w:p>
    <w:p w14:paraId="16FE0C9E">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lang w:val="en-US" w:eastAsia="zh-CN"/>
        </w:rPr>
        <w:t>1.</w:t>
      </w:r>
      <w:r>
        <w:rPr>
          <w:rFonts w:hint="eastAsia" w:ascii="宋体" w:hAnsi="宋体" w:eastAsia="宋体" w:cs="宋体"/>
          <w:color w:val="000000"/>
          <w:kern w:val="0"/>
          <w:sz w:val="22"/>
          <w:szCs w:val="24"/>
        </w:rPr>
        <w:t>评价原则</w:t>
      </w:r>
    </w:p>
    <w:p w14:paraId="1FF4079B">
      <w:pPr>
        <w:spacing w:line="600" w:lineRule="exact"/>
        <w:ind w:firstLine="440" w:firstLineChars="200"/>
        <w:rPr>
          <w:rFonts w:hint="eastAsia" w:ascii="宋体" w:hAnsi="宋体" w:eastAsia="宋体" w:cs="宋体"/>
          <w:color w:val="000000"/>
          <w:kern w:val="0"/>
          <w:sz w:val="22"/>
          <w:szCs w:val="24"/>
          <w:lang w:eastAsia="zh-CN"/>
        </w:rPr>
      </w:pPr>
      <w:r>
        <w:rPr>
          <w:rFonts w:hint="eastAsia" w:ascii="宋体" w:hAnsi="宋体" w:eastAsia="宋体" w:cs="宋体"/>
          <w:color w:val="000000"/>
          <w:kern w:val="0"/>
          <w:sz w:val="22"/>
          <w:szCs w:val="24"/>
          <w:lang w:eastAsia="zh-CN"/>
        </w:rPr>
        <w:t>依据市总工会年度工作指标及西城区总工会工作要求，对劳动争议调解工作进行客观性、数值性、法律服务综合性评价。</w:t>
      </w:r>
    </w:p>
    <w:p w14:paraId="0F146727">
      <w:pPr>
        <w:spacing w:line="600" w:lineRule="exact"/>
        <w:ind w:firstLine="440" w:firstLineChars="200"/>
        <w:rPr>
          <w:rFonts w:hint="eastAsia" w:ascii="宋体" w:hAnsi="宋体" w:eastAsia="宋体" w:cs="宋体"/>
          <w:color w:val="000000"/>
          <w:kern w:val="0"/>
          <w:sz w:val="22"/>
          <w:szCs w:val="24"/>
          <w:lang w:eastAsia="zh-CN"/>
        </w:rPr>
      </w:pPr>
      <w:r>
        <w:rPr>
          <w:rFonts w:hint="eastAsia" w:ascii="宋体" w:hAnsi="宋体" w:eastAsia="宋体" w:cs="宋体"/>
          <w:color w:val="000000"/>
          <w:kern w:val="0"/>
          <w:sz w:val="22"/>
          <w:szCs w:val="24"/>
          <w:lang w:val="en-US" w:eastAsia="zh-CN"/>
        </w:rPr>
        <w:t>2.</w:t>
      </w:r>
      <w:r>
        <w:rPr>
          <w:rFonts w:hint="eastAsia" w:ascii="宋体" w:hAnsi="宋体" w:eastAsia="宋体" w:cs="宋体"/>
          <w:color w:val="000000"/>
          <w:kern w:val="0"/>
          <w:sz w:val="22"/>
          <w:szCs w:val="24"/>
        </w:rPr>
        <w:t>评价指标体系</w:t>
      </w:r>
    </w:p>
    <w:p w14:paraId="378B3C86">
      <w:pPr>
        <w:spacing w:line="600" w:lineRule="exact"/>
        <w:ind w:firstLine="440" w:firstLineChars="200"/>
        <w:rPr>
          <w:rFonts w:hint="eastAsia" w:ascii="宋体" w:hAnsi="宋体" w:eastAsia="宋体" w:cs="宋体"/>
          <w:color w:val="000000"/>
          <w:kern w:val="0"/>
          <w:sz w:val="22"/>
          <w:szCs w:val="24"/>
          <w:lang w:eastAsia="zh-CN"/>
        </w:rPr>
      </w:pPr>
      <w:r>
        <w:rPr>
          <w:rFonts w:hint="eastAsia" w:ascii="宋体" w:hAnsi="宋体" w:eastAsia="宋体" w:cs="宋体"/>
          <w:color w:val="000000"/>
          <w:kern w:val="0"/>
          <w:sz w:val="22"/>
          <w:szCs w:val="24"/>
          <w:lang w:eastAsia="zh-CN"/>
        </w:rPr>
        <w:t>一是数量指标，主要有调解成功案件；二是质量指标，主要有当年劳动争议调解案件受理比例和劳动争议案件调解成功率；三是时效指标，主要有是否按季度及时支付款项；四是成本指标，主要有调解成功案件补贴支付标准；五是社会效益指标，主要有律师团队法律服务提供情况；六是服务对象满意度指标，主要有律师提供调解服务后的被投诉情况。</w:t>
      </w:r>
    </w:p>
    <w:p w14:paraId="6FCB5E1F">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lang w:val="en-US" w:eastAsia="zh-CN"/>
        </w:rPr>
        <w:t>3.</w:t>
      </w:r>
      <w:r>
        <w:rPr>
          <w:rFonts w:hint="eastAsia" w:ascii="宋体" w:hAnsi="宋体" w:eastAsia="宋体" w:cs="宋体"/>
          <w:color w:val="000000"/>
          <w:kern w:val="0"/>
          <w:sz w:val="22"/>
          <w:szCs w:val="24"/>
        </w:rPr>
        <w:t>评价方法</w:t>
      </w:r>
    </w:p>
    <w:p w14:paraId="0242DAF9">
      <w:pPr>
        <w:spacing w:line="600" w:lineRule="exact"/>
        <w:ind w:firstLine="440" w:firstLineChars="200"/>
        <w:rPr>
          <w:rFonts w:hint="default"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根据评价指标体系，结合劳动争议调解年度工作情况，逐项进行打分。</w:t>
      </w:r>
    </w:p>
    <w:p w14:paraId="103E089B">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（三）绩效评价工作过程</w:t>
      </w:r>
    </w:p>
    <w:p w14:paraId="12F18045">
      <w:pPr>
        <w:spacing w:line="600" w:lineRule="exact"/>
        <w:ind w:firstLine="440" w:firstLineChars="20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lang w:val="en-US" w:eastAsia="zh-CN"/>
        </w:rPr>
        <w:t>一是听取律师团队年度工作报告，根据《律师团队考评办法》，由西城区总工会相关部门和区仲裁院进行打分；二是由项目主管部门形成工作报告，提交西城区总工会党组会审议，议定律师团队2024年度劳动争议调解工作最终评价情况。</w:t>
      </w:r>
    </w:p>
    <w:p w14:paraId="5E1C0CC2">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三、综合评价情况及评价结论（</w:t>
      </w:r>
      <w:r>
        <w:rPr>
          <w:rFonts w:hint="eastAsia" w:ascii="宋体" w:hAnsi="宋体" w:eastAsia="宋体" w:cs="宋体"/>
          <w:b/>
          <w:color w:val="000000"/>
          <w:kern w:val="0"/>
          <w:sz w:val="22"/>
          <w:szCs w:val="24"/>
          <w:lang w:eastAsia="zh-CN"/>
        </w:rPr>
        <w:t>详见</w:t>
      </w:r>
      <w:r>
        <w:rPr>
          <w:rFonts w:hint="eastAsia" w:ascii="宋体" w:hAnsi="宋体" w:eastAsia="宋体" w:cs="宋体"/>
          <w:b/>
          <w:color w:val="000000"/>
          <w:kern w:val="0"/>
          <w:sz w:val="22"/>
          <w:szCs w:val="24"/>
        </w:rPr>
        <w:t>评分表）</w:t>
      </w:r>
    </w:p>
    <w:p w14:paraId="76542DC8">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四、绩效评价指标分析</w:t>
      </w:r>
    </w:p>
    <w:p w14:paraId="0089032E">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（一）项目决策情况。</w:t>
      </w:r>
    </w:p>
    <w:p w14:paraId="0AE503E0">
      <w:pPr>
        <w:spacing w:line="600" w:lineRule="exact"/>
        <w:ind w:firstLine="440" w:firstLineChars="200"/>
        <w:outlineLvl w:val="0"/>
        <w:rPr>
          <w:rFonts w:hint="eastAsia" w:ascii="宋体" w:hAnsi="宋体" w:eastAsia="宋体" w:cs="宋体"/>
          <w:color w:val="000000"/>
          <w:kern w:val="0"/>
          <w:sz w:val="22"/>
          <w:szCs w:val="24"/>
          <w:lang w:eastAsia="zh-CN"/>
        </w:rPr>
      </w:pPr>
      <w:r>
        <w:rPr>
          <w:rFonts w:hint="eastAsia" w:ascii="宋体" w:hAnsi="宋体" w:eastAsia="宋体" w:cs="宋体"/>
          <w:color w:val="000000"/>
          <w:kern w:val="0"/>
          <w:sz w:val="22"/>
          <w:szCs w:val="24"/>
          <w:lang w:eastAsia="zh-CN"/>
        </w:rPr>
        <w:t>该项目为历年常规工作项目，在劳资双方劳动争议过程中发挥工会组织独有的作用，扮演疏导矛盾、化解矛盾的角色，快速解决纠纷，促进劳动关系的和谐稳定。</w:t>
      </w:r>
    </w:p>
    <w:p w14:paraId="1D21C335">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（二）项目过程情况。</w:t>
      </w:r>
    </w:p>
    <w:p w14:paraId="01845DB9">
      <w:pPr>
        <w:spacing w:line="600" w:lineRule="exact"/>
        <w:ind w:firstLine="440" w:firstLineChars="200"/>
        <w:outlineLvl w:val="0"/>
        <w:rPr>
          <w:rFonts w:hint="eastAsia"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eastAsia="zh-CN"/>
        </w:rPr>
        <w:t>分别于</w:t>
      </w:r>
      <w:r>
        <w:rPr>
          <w:rFonts w:hint="eastAsia" w:ascii="宋体" w:hAnsi="宋体" w:eastAsia="宋体" w:cs="宋体"/>
          <w:color w:val="000000"/>
          <w:kern w:val="0"/>
          <w:sz w:val="22"/>
          <w:szCs w:val="24"/>
          <w:lang w:val="en-US" w:eastAsia="zh-CN"/>
        </w:rPr>
        <w:t>2024年4月、10月按照市总工会</w:t>
      </w:r>
      <w:r>
        <w:rPr>
          <w:rFonts w:hint="eastAsia" w:ascii="宋体" w:hAnsi="宋体" w:eastAsia="宋体" w:cs="宋体"/>
          <w:color w:val="000000"/>
          <w:kern w:val="0"/>
          <w:sz w:val="22"/>
          <w:szCs w:val="24"/>
          <w:lang w:eastAsia="zh-CN"/>
        </w:rPr>
        <w:t>下发的</w:t>
      </w:r>
      <w:r>
        <w:rPr>
          <w:rFonts w:hint="eastAsia" w:ascii="宋体" w:hAnsi="宋体" w:eastAsia="宋体" w:cs="宋体"/>
          <w:color w:val="000000"/>
          <w:kern w:val="0"/>
          <w:sz w:val="22"/>
          <w:szCs w:val="24"/>
        </w:rPr>
        <w:t>《北京市劳动争议调解联动机制调解成功案件补贴明细表》</w:t>
      </w:r>
      <w:r>
        <w:rPr>
          <w:rFonts w:hint="eastAsia" w:ascii="宋体" w:hAnsi="宋体" w:eastAsia="宋体" w:cs="宋体"/>
          <w:color w:val="000000"/>
          <w:kern w:val="0"/>
          <w:sz w:val="22"/>
          <w:szCs w:val="24"/>
          <w:lang w:eastAsia="zh-CN"/>
        </w:rPr>
        <w:t>，按期支付补贴款项。</w:t>
      </w:r>
    </w:p>
    <w:p w14:paraId="02D982B9">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（三）项目产出情况。</w:t>
      </w:r>
    </w:p>
    <w:p w14:paraId="7F454A83">
      <w:pPr>
        <w:spacing w:line="600" w:lineRule="exact"/>
        <w:ind w:firstLine="440" w:firstLineChars="200"/>
        <w:outlineLvl w:val="0"/>
        <w:rPr>
          <w:rFonts w:hint="eastAsia" w:ascii="宋体" w:hAnsi="宋体" w:eastAsia="宋体" w:cs="宋体"/>
          <w:color w:val="000000"/>
          <w:kern w:val="0"/>
          <w:sz w:val="22"/>
          <w:szCs w:val="24"/>
          <w:lang w:eastAsia="zh-CN"/>
        </w:rPr>
      </w:pPr>
      <w:r>
        <w:rPr>
          <w:rFonts w:hint="eastAsia" w:ascii="宋体" w:hAnsi="宋体" w:eastAsia="宋体" w:cs="宋体"/>
          <w:color w:val="000000"/>
          <w:kern w:val="0"/>
          <w:sz w:val="22"/>
          <w:szCs w:val="24"/>
          <w:lang w:eastAsia="zh-CN"/>
        </w:rPr>
        <w:t>西城区总工会劳动争议调解中心</w:t>
      </w:r>
      <w:r>
        <w:rPr>
          <w:rFonts w:hint="eastAsia" w:ascii="宋体" w:hAnsi="宋体" w:eastAsia="宋体" w:cs="宋体"/>
          <w:color w:val="000000"/>
          <w:kern w:val="0"/>
          <w:sz w:val="22"/>
          <w:szCs w:val="24"/>
          <w:lang w:val="en-US" w:eastAsia="zh-CN"/>
        </w:rPr>
        <w:t>2024年</w:t>
      </w:r>
      <w:r>
        <w:rPr>
          <w:rFonts w:hint="eastAsia" w:ascii="宋体" w:hAnsi="宋体" w:eastAsia="宋体" w:cs="宋体"/>
          <w:color w:val="000000"/>
          <w:kern w:val="0"/>
          <w:sz w:val="22"/>
          <w:szCs w:val="24"/>
          <w:lang w:eastAsia="zh-CN"/>
        </w:rPr>
        <w:t>累计成功调解劳动争议案件</w:t>
      </w:r>
      <w:r>
        <w:rPr>
          <w:rFonts w:hint="eastAsia" w:ascii="宋体" w:hAnsi="宋体" w:eastAsia="宋体" w:cs="宋体"/>
          <w:color w:val="000000"/>
          <w:kern w:val="0"/>
          <w:sz w:val="22"/>
          <w:szCs w:val="24"/>
          <w:lang w:val="en-US" w:eastAsia="zh-CN"/>
        </w:rPr>
        <w:t>711</w:t>
      </w:r>
      <w:r>
        <w:rPr>
          <w:rFonts w:hint="eastAsia" w:ascii="宋体" w:hAnsi="宋体" w:eastAsia="宋体" w:cs="宋体"/>
          <w:color w:val="000000"/>
          <w:kern w:val="0"/>
          <w:sz w:val="22"/>
          <w:szCs w:val="24"/>
          <w:lang w:eastAsia="zh-CN"/>
        </w:rPr>
        <w:t>件，调解成功率为</w:t>
      </w:r>
      <w:r>
        <w:rPr>
          <w:rFonts w:hint="eastAsia" w:ascii="宋体" w:hAnsi="宋体" w:eastAsia="宋体" w:cs="宋体"/>
          <w:color w:val="000000"/>
          <w:kern w:val="0"/>
          <w:sz w:val="22"/>
          <w:szCs w:val="24"/>
          <w:lang w:val="en-US" w:eastAsia="zh-CN"/>
        </w:rPr>
        <w:t>32%，</w:t>
      </w:r>
      <w:r>
        <w:rPr>
          <w:rFonts w:hint="eastAsia" w:ascii="宋体" w:hAnsi="宋体" w:eastAsia="宋体" w:cs="宋体"/>
          <w:color w:val="000000"/>
          <w:kern w:val="0"/>
          <w:sz w:val="22"/>
          <w:szCs w:val="24"/>
          <w:lang w:eastAsia="zh-CN"/>
        </w:rPr>
        <w:t>为职工挽回经济损失2</w:t>
      </w:r>
      <w:r>
        <w:rPr>
          <w:rFonts w:hint="eastAsia" w:ascii="宋体" w:hAnsi="宋体" w:eastAsia="宋体" w:cs="宋体"/>
          <w:color w:val="000000"/>
          <w:kern w:val="0"/>
          <w:sz w:val="22"/>
          <w:szCs w:val="24"/>
          <w:lang w:val="en-US" w:eastAsia="zh-CN"/>
        </w:rPr>
        <w:t>6</w:t>
      </w:r>
      <w:r>
        <w:rPr>
          <w:rFonts w:hint="eastAsia" w:ascii="宋体" w:hAnsi="宋体" w:eastAsia="宋体" w:cs="宋体"/>
          <w:color w:val="000000"/>
          <w:kern w:val="0"/>
          <w:sz w:val="22"/>
          <w:szCs w:val="24"/>
          <w:lang w:eastAsia="zh-CN"/>
        </w:rPr>
        <w:t>00万元，配合西城区总工会开展“尊法守法·携手筑梦”法律服务行动，联合区人社局、区司法局、区住建委等部门深入施工工地等一线开展普法宣传，完成</w:t>
      </w:r>
      <w:r>
        <w:rPr>
          <w:rFonts w:hint="eastAsia" w:ascii="宋体" w:hAnsi="宋体" w:eastAsia="宋体" w:cs="宋体"/>
          <w:color w:val="000000"/>
          <w:kern w:val="0"/>
          <w:sz w:val="22"/>
          <w:szCs w:val="24"/>
          <w:lang w:val="en-US" w:eastAsia="zh-CN"/>
        </w:rPr>
        <w:t>10</w:t>
      </w:r>
      <w:r>
        <w:rPr>
          <w:rFonts w:hint="eastAsia" w:ascii="宋体" w:hAnsi="宋体" w:eastAsia="宋体" w:cs="宋体"/>
          <w:color w:val="000000"/>
          <w:kern w:val="0"/>
          <w:sz w:val="22"/>
          <w:szCs w:val="24"/>
          <w:lang w:eastAsia="zh-CN"/>
        </w:rPr>
        <w:t>场企业“法治体检”，现场解答</w:t>
      </w:r>
      <w:r>
        <w:rPr>
          <w:rFonts w:hint="eastAsia" w:ascii="宋体" w:hAnsi="宋体" w:eastAsia="宋体" w:cs="宋体"/>
          <w:color w:val="000000"/>
          <w:kern w:val="0"/>
          <w:sz w:val="22"/>
          <w:szCs w:val="24"/>
          <w:lang w:val="en-US" w:eastAsia="zh-CN"/>
        </w:rPr>
        <w:t>5</w:t>
      </w:r>
      <w:r>
        <w:rPr>
          <w:rFonts w:hint="eastAsia" w:ascii="宋体" w:hAnsi="宋体" w:eastAsia="宋体" w:cs="宋体"/>
          <w:color w:val="000000"/>
          <w:kern w:val="0"/>
          <w:sz w:val="22"/>
          <w:szCs w:val="24"/>
          <w:lang w:eastAsia="zh-CN"/>
        </w:rPr>
        <w:t>00余名职工法律问题。</w:t>
      </w:r>
    </w:p>
    <w:p w14:paraId="1B773C43">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（四）项目效益情况。</w:t>
      </w:r>
    </w:p>
    <w:p w14:paraId="7E123370">
      <w:pPr>
        <w:spacing w:line="600" w:lineRule="exact"/>
        <w:ind w:firstLine="440" w:firstLineChars="200"/>
        <w:outlineLvl w:val="0"/>
        <w:rPr>
          <w:rFonts w:hint="eastAsia" w:ascii="宋体" w:hAnsi="宋体" w:eastAsia="宋体" w:cs="宋体"/>
          <w:color w:val="000000"/>
          <w:kern w:val="0"/>
          <w:sz w:val="22"/>
          <w:szCs w:val="24"/>
        </w:rPr>
      </w:pPr>
      <w:r>
        <w:rPr>
          <w:rFonts w:hint="eastAsia" w:ascii="宋体" w:hAnsi="宋体" w:eastAsia="宋体" w:cs="宋体"/>
          <w:color w:val="000000"/>
          <w:kern w:val="0"/>
          <w:sz w:val="22"/>
          <w:szCs w:val="24"/>
        </w:rPr>
        <w:t>通过工会调解工作，快速解决劳资纠纷，以实现区劳动关系的和谐稳定。在劳资双方劳动争议过程中发挥工会组织独有的作用，扮演疏导矛盾、化解矛盾的角色，快速解决纠纷，促进劳动关系的和谐稳定。</w:t>
      </w:r>
    </w:p>
    <w:p w14:paraId="51258FB8">
      <w:pPr>
        <w:spacing w:line="600" w:lineRule="exact"/>
        <w:ind w:firstLine="442" w:firstLineChars="200"/>
        <w:rPr>
          <w:rFonts w:hint="eastAsia" w:ascii="宋体" w:hAnsi="宋体" w:eastAsia="宋体" w:cs="宋体"/>
          <w:b/>
          <w:color w:val="000000"/>
          <w:kern w:val="0"/>
          <w:sz w:val="22"/>
          <w:szCs w:val="24"/>
        </w:rPr>
      </w:pPr>
      <w:r>
        <w:rPr>
          <w:rFonts w:hint="eastAsia" w:ascii="宋体" w:hAnsi="宋体" w:eastAsia="宋体" w:cs="宋体"/>
          <w:b/>
          <w:color w:val="000000"/>
          <w:kern w:val="0"/>
          <w:sz w:val="22"/>
          <w:szCs w:val="24"/>
        </w:rPr>
        <w:t>五、主要经验及做法、存在的问题及原因分析</w:t>
      </w:r>
    </w:p>
    <w:p w14:paraId="5A783DBE">
      <w:pPr>
        <w:spacing w:line="600" w:lineRule="exact"/>
        <w:ind w:firstLine="440" w:firstLineChars="200"/>
        <w:outlineLvl w:val="0"/>
        <w:rPr>
          <w:rFonts w:hint="eastAsia" w:ascii="宋体" w:hAnsi="宋体" w:eastAsia="宋体" w:cs="宋体"/>
          <w:color w:val="000000"/>
          <w:kern w:val="0"/>
          <w:sz w:val="22"/>
          <w:szCs w:val="24"/>
          <w:lang w:eastAsia="zh-CN"/>
        </w:rPr>
      </w:pPr>
      <w:r>
        <w:rPr>
          <w:rFonts w:hint="eastAsia" w:ascii="宋体" w:hAnsi="宋体" w:eastAsia="宋体" w:cs="宋体"/>
          <w:color w:val="000000"/>
          <w:kern w:val="0"/>
          <w:sz w:val="22"/>
          <w:szCs w:val="24"/>
          <w:lang w:eastAsia="zh-CN"/>
        </w:rPr>
        <w:t>（一）主要经验及做法</w:t>
      </w:r>
    </w:p>
    <w:p w14:paraId="021FA0EF">
      <w:pPr>
        <w:spacing w:line="600" w:lineRule="exact"/>
        <w:ind w:firstLine="440" w:firstLineChars="200"/>
        <w:outlineLvl w:val="0"/>
        <w:rPr>
          <w:rFonts w:hint="eastAsia" w:ascii="宋体" w:hAnsi="宋体" w:eastAsia="宋体" w:cs="宋体"/>
          <w:color w:val="000000"/>
          <w:kern w:val="0"/>
          <w:sz w:val="22"/>
          <w:szCs w:val="24"/>
          <w:lang w:eastAsia="zh-CN"/>
        </w:rPr>
      </w:pPr>
      <w:r>
        <w:rPr>
          <w:rFonts w:hint="eastAsia" w:ascii="宋体" w:hAnsi="宋体" w:eastAsia="宋体" w:cs="宋体"/>
          <w:color w:val="000000"/>
          <w:kern w:val="0"/>
          <w:sz w:val="22"/>
          <w:szCs w:val="24"/>
          <w:lang w:eastAsia="zh-CN"/>
        </w:rPr>
        <w:t>将新就业形态劳动者维权服务摆在突出位置，与区仲裁院共同设立新就业形态劳动纠纷一站式调解中心，进一步完善一站式解纷机制建设。成立新业态劳动者法律服务队，按照“一月一主题”，形成每月一场法治体检、一场新就业形态劳动者法律服务、一场调解律师专场答疑“三个一”模式。以新建会企业、百人企业、劳动关系舆情较多的单位为重点，赴10家不同类型企业开展和谐劳动关系“法治体检”，切实提高“法治体检”质量和数量。升级“密室逃脱”普法游戏，借助“小哥服务月”、职工沟通日和基层劳动关系公共服务站点等平台，吸引职工体验。开设“工会律师1分钟说法”短视频栏目，2024年共上线10期。</w:t>
      </w:r>
    </w:p>
    <w:p w14:paraId="49B150DA">
      <w:pPr>
        <w:spacing w:line="600" w:lineRule="exact"/>
        <w:ind w:firstLine="440" w:firstLineChars="200"/>
        <w:outlineLvl w:val="0"/>
        <w:rPr>
          <w:rFonts w:hint="eastAsia" w:ascii="宋体" w:hAnsi="宋体" w:eastAsia="宋体" w:cs="宋体"/>
          <w:color w:val="000000"/>
          <w:kern w:val="0"/>
          <w:sz w:val="22"/>
          <w:szCs w:val="24"/>
          <w:lang w:eastAsia="zh-CN"/>
        </w:rPr>
      </w:pPr>
      <w:r>
        <w:rPr>
          <w:rFonts w:hint="eastAsia" w:ascii="宋体" w:hAnsi="宋体" w:eastAsia="宋体" w:cs="宋体"/>
          <w:color w:val="000000"/>
          <w:kern w:val="0"/>
          <w:sz w:val="22"/>
          <w:szCs w:val="24"/>
          <w:lang w:eastAsia="zh-CN"/>
        </w:rPr>
        <w:t>（二）存在问题及原因分析</w:t>
      </w:r>
    </w:p>
    <w:p w14:paraId="364A747F">
      <w:pPr>
        <w:spacing w:line="600" w:lineRule="exact"/>
        <w:ind w:firstLine="440" w:firstLineChars="200"/>
        <w:outlineLvl w:val="0"/>
        <w:rPr>
          <w:rFonts w:hint="eastAsia" w:ascii="宋体" w:hAnsi="宋体" w:eastAsia="宋体" w:cs="宋体"/>
          <w:color w:val="000000"/>
          <w:kern w:val="0"/>
          <w:sz w:val="22"/>
          <w:szCs w:val="24"/>
          <w:lang w:eastAsia="zh-CN"/>
        </w:rPr>
      </w:pPr>
      <w:r>
        <w:rPr>
          <w:rFonts w:hint="eastAsia" w:ascii="宋体" w:hAnsi="宋体" w:eastAsia="宋体" w:cs="宋体"/>
          <w:color w:val="000000"/>
          <w:kern w:val="0"/>
          <w:sz w:val="22"/>
          <w:szCs w:val="24"/>
          <w:lang w:val="en-US" w:eastAsia="zh-CN"/>
        </w:rPr>
        <w:t>一是律师团队与仲裁部门衔接不畅。调解律师与仲裁部门在分案、调解、结案、置换文书等环节，存在沟通不及时、衔接不畅等情形，造成案件处置拖延、文书置换不及时、劳动者重复跑路等问题，导致少数劳动者投诉。</w:t>
      </w:r>
    </w:p>
    <w:p w14:paraId="0E0DD2F5">
      <w:pPr>
        <w:spacing w:line="600" w:lineRule="exact"/>
        <w:ind w:firstLine="440" w:firstLineChars="200"/>
        <w:outlineLvl w:val="0"/>
        <w:rPr>
          <w:rFonts w:hint="eastAsia" w:ascii="宋体" w:hAnsi="宋体" w:eastAsia="宋体" w:cs="宋体"/>
          <w:color w:val="000000"/>
          <w:kern w:val="0"/>
          <w:sz w:val="22"/>
          <w:szCs w:val="24"/>
          <w:lang w:eastAsia="zh-CN"/>
        </w:rPr>
      </w:pPr>
      <w:r>
        <w:rPr>
          <w:rFonts w:hint="eastAsia" w:ascii="宋体" w:hAnsi="宋体" w:eastAsia="宋体" w:cs="宋体"/>
          <w:color w:val="000000"/>
          <w:kern w:val="0"/>
          <w:sz w:val="22"/>
          <w:szCs w:val="24"/>
          <w:lang w:eastAsia="zh-CN"/>
        </w:rPr>
        <w:t>二是律师队伍仍需加强管理。调解律师工作效率不均，8名调解律师的调解成功案件数量存在一定差距。个别律师存在调解积极性不足、调解水平不高及被职工投诉态度问题等情况。</w:t>
      </w:r>
    </w:p>
    <w:p w14:paraId="4FC772DF">
      <w:pPr>
        <w:spacing w:line="600" w:lineRule="exact"/>
        <w:ind w:firstLine="442" w:firstLineChars="200"/>
        <w:rPr>
          <w:rFonts w:hint="eastAsia" w:ascii="宋体" w:hAnsi="宋体" w:eastAsia="宋体" w:cs="宋体"/>
          <w:b/>
          <w:color w:val="000000"/>
          <w:kern w:val="0"/>
          <w:sz w:val="22"/>
          <w:szCs w:val="24"/>
        </w:rPr>
      </w:pPr>
      <w:r>
        <w:rPr>
          <w:rFonts w:hint="eastAsia" w:ascii="宋体" w:hAnsi="宋体" w:eastAsia="宋体" w:cs="宋体"/>
          <w:b/>
          <w:color w:val="000000"/>
          <w:kern w:val="0"/>
          <w:sz w:val="22"/>
          <w:szCs w:val="24"/>
        </w:rPr>
        <w:t>六、有关建议</w:t>
      </w:r>
    </w:p>
    <w:p w14:paraId="270196CC">
      <w:pPr>
        <w:spacing w:line="600" w:lineRule="exact"/>
        <w:ind w:firstLine="440" w:firstLineChars="200"/>
        <w:outlineLvl w:val="0"/>
        <w:rPr>
          <w:rFonts w:hint="eastAsia"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一是明确案前调解案件到期后需要延期具体操作，即原则上调解员在案件案前调解时限结束的前两个工作日内，向对接仲裁员提供当事人同意延期的凭证；延长调解期限的案件，延长期满后仍未调解成功的，由对接仲裁员按流程退案后处理。</w:t>
      </w:r>
    </w:p>
    <w:p w14:paraId="6F92CBF0">
      <w:pPr>
        <w:spacing w:line="600" w:lineRule="exact"/>
        <w:ind w:firstLine="440" w:firstLineChars="200"/>
        <w:outlineLvl w:val="0"/>
        <w:rPr>
          <w:rFonts w:hint="eastAsia"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二是明确工会调解律师团队原则上非特殊原因不再参与退案后案件的调解工作，工作重心以案前调解为主。案前调解正常调解周期为15日（目前为工作日），到期后如需延期继续调解的，调解员需向调解庭提供当事人同意延期凭证后，原则上可延长调解期15日（自然日）。到期后未调解成功案件按流程退案后处理。如有特殊情况请及时与调解庭对接仲裁员沟通。</w:t>
      </w:r>
    </w:p>
    <w:p w14:paraId="359F44CF">
      <w:pPr>
        <w:spacing w:line="600" w:lineRule="exact"/>
        <w:ind w:firstLine="440" w:firstLineChars="200"/>
        <w:outlineLvl w:val="0"/>
        <w:rPr>
          <w:rFonts w:hint="eastAsia" w:ascii="宋体" w:hAnsi="宋体" w:eastAsia="宋体" w:cs="宋体"/>
          <w:color w:val="000000"/>
          <w:kern w:val="0"/>
          <w:sz w:val="22"/>
          <w:szCs w:val="24"/>
          <w:lang w:val="en-US" w:eastAsia="zh-CN"/>
        </w:rPr>
      </w:pPr>
      <w:r>
        <w:rPr>
          <w:rFonts w:hint="eastAsia" w:ascii="宋体" w:hAnsi="宋体" w:eastAsia="宋体" w:cs="宋体"/>
          <w:color w:val="000000"/>
          <w:kern w:val="0"/>
          <w:sz w:val="22"/>
          <w:szCs w:val="24"/>
          <w:lang w:val="en-US" w:eastAsia="zh-CN"/>
        </w:rPr>
        <w:t>三是提供有针对性的法律服务。开展企业用工云体检活动，调解律师在开展案前调解过程中，对调解成功案件涉及的用人单位开展此项活动，用工云体检采取用人单位扫码答题形式开展，并为用人单位提供详尽的“体检报告”，进以规范用人单位用工，避免劳动争议发生。</w:t>
      </w:r>
    </w:p>
    <w:p w14:paraId="703EBB8D">
      <w:pPr>
        <w:spacing w:line="600" w:lineRule="exact"/>
        <w:ind w:firstLine="442" w:firstLineChars="200"/>
        <w:rPr>
          <w:rFonts w:hint="eastAsia" w:ascii="宋体" w:hAnsi="宋体" w:eastAsia="宋体" w:cs="宋体"/>
          <w:b/>
          <w:color w:val="000000"/>
          <w:kern w:val="0"/>
          <w:sz w:val="22"/>
          <w:szCs w:val="24"/>
        </w:rPr>
      </w:pPr>
      <w:r>
        <w:rPr>
          <w:rFonts w:hint="eastAsia" w:ascii="宋体" w:hAnsi="宋体" w:eastAsia="宋体" w:cs="宋体"/>
          <w:b/>
          <w:color w:val="000000"/>
          <w:kern w:val="0"/>
          <w:sz w:val="22"/>
          <w:szCs w:val="24"/>
        </w:rPr>
        <w:t>七、其他需要说明的问题</w:t>
      </w:r>
    </w:p>
    <w:p w14:paraId="329BF9B4">
      <w:pPr>
        <w:spacing w:line="600" w:lineRule="exact"/>
        <w:ind w:firstLine="442" w:firstLineChars="200"/>
        <w:rPr>
          <w:rFonts w:hint="eastAsia" w:ascii="宋体" w:hAnsi="宋体" w:eastAsia="宋体" w:cs="宋体"/>
          <w:b/>
          <w:color w:val="000000"/>
          <w:kern w:val="0"/>
          <w:sz w:val="22"/>
          <w:szCs w:val="24"/>
          <w:lang w:eastAsia="zh-CN"/>
        </w:rPr>
      </w:pPr>
      <w:r>
        <w:rPr>
          <w:rFonts w:hint="eastAsia" w:ascii="宋体" w:hAnsi="宋体" w:eastAsia="宋体" w:cs="宋体"/>
          <w:b/>
          <w:color w:val="000000"/>
          <w:kern w:val="0"/>
          <w:sz w:val="22"/>
          <w:szCs w:val="24"/>
          <w:lang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ECAE3">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14:paraId="4145A202">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kY2UwMzA3NWFkNTJlZjY1MzQ5N2NjZDA3OGU2YjgifQ=="/>
  </w:docVars>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17B66F3"/>
    <w:rsid w:val="08E74D16"/>
    <w:rsid w:val="0EB033FD"/>
    <w:rsid w:val="13E250F3"/>
    <w:rsid w:val="15197CA9"/>
    <w:rsid w:val="18AB01A9"/>
    <w:rsid w:val="198A7A59"/>
    <w:rsid w:val="268753B0"/>
    <w:rsid w:val="2B4F7268"/>
    <w:rsid w:val="2F885DFC"/>
    <w:rsid w:val="38772036"/>
    <w:rsid w:val="4CA706AC"/>
    <w:rsid w:val="501C6CBB"/>
    <w:rsid w:val="57064221"/>
    <w:rsid w:val="58F4433D"/>
    <w:rsid w:val="5C1178F0"/>
    <w:rsid w:val="5D9B28C6"/>
    <w:rsid w:val="601A03C0"/>
    <w:rsid w:val="64A51EA2"/>
    <w:rsid w:val="689A0C6D"/>
    <w:rsid w:val="6EB91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2355</Words>
  <Characters>2423</Characters>
  <Lines>8</Lines>
  <Paragraphs>2</Paragraphs>
  <TotalTime>1</TotalTime>
  <ScaleCrop>false</ScaleCrop>
  <LinksUpToDate>false</LinksUpToDate>
  <CharactersWithSpaces>2489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1+1</cp:lastModifiedBy>
  <cp:lastPrinted>2024-09-10T07:26:00Z</cp:lastPrinted>
  <dcterms:modified xsi:type="dcterms:W3CDTF">2025-08-22T08:19:39Z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AD78D5F05DFA463D8B26D08218F6B95A_12</vt:lpwstr>
  </property>
  <property fmtid="{D5CDD505-2E9C-101B-9397-08002B2CF9AE}" pid="4" name="KSOTemplateDocerSaveRecord">
    <vt:lpwstr>eyJoZGlkIjoiZjlkY2UwMzA3NWFkNTJlZjY1MzQ5N2NjZDA3OGU2YjgiLCJ1c2VySWQiOiI0MjI5ODUyODIifQ==</vt:lpwstr>
  </property>
</Properties>
</file>