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贯彻执行国家有关城市管理方面的法律、法规、规章、政策和北京市的有关规定；研究拟订本区环卫基础设施、市政公用事业、市容市貌、水务、交通发展等方面的中长期发展规划，并按相关工作标准和规范组织监督实施。</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（二）负责组织编制本区环境建设管理中长期发展规划；制定本区城市环境建设管理标准；负责统筹、协调、指挥和监督本区的城市环境建设管理工作。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负责本区环卫设施的规划和建设；承担清扫、保洁、垃圾分类收集、运输处理系统建设及监督、考核工作；负责再生资源回收行业的监督管理；负责扫雪铲冰应急管理工作；负责重大活动和重要节日的环境保障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（四）负责本区市容环境综合整治工作的组织、协调、检查、考核；负责制定本区市容环境卫生监督检查标准并监督执行。</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五）负责本区区属市政道路、桥梁、公共停车设施、环卫等基础设施的建设和安全监管工作；负责本区地下管线和地下设施的检查工作；负责本区地下综合管廊规划、建设和运营的综合协调管理及地下综合管廊运营的监督管理；承担检查井和井盖设施维护的监管责任。</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六）会同有关部门编制景观照明、户外广告及牌匾标识的专项规划；负责组织实施户外广告规划、指导牌匾标识规范设置，负责标语宣传品设置的行政许可；承担本区城市容貌管理责任；组织协调落实重点地区、重点街道景观的规划、建设和治理工作；组织协调管理城市道路公共服务设施工作；负责城市照明管理工作；监督照明设施的维护管理。</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（七）负责本区燃气、电力、煤炭、热力等能源的日常运行统筹协调及行业监管工作；承担气、电、煤、热常态化联调联供的协调工作。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（八）负责市政公用设施在本区发展规划的协调实施；负责本区住宅锅炉供暖管理及供暖单位资质备案管理工作；负责本区公用设施突发事件应急处置的协调工作。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（九）研究贯彻落实本区交通发展政策、措施；负责统筹协调本区交通基础设施建设工作；负责本区静态交通管理工作；负责本区个体出租汽车管理工作。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负责本区水务工作，负责制定全区河长制工作规划；负责海绵城市建设；负责水资源管理工作；开展水务执法工作；负责制定防汛应急预案，组织协调防汛抢排险等防汛工作；负责城市计划用水、节约用水监督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（十一）负责指导协调各街道、部门开展城市环境建设管理及环境秩序管控等相关工作；负责协调区相关城市管理业务部门工作；负责城市管理的宣传动员工作。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（十二）承担区政府和上级业务指导部门交办的其他事项。</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根据《北京市机构编制委员会关于同意设立北京市西城区城市管理委员会的批复》(京编委〔2017〕206号)精神，组建北京市西城区城市管理委员会（简称区城市管理委），挂北京市西城区城市环境建设管理委员会办公室（简称区环境建设管理办）、北京市西城区交通委员会（简称区交通委）、北京市西城区水务局（简称区水务局）的牌子。区城市管理委（区环境建设管理办、区交通委、区水务局）作为本区城市管理主管部门，是负责本区城市环境建设、城市管理的综合协调，市政基础设施、市政公用事业、市容环境卫生、能源日常运行、交通管理、水行政管理工作的区政府工作部门。</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[二] 北京市西城区个体出租汽车管理站</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负责对个体出租经营者及从业人员的经营活动和服务质量进行监督检查和日常管理；负责车辆燃油补贴的申报发放工作；协助有关部门做好人员资质、车辆的备案年审验车及运营车辆的更新工作；组织从业人员的教育培训；受理乘客投诉、对投诉内容进行调查了解并反馈。</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2．机构情况。北京市西城区个体出租汽车管理站是北京市西城区城市管理委员会下属全额拨款事业单位，是纳入202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年度部门决算汇编范围的独立核算二级单位，执行政府会计准则制度。当年无变动情况。</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[三] 北京市西城区人民政府节约用水办公室</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北京市西城区人民政府节约用水办公室（简称区节水办）是主管本区节水工作具有政府行政职能的事业单位。依照法规对驻区社会用水单位进行计划管理，开展创建节水型单位和节水型居民小区工作，推广应用节水新技术和改换装节水型器具，组织大型节水宣传咨询和多种形式的节水教育活动，对社会单位依法节水情况进行监督、检查。同时，依据有关法规对施工性临时用水指标、园林绿化环卫等临时用水指标、建设项目节水设施验收进行行政许可审批。依照法规对本行政区域内的节约用水违法行为进行执法监督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2．机构情况。北京市西城区人民政府节约用水办公室是区城管委下属全额拨款事业单位，是纳入202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[四] 北京市西城区交通综合治理中心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组织开展社区停车管理工作；组织实施停车资源共享工作；统筹规划全区停车资源，承担停车资源信息化的基础性工作；对全区停车管理工作提出合理化建议；负责辖区内停车场的巡查工作；负责各类停车投诉案件的核查及答复工作；负责路侧停车电子收费管理等事务性工作；负责非机动车停车管理及区域内共享单车的管理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2．机构情况。北京市西城区交通综合治理中心是北京市西城区城市管理委员会下属全额拨款事业单位，是纳入202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 xml:space="preserve">年度部门决算汇编范围的独立核算二级单位，执行政府会计制度。  </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[五] 北京市西城区水务管理中心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北京市西城区水务管理中心负责海绵城市建设工程的具体实施；负责再生水监督管理，推广再生水使用；负责地下水管理和自备井置换工作；负责水务监察和执法工作；负责水务管理相关辅助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2．机构情况。北京市西城区水务管理中心是区城管委下属全额拨款事业单位，是纳入202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[六] 北京市西城区市政市容管理中心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贯彻执行北京市渣土管理各项规定，负责本区范围内渣土管理工作；负责收集渣土消纳情况及统计渣土消纳数据，制定渣土管理的规划和计划；负责渣土消纳许可证核发的事务性工作；监督检查渣土运输单位和车辆；协助城管综合执法部门组织检查，组织协调相关部门对施工现场和渣土运输过程进行检查；协助开展对固体废弃物、城市大件垃圾管理对市政附属设施的管理检查等市政市容相关工作；研究提出市政市容管理工作建议。</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2．机构情况。北京市西城区市政市容管理中心是北京市西城区城市管理委员会下属全额拨款事业单位，是纳入202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年度部门决算汇编范围的独立核算二级单位，执行政府会计制度。</w:t>
      </w:r>
    </w:p>
    <w:p>
      <w:pPr>
        <w:snapToGrid w:val="0"/>
        <w:spacing w:line="520" w:lineRule="exact"/>
        <w:ind w:firstLine="640" w:firstLineChars="200"/>
        <w:rPr>
          <w:rFonts w:hint="eastAsia" w:ascii="仿宋_GB2312" w:hAnsi="仿宋" w:eastAsia="仿宋_GB2312"/>
          <w:b/>
          <w:sz w:val="32"/>
          <w:szCs w:val="32"/>
        </w:rPr>
      </w:pPr>
      <w:r>
        <w:rPr>
          <w:rFonts w:hint="eastAsia" w:ascii="仿宋_GB2312" w:hAnsi="仿宋" w:eastAsia="仿宋_GB2312"/>
          <w:b/>
          <w:sz w:val="32"/>
          <w:szCs w:val="32"/>
        </w:rPr>
        <w:t>[七] 北京市西城区城市管理综合行政执法局</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1．主要职能。(1).贯彻实施国家有关城市管理方面的法律、法规、规章、政策及本市的有关规定，治理和维护城市管理秩序。</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(2).负责本区城市管理综合行政执法工作的统筹协调和业务指导，研究提出完善本区城市管理综合行政执法体制的意见、建议和措施。</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(3).负责相关领域重大疑难复杂案件和跨区域案件的查处工作。</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(4).承担北京市城市管理综合行政执法局交办的有关行政执法工作。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(5).完成区委、区政府和区城市管理委交办的其他事项。</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154312.84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6.99</w:t>
      </w:r>
      <w:r>
        <w:rPr>
          <w:rFonts w:hint="eastAsia" w:ascii="仿宋_GB2312" w:eastAsia="仿宋_GB2312"/>
          <w:sz w:val="28"/>
          <w:szCs w:val="28"/>
        </w:rPr>
        <w:t>万元，下降</w:t>
      </w:r>
      <w:r>
        <w:rPr>
          <w:rFonts w:hint="eastAsia" w:ascii="仿宋_GB2312" w:eastAsia="仿宋_GB2312"/>
          <w:sz w:val="28"/>
          <w:szCs w:val="28"/>
          <w:lang w:val="en-US" w:eastAsia="zh-CN"/>
        </w:rPr>
        <w:t>31.18</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154312.84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6.99</w:t>
      </w:r>
      <w:r>
        <w:rPr>
          <w:rFonts w:hint="eastAsia" w:ascii="仿宋_GB2312" w:eastAsia="仿宋_GB2312"/>
          <w:sz w:val="28"/>
          <w:szCs w:val="28"/>
        </w:rPr>
        <w:t>万元，下降</w:t>
      </w:r>
      <w:r>
        <w:rPr>
          <w:rFonts w:hint="eastAsia" w:ascii="仿宋_GB2312" w:eastAsia="仿宋_GB2312"/>
          <w:sz w:val="28"/>
          <w:szCs w:val="28"/>
          <w:lang w:val="en-US" w:eastAsia="zh-CN"/>
        </w:rPr>
        <w:t>31.18</w:t>
      </w:r>
      <w:r>
        <w:rPr>
          <w:rFonts w:hint="eastAsia" w:ascii="仿宋_GB2312" w:eastAsia="仿宋_GB2312"/>
          <w:sz w:val="28"/>
          <w:szCs w:val="28"/>
        </w:rPr>
        <w:t>%</w:t>
      </w:r>
      <w:r>
        <w:rPr>
          <w:rFonts w:hint="eastAsia" w:ascii="仿宋_GB2312" w:eastAsia="仿宋_GB2312"/>
          <w:sz w:val="28"/>
          <w:szCs w:val="28"/>
          <w:lang w:eastAsia="zh-CN"/>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154312.84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150481.84</w:t>
      </w:r>
      <w:r>
        <w:rPr>
          <w:rFonts w:hint="eastAsia" w:ascii="仿宋_GB2312" w:eastAsia="仿宋_GB2312"/>
          <w:sz w:val="28"/>
          <w:szCs w:val="28"/>
        </w:rPr>
        <w:t>万元，占收入合计的</w:t>
      </w:r>
      <w:r>
        <w:rPr>
          <w:rFonts w:hint="eastAsia" w:ascii="仿宋_GB2312" w:eastAsia="仿宋_GB2312"/>
          <w:sz w:val="28"/>
          <w:szCs w:val="28"/>
          <w:lang w:eastAsia="zh-CN"/>
        </w:rPr>
        <w:t>97.52</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3831</w:t>
      </w:r>
      <w:r>
        <w:rPr>
          <w:rFonts w:hint="eastAsia" w:ascii="仿宋_GB2312" w:eastAsia="仿宋_GB2312"/>
          <w:sz w:val="28"/>
          <w:szCs w:val="28"/>
        </w:rPr>
        <w:t>万元，占收入合计的</w:t>
      </w:r>
      <w:r>
        <w:rPr>
          <w:rFonts w:hint="eastAsia" w:ascii="仿宋_GB2312" w:eastAsia="仿宋_GB2312"/>
          <w:sz w:val="28"/>
          <w:szCs w:val="28"/>
          <w:lang w:eastAsia="zh-CN"/>
        </w:rPr>
        <w:t>2.48</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154312.84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6.99</w:t>
      </w:r>
      <w:r>
        <w:rPr>
          <w:rFonts w:hint="eastAsia" w:ascii="仿宋_GB2312" w:eastAsia="仿宋_GB2312"/>
          <w:sz w:val="28"/>
          <w:szCs w:val="28"/>
        </w:rPr>
        <w:t>万元，下降</w:t>
      </w:r>
      <w:r>
        <w:rPr>
          <w:rFonts w:hint="eastAsia" w:ascii="仿宋_GB2312" w:eastAsia="仿宋_GB2312"/>
          <w:sz w:val="28"/>
          <w:szCs w:val="28"/>
          <w:lang w:val="en-US" w:eastAsia="zh-CN"/>
        </w:rPr>
        <w:t>31.18</w:t>
      </w:r>
      <w:r>
        <w:rPr>
          <w:rFonts w:hint="eastAsia" w:ascii="仿宋_GB2312" w:eastAsia="仿宋_GB2312"/>
          <w:sz w:val="28"/>
          <w:szCs w:val="28"/>
        </w:rPr>
        <w:t>%，其中：基本支出</w:t>
      </w:r>
      <w:r>
        <w:rPr>
          <w:rFonts w:ascii="仿宋_GB2312" w:eastAsia="仿宋_GB2312"/>
          <w:sz w:val="28"/>
          <w:szCs w:val="28"/>
        </w:rPr>
        <w:t>9431.41</w:t>
      </w:r>
      <w:r>
        <w:rPr>
          <w:rFonts w:hint="eastAsia" w:ascii="仿宋_GB2312" w:eastAsia="仿宋_GB2312"/>
          <w:sz w:val="28"/>
          <w:szCs w:val="28"/>
        </w:rPr>
        <w:t>万元，占支出合计的</w:t>
      </w:r>
      <w:r>
        <w:rPr>
          <w:rFonts w:hint="eastAsia" w:ascii="仿宋_GB2312" w:eastAsia="仿宋_GB2312"/>
          <w:sz w:val="28"/>
          <w:szCs w:val="28"/>
          <w:lang w:eastAsia="zh-CN"/>
        </w:rPr>
        <w:t>6.11</w:t>
      </w:r>
      <w:r>
        <w:rPr>
          <w:rFonts w:hint="eastAsia" w:ascii="仿宋_GB2312" w:eastAsia="仿宋_GB2312"/>
          <w:sz w:val="28"/>
          <w:szCs w:val="28"/>
        </w:rPr>
        <w:t>%；项目支出</w:t>
      </w:r>
      <w:r>
        <w:rPr>
          <w:rFonts w:ascii="仿宋_GB2312" w:eastAsia="仿宋_GB2312"/>
          <w:sz w:val="28"/>
          <w:szCs w:val="28"/>
        </w:rPr>
        <w:t>144881.43</w:t>
      </w:r>
      <w:r>
        <w:rPr>
          <w:rFonts w:hint="eastAsia" w:ascii="仿宋_GB2312" w:eastAsia="仿宋_GB2312"/>
          <w:sz w:val="28"/>
          <w:szCs w:val="28"/>
        </w:rPr>
        <w:t>万元，占支出合计的</w:t>
      </w:r>
      <w:r>
        <w:rPr>
          <w:rFonts w:hint="eastAsia" w:ascii="仿宋_GB2312" w:eastAsia="仿宋_GB2312"/>
          <w:sz w:val="28"/>
          <w:szCs w:val="28"/>
          <w:lang w:eastAsia="zh-CN"/>
        </w:rPr>
        <w:t>93.89</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154312.84</w:t>
      </w:r>
      <w:r>
        <w:rPr>
          <w:rFonts w:hint="eastAsia" w:ascii="仿宋_GB2312" w:eastAsia="仿宋_GB2312"/>
          <w:sz w:val="28"/>
          <w:szCs w:val="28"/>
        </w:rPr>
        <w:t>万元，比上年减少</w:t>
      </w:r>
      <w:r>
        <w:rPr>
          <w:rFonts w:hint="eastAsia" w:ascii="仿宋_GB2312" w:eastAsia="仿宋_GB2312"/>
          <w:sz w:val="28"/>
          <w:szCs w:val="28"/>
          <w:lang w:val="en-US" w:eastAsia="zh-CN"/>
        </w:rPr>
        <w:t>6.99</w:t>
      </w:r>
      <w:r>
        <w:rPr>
          <w:rFonts w:hint="eastAsia" w:ascii="仿宋_GB2312" w:eastAsia="仿宋_GB2312"/>
          <w:sz w:val="28"/>
          <w:szCs w:val="28"/>
        </w:rPr>
        <w:t>万元，下降</w:t>
      </w:r>
      <w:r>
        <w:rPr>
          <w:rFonts w:hint="eastAsia" w:ascii="仿宋_GB2312" w:eastAsia="仿宋_GB2312"/>
          <w:sz w:val="28"/>
          <w:szCs w:val="28"/>
          <w:lang w:val="en-US" w:eastAsia="zh-CN"/>
        </w:rPr>
        <w:t>31.18%</w:t>
      </w:r>
      <w:r>
        <w:rPr>
          <w:rFonts w:hint="eastAsia" w:ascii="仿宋_GB2312" w:eastAsia="仿宋_GB2312"/>
          <w:sz w:val="28"/>
          <w:szCs w:val="28"/>
        </w:rPr>
        <w:t>。主要原因：本年依据区政府工作要求执行，</w:t>
      </w:r>
      <w:r>
        <w:rPr>
          <w:rFonts w:hint="eastAsia" w:ascii="仿宋_GB2312" w:eastAsia="仿宋_GB2312"/>
          <w:sz w:val="28"/>
          <w:szCs w:val="28"/>
          <w:lang w:eastAsia="zh-CN"/>
        </w:rPr>
        <w:t>落实过紧日子原则缩减预算，</w:t>
      </w:r>
      <w:r>
        <w:rPr>
          <w:rFonts w:hint="eastAsia" w:ascii="仿宋_GB2312" w:eastAsia="仿宋_GB2312"/>
          <w:sz w:val="28"/>
          <w:szCs w:val="28"/>
        </w:rPr>
        <w:t>严格按照工作进度进行支出和调整预算。</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150481.84</w:t>
      </w:r>
      <w:r>
        <w:rPr>
          <w:rFonts w:hint="eastAsia" w:ascii="仿宋_GB2312" w:eastAsia="仿宋_GB2312"/>
          <w:sz w:val="28"/>
          <w:szCs w:val="28"/>
        </w:rPr>
        <w:t>万元，主要用于以下方面：一般公共服务支出459</w:t>
      </w:r>
      <w:r>
        <w:rPr>
          <w:rFonts w:hint="eastAsia" w:ascii="仿宋_GB2312" w:eastAsia="仿宋_GB2312"/>
          <w:sz w:val="28"/>
          <w:szCs w:val="28"/>
          <w:lang w:val="en-US" w:eastAsia="zh-CN"/>
        </w:rPr>
        <w:t>.</w:t>
      </w:r>
      <w:r>
        <w:rPr>
          <w:rFonts w:hint="eastAsia" w:ascii="仿宋_GB2312" w:eastAsia="仿宋_GB2312"/>
          <w:sz w:val="28"/>
          <w:szCs w:val="28"/>
        </w:rPr>
        <w:t>04万元，占本年财政拨款支出</w:t>
      </w:r>
      <w:r>
        <w:rPr>
          <w:rFonts w:hint="eastAsia" w:ascii="仿宋_GB2312" w:eastAsia="仿宋_GB2312"/>
          <w:sz w:val="28"/>
          <w:szCs w:val="28"/>
          <w:lang w:val="en-US" w:eastAsia="zh-CN"/>
        </w:rPr>
        <w:t>0.31</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社会保障和就业支出1,297.78</w:t>
      </w:r>
      <w:r>
        <w:rPr>
          <w:rFonts w:hint="eastAsia" w:ascii="仿宋_GB2312" w:eastAsia="仿宋_GB2312"/>
          <w:sz w:val="28"/>
          <w:szCs w:val="28"/>
          <w:lang w:val="en-US" w:eastAsia="zh-CN"/>
        </w:rPr>
        <w:t>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0.86</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卫生健康支出601.12</w:t>
      </w:r>
      <w:r>
        <w:rPr>
          <w:rFonts w:hint="eastAsia" w:ascii="仿宋_GB2312" w:eastAsia="仿宋_GB2312"/>
          <w:sz w:val="28"/>
          <w:szCs w:val="28"/>
          <w:lang w:val="en-US" w:eastAsia="zh-CN"/>
        </w:rPr>
        <w:t>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0.40</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城乡社区支出149,412.60</w:t>
      </w:r>
      <w:r>
        <w:rPr>
          <w:rFonts w:hint="eastAsia" w:ascii="仿宋_GB2312" w:eastAsia="仿宋_GB2312"/>
          <w:sz w:val="28"/>
          <w:szCs w:val="28"/>
          <w:lang w:val="en-US" w:eastAsia="zh-CN"/>
        </w:rPr>
        <w:t>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99.29</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农林水支出1,227.20</w:t>
      </w:r>
      <w:r>
        <w:rPr>
          <w:rFonts w:hint="eastAsia" w:ascii="仿宋_GB2312" w:eastAsia="仿宋_GB2312"/>
          <w:sz w:val="28"/>
          <w:szCs w:val="28"/>
          <w:lang w:val="en-US" w:eastAsia="zh-CN"/>
        </w:rPr>
        <w:t>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0.82</w:t>
      </w:r>
      <w:r>
        <w:rPr>
          <w:rFonts w:hint="eastAsia" w:ascii="仿宋_GB2312" w:eastAsia="仿宋_GB2312"/>
          <w:sz w:val="28"/>
          <w:szCs w:val="28"/>
        </w:rPr>
        <w:t>%</w:t>
      </w:r>
      <w:r>
        <w:rPr>
          <w:rFonts w:hint="eastAsia" w:ascii="仿宋_GB2312" w:eastAsia="仿宋_GB2312"/>
          <w:sz w:val="28"/>
          <w:szCs w:val="28"/>
          <w:lang w:eastAsia="zh-CN"/>
        </w:rPr>
        <w:t>；</w:t>
      </w:r>
      <w:r>
        <w:rPr>
          <w:rFonts w:hint="eastAsia" w:ascii="仿宋_GB2312" w:eastAsia="仿宋_GB2312"/>
          <w:sz w:val="28"/>
          <w:szCs w:val="28"/>
        </w:rPr>
        <w:t>住房保障支出1,315.0</w:t>
      </w:r>
      <w:r>
        <w:rPr>
          <w:rFonts w:hint="eastAsia" w:ascii="仿宋_GB2312" w:eastAsia="仿宋_GB2312"/>
          <w:sz w:val="28"/>
          <w:szCs w:val="28"/>
          <w:lang w:val="en-US" w:eastAsia="zh-CN"/>
        </w:rPr>
        <w:t>9万元，占</w:t>
      </w:r>
      <w:r>
        <w:rPr>
          <w:rFonts w:hint="eastAsia" w:ascii="仿宋_GB2312" w:eastAsia="仿宋_GB2312"/>
          <w:sz w:val="28"/>
          <w:szCs w:val="28"/>
        </w:rPr>
        <w:t>本年一般公共预算财政拨款支出</w:t>
      </w:r>
      <w:r>
        <w:rPr>
          <w:rFonts w:hint="eastAsia" w:ascii="仿宋_GB2312" w:eastAsia="仿宋_GB2312"/>
          <w:sz w:val="28"/>
          <w:szCs w:val="28"/>
          <w:lang w:val="en-US" w:eastAsia="zh-CN"/>
        </w:rPr>
        <w:t>0.87</w:t>
      </w:r>
      <w:r>
        <w:rPr>
          <w:rFonts w:hint="eastAsia" w:ascii="仿宋_GB2312" w:eastAsia="仿宋_GB2312"/>
          <w:sz w:val="28"/>
          <w:szCs w:val="28"/>
        </w:rPr>
        <w:t>%</w:t>
      </w:r>
      <w:r>
        <w:rPr>
          <w:rFonts w:hint="eastAsia" w:ascii="仿宋_GB2312" w:eastAsia="仿宋_GB2312"/>
          <w:sz w:val="28"/>
          <w:szCs w:val="28"/>
          <w:lang w:eastAsia="zh-CN"/>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6622.32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年度决算459</w:t>
      </w:r>
      <w:r>
        <w:rPr>
          <w:rFonts w:hint="eastAsia" w:ascii="仿宋_GB2312" w:eastAsia="仿宋_GB2312"/>
          <w:sz w:val="28"/>
          <w:szCs w:val="28"/>
          <w:lang w:val="en-US" w:eastAsia="zh-CN"/>
        </w:rPr>
        <w:t>.</w:t>
      </w:r>
      <w:r>
        <w:rPr>
          <w:rFonts w:hint="eastAsia" w:ascii="仿宋_GB2312" w:eastAsia="仿宋_GB2312"/>
          <w:sz w:val="28"/>
          <w:szCs w:val="28"/>
        </w:rPr>
        <w:t>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6.93</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2、</w:t>
      </w:r>
      <w:r>
        <w:rPr>
          <w:rFonts w:hint="eastAsia" w:ascii="仿宋_GB2312" w:eastAsia="仿宋_GB2312"/>
          <w:sz w:val="28"/>
          <w:szCs w:val="28"/>
        </w:rPr>
        <w:t>“教育支出”202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7.54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0</w:t>
      </w:r>
      <w:r>
        <w:rPr>
          <w:rFonts w:hint="eastAsia" w:ascii="仿宋_GB2312" w:eastAsia="仿宋_GB2312"/>
          <w:sz w:val="28"/>
          <w:szCs w:val="28"/>
        </w:rPr>
        <w:t>%</w:t>
      </w:r>
      <w:r>
        <w:rPr>
          <w:rFonts w:hint="eastAsia" w:ascii="仿宋_GB2312" w:eastAsia="仿宋_GB2312"/>
          <w:sz w:val="28"/>
          <w:szCs w:val="28"/>
          <w:lang w:eastAsia="zh-CN"/>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、“社会保障和就业支出”202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1215.76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1297.78</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106.75</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、“一般公共服务支出”202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6622.32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年度决算459</w:t>
      </w:r>
      <w:r>
        <w:rPr>
          <w:rFonts w:hint="eastAsia" w:ascii="仿宋_GB2312" w:eastAsia="仿宋_GB2312"/>
          <w:sz w:val="28"/>
          <w:szCs w:val="28"/>
          <w:lang w:val="en-US" w:eastAsia="zh-CN"/>
        </w:rPr>
        <w:t>.</w:t>
      </w:r>
      <w:r>
        <w:rPr>
          <w:rFonts w:hint="eastAsia" w:ascii="仿宋_GB2312" w:eastAsia="仿宋_GB2312"/>
          <w:sz w:val="28"/>
          <w:szCs w:val="28"/>
        </w:rPr>
        <w:t>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6.93</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5、</w:t>
      </w:r>
      <w:r>
        <w:rPr>
          <w:rFonts w:hint="eastAsia" w:ascii="仿宋_GB2312" w:eastAsia="仿宋_GB2312"/>
          <w:sz w:val="28"/>
          <w:szCs w:val="28"/>
        </w:rPr>
        <w:t>“卫生健康支出”202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601.12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601.12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100.00</w:t>
      </w:r>
      <w:r>
        <w:rPr>
          <w:rFonts w:hint="eastAsia" w:ascii="仿宋_GB2312" w:eastAsia="仿宋_GB2312"/>
          <w:sz w:val="28"/>
          <w:szCs w:val="28"/>
        </w:rPr>
        <w:t>%</w:t>
      </w:r>
      <w:r>
        <w:rPr>
          <w:rFonts w:hint="eastAsia" w:ascii="仿宋_GB2312" w:eastAsia="仿宋_GB2312"/>
          <w:sz w:val="28"/>
          <w:szCs w:val="28"/>
          <w:lang w:eastAsia="zh-CN"/>
        </w:rPr>
        <w:t>。</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、“城乡社区支出”202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157757.3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年度决算149,412.60万元，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94.71</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7、</w:t>
      </w:r>
      <w:r>
        <w:rPr>
          <w:rFonts w:hint="eastAsia" w:ascii="仿宋_GB2312" w:eastAsia="仿宋_GB2312"/>
          <w:sz w:val="28"/>
          <w:szCs w:val="28"/>
        </w:rPr>
        <w:t>“农林水支出”202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1373.05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1227.2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89.38</w:t>
      </w:r>
      <w:r>
        <w:rPr>
          <w:rFonts w:hint="eastAsia" w:ascii="仿宋_GB2312" w:eastAsia="仿宋_GB2312"/>
          <w:sz w:val="28"/>
          <w:szCs w:val="28"/>
        </w:rPr>
        <w:t>%</w:t>
      </w:r>
      <w:r>
        <w:rPr>
          <w:rFonts w:hint="eastAsia" w:ascii="仿宋_GB2312" w:eastAsia="仿宋_GB2312"/>
          <w:sz w:val="28"/>
          <w:szCs w:val="28"/>
          <w:lang w:eastAsia="zh-CN"/>
        </w:rPr>
        <w:t>。</w:t>
      </w:r>
    </w:p>
    <w:p>
      <w:pPr>
        <w:spacing w:line="580" w:lineRule="exact"/>
        <w:ind w:firstLine="560" w:firstLineChars="200"/>
        <w:rPr>
          <w:rFonts w:hint="eastAsia"/>
        </w:rPr>
      </w:pPr>
      <w:r>
        <w:rPr>
          <w:rFonts w:hint="eastAsia" w:ascii="仿宋_GB2312" w:eastAsia="仿宋_GB2312"/>
          <w:sz w:val="28"/>
          <w:szCs w:val="28"/>
          <w:lang w:val="en-US" w:eastAsia="zh-CN"/>
        </w:rPr>
        <w:t>8</w:t>
      </w:r>
      <w:r>
        <w:rPr>
          <w:rFonts w:hint="eastAsia" w:ascii="仿宋_GB2312" w:eastAsia="仿宋_GB2312"/>
          <w:sz w:val="28"/>
          <w:szCs w:val="28"/>
        </w:rPr>
        <w:t>、“住房保障支出”202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1459.23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年度决算1,315.0</w:t>
      </w:r>
      <w:r>
        <w:rPr>
          <w:rFonts w:hint="eastAsia" w:ascii="仿宋_GB2312" w:eastAsia="仿宋_GB2312"/>
          <w:sz w:val="28"/>
          <w:szCs w:val="28"/>
          <w:lang w:val="en-US" w:eastAsia="zh-CN"/>
        </w:rPr>
        <w:t>9</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90.12</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2024</w:t>
      </w:r>
      <w:r>
        <w:rPr>
          <w:rFonts w:hint="eastAsia" w:ascii="仿宋_GB2312" w:eastAsia="仿宋_GB2312"/>
          <w:sz w:val="28"/>
          <w:szCs w:val="28"/>
        </w:rPr>
        <w:t>年度政府性基金预算财政拨款支出</w:t>
      </w:r>
      <w:r>
        <w:rPr>
          <w:rFonts w:ascii="仿宋_GB2312" w:eastAsia="仿宋_GB2312"/>
          <w:sz w:val="28"/>
          <w:szCs w:val="28"/>
        </w:rPr>
        <w:t>3831</w:t>
      </w:r>
      <w:r>
        <w:rPr>
          <w:rFonts w:hint="eastAsia" w:ascii="仿宋_GB2312" w:eastAsia="仿宋_GB2312"/>
          <w:sz w:val="28"/>
          <w:szCs w:val="28"/>
        </w:rPr>
        <w:t>万元，主要用于以下方面（按大类）：国有土地使用权出让收入安排的支出</w:t>
      </w:r>
      <w:r>
        <w:rPr>
          <w:rFonts w:hint="eastAsia" w:ascii="仿宋_GB2312" w:eastAsia="仿宋_GB2312"/>
          <w:sz w:val="28"/>
          <w:szCs w:val="28"/>
          <w:lang w:val="en-US" w:eastAsia="zh-CN"/>
        </w:rPr>
        <w:t>3831.00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2.48</w:t>
      </w:r>
      <w:r>
        <w:rPr>
          <w:rFonts w:hint="eastAsia" w:ascii="仿宋_GB2312" w:eastAsia="仿宋_GB2312"/>
          <w:sz w:val="28"/>
          <w:szCs w:val="28"/>
        </w:rPr>
        <w:t>%</w:t>
      </w:r>
      <w:r>
        <w:rPr>
          <w:rFonts w:hint="eastAsia" w:ascii="仿宋_GB2312" w:eastAsia="仿宋_GB2312"/>
          <w:sz w:val="28"/>
          <w:szCs w:val="28"/>
          <w:lang w:eastAsia="zh-CN"/>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1、“城乡社区支出”（类，下同）202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3781.00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3810.00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100.76</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“国有土地使用权出让收入安排的支出”（款，下同）202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3781.00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3810.00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100.76</w:t>
      </w:r>
      <w:r>
        <w:rPr>
          <w:rFonts w:hint="eastAsia" w:ascii="仿宋_GB2312" w:eastAsia="仿宋_GB2312"/>
          <w:sz w:val="28"/>
          <w:szCs w:val="28"/>
        </w:rPr>
        <w:t>%。主要原因：</w:t>
      </w:r>
      <w:r>
        <w:rPr>
          <w:rFonts w:hint="eastAsia" w:ascii="仿宋_GB2312" w:eastAsia="仿宋_GB2312"/>
          <w:sz w:val="28"/>
          <w:szCs w:val="28"/>
          <w:lang w:eastAsia="zh-CN"/>
        </w:rPr>
        <w:t>该分类下项目增加</w:t>
      </w:r>
      <w:r>
        <w:rPr>
          <w:rFonts w:hint="eastAsia" w:ascii="仿宋_GB2312" w:eastAsia="仿宋_GB2312"/>
          <w:sz w:val="28"/>
          <w:szCs w:val="28"/>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9431.41</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30.43</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56.66</w:t>
      </w:r>
      <w:r>
        <w:rPr>
          <w:rFonts w:hint="eastAsia" w:ascii="仿宋_GB2312" w:eastAsia="仿宋_GB2312"/>
          <w:sz w:val="28"/>
          <w:szCs w:val="28"/>
        </w:rPr>
        <w:t>万元减少</w:t>
      </w:r>
      <w:r>
        <w:rPr>
          <w:rFonts w:ascii="仿宋_GB2312" w:eastAsia="仿宋_GB2312"/>
          <w:sz w:val="28"/>
          <w:szCs w:val="28"/>
        </w:rPr>
        <w:t>26.23</w:t>
      </w:r>
      <w:r>
        <w:rPr>
          <w:rFonts w:hint="eastAsia" w:ascii="仿宋_GB2312" w:eastAsia="仿宋_GB2312"/>
          <w:sz w:val="28"/>
          <w:szCs w:val="28"/>
        </w:rPr>
        <w:t>万元。其中：</w:t>
      </w:r>
    </w:p>
    <w:p>
      <w:pPr>
        <w:spacing w:line="560" w:lineRule="exact"/>
        <w:ind w:firstLine="600"/>
        <w:rPr>
          <w:rFonts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4.86</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4.86</w:t>
      </w:r>
      <w:r>
        <w:rPr>
          <w:rFonts w:hint="eastAsia" w:ascii="仿宋_GB2312" w:eastAsia="仿宋_GB2312"/>
          <w:sz w:val="28"/>
          <w:szCs w:val="28"/>
        </w:rPr>
        <w:t>万元。根据市局2024年度因公出访计划安排，赴德国科隆市进行短期培训；2024年度因公出国（境）费用主要用于培训等方面，2024年度组织因公出国（境）团组0个、1人次。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3.46</w:t>
      </w:r>
      <w:r>
        <w:rPr>
          <w:rFonts w:hint="eastAsia" w:ascii="仿宋_GB2312" w:eastAsia="仿宋_GB2312"/>
          <w:sz w:val="28"/>
          <w:szCs w:val="28"/>
        </w:rPr>
        <w:t>万元增加减少</w:t>
      </w:r>
      <w:r>
        <w:rPr>
          <w:rFonts w:ascii="仿宋_GB2312" w:eastAsia="仿宋_GB2312"/>
          <w:sz w:val="28"/>
          <w:szCs w:val="28"/>
        </w:rPr>
        <w:t>3.46</w:t>
      </w:r>
      <w:r>
        <w:rPr>
          <w:rFonts w:hint="eastAsia" w:ascii="仿宋_GB2312" w:eastAsia="仿宋_GB2312"/>
          <w:sz w:val="28"/>
          <w:szCs w:val="28"/>
        </w:rPr>
        <w:t>万元。主要原因：节约资金，无符合要求的业务接待。公务接待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25.57</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53.2</w:t>
      </w:r>
      <w:r>
        <w:rPr>
          <w:rFonts w:hint="eastAsia" w:ascii="仿宋_GB2312" w:eastAsia="仿宋_GB2312"/>
          <w:sz w:val="28"/>
          <w:szCs w:val="28"/>
        </w:rPr>
        <w:t>万元减少</w:t>
      </w:r>
      <w:r>
        <w:rPr>
          <w:rFonts w:ascii="仿宋_GB2312" w:eastAsia="仿宋_GB2312"/>
          <w:sz w:val="28"/>
          <w:szCs w:val="28"/>
        </w:rPr>
        <w:t>27.63</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万元，主要原因：无报废更新，202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25.57</w:t>
      </w:r>
      <w:r>
        <w:rPr>
          <w:rFonts w:hint="eastAsia" w:ascii="仿宋_GB2312" w:eastAsia="仿宋_GB2312"/>
          <w:sz w:val="28"/>
          <w:szCs w:val="28"/>
        </w:rPr>
        <w:t>万元，主要原因：</w:t>
      </w:r>
      <w:bookmarkStart w:id="0" w:name="OLE_LINK5"/>
      <w:bookmarkStart w:id="1" w:name="OLE_LINK6"/>
      <w:r>
        <w:rPr>
          <w:rFonts w:hint="eastAsia" w:ascii="仿宋_GB2312" w:eastAsia="仿宋_GB2312"/>
          <w:sz w:val="28"/>
          <w:szCs w:val="28"/>
        </w:rPr>
        <w:t>进一步落实过紧日子思想，</w:t>
      </w:r>
      <w:bookmarkEnd w:id="0"/>
      <w:bookmarkEnd w:id="1"/>
      <w:r>
        <w:rPr>
          <w:rFonts w:hint="eastAsia" w:ascii="仿宋_GB2312" w:eastAsia="仿宋_GB2312"/>
          <w:sz w:val="28"/>
          <w:szCs w:val="28"/>
        </w:rPr>
        <w:t>压减公务用车运行及维护费。202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35</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472</w:t>
      </w:r>
      <w:r>
        <w:rPr>
          <w:rFonts w:hint="eastAsia" w:ascii="仿宋_GB2312" w:eastAsia="仿宋_GB2312"/>
          <w:sz w:val="28"/>
          <w:szCs w:val="28"/>
        </w:rPr>
        <w:t>万元，比上年增加减少</w:t>
      </w:r>
      <w:r>
        <w:rPr>
          <w:rFonts w:hint="eastAsia" w:ascii="仿宋_GB2312" w:eastAsia="仿宋_GB2312"/>
          <w:sz w:val="28"/>
          <w:szCs w:val="28"/>
          <w:lang w:val="en-US" w:eastAsia="zh-CN"/>
        </w:rPr>
        <w:t>7.28</w:t>
      </w:r>
      <w:r>
        <w:rPr>
          <w:rFonts w:hint="eastAsia" w:ascii="仿宋_GB2312" w:eastAsia="仿宋_GB2312"/>
          <w:sz w:val="28"/>
          <w:szCs w:val="28"/>
        </w:rPr>
        <w:t>万元，减少原因：落实过紧日子思想，压减公用经费。</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86369.28</w:t>
      </w:r>
      <w:r>
        <w:rPr>
          <w:rFonts w:hint="eastAsia" w:ascii="仿宋_GB2312" w:eastAsia="仿宋_GB2312"/>
          <w:sz w:val="28"/>
          <w:szCs w:val="28"/>
        </w:rPr>
        <w:t>万元，其中：政府采购货物支出</w:t>
      </w:r>
      <w:r>
        <w:rPr>
          <w:rFonts w:ascii="仿宋_GB2312" w:eastAsia="仿宋_GB2312"/>
          <w:sz w:val="28"/>
          <w:szCs w:val="28"/>
        </w:rPr>
        <w:t>719.94</w:t>
      </w:r>
      <w:r>
        <w:rPr>
          <w:rFonts w:hint="eastAsia" w:ascii="仿宋_GB2312" w:eastAsia="仿宋_GB2312"/>
          <w:sz w:val="28"/>
          <w:szCs w:val="28"/>
        </w:rPr>
        <w:t>万元，政府采购工程支出</w:t>
      </w:r>
      <w:r>
        <w:rPr>
          <w:rFonts w:ascii="仿宋_GB2312" w:eastAsia="仿宋_GB2312"/>
          <w:sz w:val="28"/>
          <w:szCs w:val="28"/>
        </w:rPr>
        <w:t>64248.18</w:t>
      </w:r>
      <w:r>
        <w:rPr>
          <w:rFonts w:hint="eastAsia" w:ascii="仿宋_GB2312" w:eastAsia="仿宋_GB2312"/>
          <w:sz w:val="28"/>
          <w:szCs w:val="28"/>
        </w:rPr>
        <w:t>万元，政府采购服务支出</w:t>
      </w:r>
      <w:r>
        <w:rPr>
          <w:rFonts w:ascii="仿宋_GB2312" w:eastAsia="仿宋_GB2312"/>
          <w:sz w:val="28"/>
          <w:szCs w:val="28"/>
        </w:rPr>
        <w:t>21401.15</w:t>
      </w:r>
      <w:r>
        <w:rPr>
          <w:rFonts w:hint="eastAsia" w:ascii="仿宋_GB2312" w:eastAsia="仿宋_GB2312"/>
          <w:sz w:val="28"/>
          <w:szCs w:val="28"/>
        </w:rPr>
        <w:t>万元。授予中小企业合同金额</w:t>
      </w:r>
      <w:r>
        <w:rPr>
          <w:rFonts w:ascii="仿宋_GB2312" w:eastAsia="仿宋_GB2312"/>
          <w:sz w:val="28"/>
          <w:szCs w:val="28"/>
        </w:rPr>
        <w:t>552.68</w:t>
      </w:r>
      <w:r>
        <w:rPr>
          <w:rFonts w:hint="eastAsia" w:ascii="仿宋_GB2312" w:eastAsia="仿宋_GB2312"/>
          <w:sz w:val="28"/>
          <w:szCs w:val="28"/>
        </w:rPr>
        <w:t>万元，占政府采购支出总额的</w:t>
      </w:r>
      <w:r>
        <w:rPr>
          <w:rFonts w:hint="eastAsia" w:ascii="仿宋_GB2312" w:eastAsia="仿宋_GB2312"/>
          <w:sz w:val="28"/>
          <w:szCs w:val="28"/>
          <w:lang w:eastAsia="zh-CN"/>
        </w:rPr>
        <w:t>0.64</w:t>
      </w:r>
      <w:r>
        <w:rPr>
          <w:rFonts w:hint="eastAsia" w:ascii="仿宋_GB2312" w:eastAsia="仿宋_GB2312"/>
          <w:sz w:val="28"/>
          <w:szCs w:val="28"/>
        </w:rPr>
        <w:t>%，其中：授予小微企业合同金额</w:t>
      </w:r>
      <w:r>
        <w:rPr>
          <w:rFonts w:ascii="仿宋_GB2312" w:eastAsia="仿宋_GB2312"/>
          <w:sz w:val="28"/>
          <w:szCs w:val="28"/>
        </w:rPr>
        <w:t>449.77</w:t>
      </w:r>
      <w:r>
        <w:rPr>
          <w:rFonts w:hint="eastAsia" w:ascii="仿宋_GB2312" w:eastAsia="仿宋_GB2312"/>
          <w:sz w:val="28"/>
          <w:szCs w:val="28"/>
        </w:rPr>
        <w:t>万元，占政府采购支出总额的</w:t>
      </w:r>
      <w:r>
        <w:rPr>
          <w:rFonts w:ascii="仿宋_GB2312" w:eastAsia="仿宋_GB2312"/>
          <w:sz w:val="28"/>
          <w:szCs w:val="28"/>
        </w:rPr>
        <w:t>0.52</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12月31日，北京市西城区城市管理委员会</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35</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政府购买服务决算9416.08</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pPr>
        <w:jc w:val="both"/>
        <w:rPr>
          <w:rFonts w:hint="eastAsia" w:ascii="黑体" w:eastAsia="黑体"/>
          <w:sz w:val="32"/>
          <w:szCs w:val="32"/>
        </w:rPr>
      </w:pPr>
    </w:p>
    <w:p>
      <w:pPr>
        <w:tabs>
          <w:tab w:val="center" w:pos="6979"/>
        </w:tabs>
        <w:spacing w:line="380" w:lineRule="exact"/>
        <w:jc w:val="center"/>
        <w:rPr>
          <w:rFonts w:ascii="宋体" w:hAnsi="宋体" w:cs="宋体"/>
          <w:b/>
          <w:bCs/>
          <w:kern w:val="0"/>
          <w:sz w:val="28"/>
          <w:szCs w:val="28"/>
        </w:rPr>
      </w:pPr>
    </w:p>
    <w:p>
      <w:pPr>
        <w:tabs>
          <w:tab w:val="center" w:pos="6979"/>
        </w:tabs>
        <w:spacing w:line="380" w:lineRule="exact"/>
        <w:jc w:val="center"/>
        <w:rPr>
          <w:rFonts w:ascii="宋体" w:hAnsi="宋体" w:cs="宋体"/>
          <w:b/>
          <w:bCs/>
          <w:kern w:val="0"/>
          <w:sz w:val="28"/>
          <w:szCs w:val="28"/>
        </w:rPr>
      </w:pPr>
    </w:p>
    <w:p>
      <w:pPr>
        <w:jc w:val="both"/>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p>
    <w:p>
      <w:pPr>
        <w:pStyle w:val="12"/>
        <w:tabs>
          <w:tab w:val="right" w:leader="middleDot" w:pos="8306"/>
          <w:tab w:val="clear" w:pos="8495"/>
        </w:tabs>
        <w:spacing w:line="240" w:lineRule="auto"/>
        <w:ind w:left="0" w:leftChars="0"/>
        <w:rPr>
          <w:rFonts w:ascii="仿宋" w:hAnsi="仿宋" w:eastAsia="仿宋" w:cs="Times New Roman"/>
          <w:sz w:val="36"/>
          <w:szCs w:val="52"/>
        </w:rPr>
      </w:pPr>
      <w:r>
        <w:rPr>
          <w:rFonts w:hint="eastAsia" w:cs="Times New Roman" w:asciiTheme="majorEastAsia" w:hAnsiTheme="majorEastAsia" w:eastAsiaTheme="majorEastAsia"/>
          <w:sz w:val="40"/>
          <w:szCs w:val="40"/>
        </w:rPr>
        <w:t>西城区城市管理委员会</w:t>
      </w:r>
      <w:r>
        <w:rPr>
          <w:rFonts w:hint="eastAsia" w:cs="Times New Roman" w:asciiTheme="majorEastAsia" w:hAnsiTheme="majorEastAsia" w:eastAsiaTheme="majorEastAsia"/>
          <w:sz w:val="40"/>
          <w:szCs w:val="40"/>
          <w:lang w:val="en-US" w:eastAsia="zh-CN"/>
        </w:rPr>
        <w:t>2024</w:t>
      </w:r>
      <w:r>
        <w:rPr>
          <w:rFonts w:hint="eastAsia" w:cs="Times New Roman" w:asciiTheme="majorEastAsia" w:hAnsiTheme="majorEastAsia" w:eastAsiaTheme="majorEastAsia"/>
          <w:sz w:val="40"/>
          <w:szCs w:val="40"/>
        </w:rPr>
        <w:t>年度部门整体支出绩效评价报告</w:t>
      </w:r>
    </w:p>
    <w:p>
      <w:pPr>
        <w:pStyle w:val="3"/>
        <w:numPr>
          <w:ilvl w:val="0"/>
          <w:numId w:val="2"/>
        </w:numPr>
        <w:spacing w:line="576" w:lineRule="auto"/>
        <w:rPr>
          <w:rFonts w:ascii="仿宋" w:hAnsi="仿宋" w:eastAsia="仿宋" w:cs="仿宋"/>
          <w:sz w:val="32"/>
          <w:szCs w:val="32"/>
        </w:rPr>
      </w:pPr>
      <w:bookmarkStart w:id="2" w:name="_Toc456183420"/>
      <w:r>
        <w:rPr>
          <w:rFonts w:hint="eastAsia" w:ascii="仿宋" w:hAnsi="仿宋" w:eastAsia="仿宋" w:cs="仿宋"/>
          <w:sz w:val="32"/>
          <w:szCs w:val="32"/>
        </w:rPr>
        <w:t>评价背景</w:t>
      </w:r>
      <w:bookmarkEnd w:id="2"/>
      <w:bookmarkStart w:id="3" w:name="_Toc452985739"/>
      <w:bookmarkStart w:id="4" w:name="_Toc452029961"/>
    </w:p>
    <w:p>
      <w:pPr>
        <w:pStyle w:val="2"/>
        <w:keepNext/>
        <w:keepLines/>
        <w:widowControl w:val="0"/>
        <w:spacing w:before="156" w:beforeLines="50" w:beforeAutospacing="0" w:after="156" w:afterLines="50" w:afterAutospacing="0" w:line="360" w:lineRule="auto"/>
        <w:jc w:val="both"/>
        <w:rPr>
          <w:rFonts w:ascii="仿宋" w:hAnsi="仿宋" w:eastAsia="仿宋" w:cs="仿宋"/>
          <w:b w:val="0"/>
          <w:kern w:val="2"/>
          <w:sz w:val="32"/>
          <w:szCs w:val="32"/>
        </w:rPr>
      </w:pPr>
      <w:bookmarkStart w:id="5" w:name="_Toc456183421"/>
      <w:bookmarkStart w:id="6" w:name="_Toc452383567"/>
      <w:r>
        <w:rPr>
          <w:rFonts w:hint="eastAsia" w:ascii="仿宋" w:hAnsi="仿宋" w:eastAsia="仿宋" w:cs="仿宋"/>
          <w:b w:val="0"/>
          <w:kern w:val="2"/>
          <w:sz w:val="32"/>
          <w:szCs w:val="32"/>
        </w:rPr>
        <w:t>（一）评价概况</w:t>
      </w:r>
      <w:bookmarkEnd w:id="5"/>
      <w:bookmarkEnd w:id="6"/>
    </w:p>
    <w:bookmarkEnd w:id="3"/>
    <w:p>
      <w:pPr>
        <w:pStyle w:val="24"/>
        <w:spacing w:line="360" w:lineRule="auto"/>
        <w:ind w:left="-249" w:firstLine="640"/>
        <w:rPr>
          <w:rFonts w:hint="eastAsia" w:ascii="仿宋" w:hAnsi="仿宋" w:eastAsia="仿宋" w:cs="Times New Roman"/>
          <w:sz w:val="32"/>
          <w:szCs w:val="32"/>
        </w:rPr>
      </w:pPr>
      <w:r>
        <w:rPr>
          <w:rFonts w:hint="eastAsia" w:ascii="仿宋" w:hAnsi="仿宋" w:eastAsia="仿宋" w:cs="Times New Roman"/>
          <w:sz w:val="32"/>
          <w:szCs w:val="32"/>
        </w:rPr>
        <w:t>为进一步提高财政支出管理水平，检验财政支出预期目标实现程度，考核财政支出效率和综合效果，为以后年度财政资金安排提供重要依据，根据北京市西城区财政局关于开展 202</w:t>
      </w:r>
      <w:r>
        <w:rPr>
          <w:rFonts w:hint="eastAsia" w:ascii="仿宋" w:hAnsi="仿宋" w:eastAsia="仿宋" w:cs="Times New Roman"/>
          <w:sz w:val="32"/>
          <w:szCs w:val="32"/>
          <w:lang w:val="en-US" w:eastAsia="zh-CN"/>
        </w:rPr>
        <w:t>4</w:t>
      </w:r>
      <w:r>
        <w:rPr>
          <w:rFonts w:hint="eastAsia" w:ascii="仿宋" w:hAnsi="仿宋" w:eastAsia="仿宋" w:cs="Times New Roman"/>
          <w:sz w:val="32"/>
          <w:szCs w:val="32"/>
        </w:rPr>
        <w:t xml:space="preserve"> 年度财政支出绩效评价工作的通知，</w:t>
      </w:r>
      <w:r>
        <w:rPr>
          <w:rFonts w:hint="eastAsia" w:ascii="仿宋" w:hAnsi="仿宋" w:eastAsia="仿宋" w:cs="Times New Roman"/>
          <w:sz w:val="32"/>
          <w:szCs w:val="32"/>
          <w:lang w:eastAsia="zh-CN"/>
        </w:rPr>
        <w:t>我委</w:t>
      </w:r>
      <w:r>
        <w:rPr>
          <w:rFonts w:hint="eastAsia" w:ascii="仿宋" w:hAnsi="仿宋" w:eastAsia="仿宋" w:cs="Times New Roman"/>
          <w:sz w:val="32"/>
          <w:szCs w:val="32"/>
        </w:rPr>
        <w:t>对</w:t>
      </w:r>
      <w:r>
        <w:rPr>
          <w:rFonts w:hint="eastAsia" w:ascii="仿宋" w:hAnsi="仿宋" w:eastAsia="仿宋" w:cs="Times New Roman"/>
          <w:sz w:val="32"/>
          <w:szCs w:val="32"/>
          <w:lang w:val="en-US" w:eastAsia="zh-CN"/>
        </w:rPr>
        <w:t>2024</w:t>
      </w:r>
      <w:r>
        <w:rPr>
          <w:rFonts w:hint="eastAsia" w:ascii="仿宋" w:hAnsi="仿宋" w:eastAsia="仿宋" w:cs="Times New Roman"/>
          <w:sz w:val="32"/>
          <w:szCs w:val="32"/>
        </w:rPr>
        <w:t>年“部门整体预算支出”的绩效情况实施评价并形成本绩效评价报告。</w:t>
      </w:r>
    </w:p>
    <w:p>
      <w:pPr>
        <w:pStyle w:val="24"/>
        <w:spacing w:line="360" w:lineRule="auto"/>
        <w:ind w:left="-249" w:firstLine="640"/>
        <w:rPr>
          <w:rFonts w:hint="eastAsia" w:ascii="仿宋" w:hAnsi="仿宋" w:eastAsia="仿宋" w:cs="Times New Roman"/>
          <w:sz w:val="32"/>
          <w:szCs w:val="32"/>
        </w:rPr>
      </w:pPr>
      <w:bookmarkStart w:id="7" w:name="_Toc456183422"/>
      <w:r>
        <w:rPr>
          <w:rFonts w:hint="eastAsia" w:ascii="仿宋" w:hAnsi="仿宋" w:eastAsia="仿宋" w:cs="Times New Roman"/>
          <w:sz w:val="32"/>
          <w:szCs w:val="32"/>
        </w:rPr>
        <w:t>（二）评价方法</w:t>
      </w:r>
      <w:bookmarkEnd w:id="7"/>
    </w:p>
    <w:p>
      <w:pPr>
        <w:pStyle w:val="24"/>
        <w:spacing w:line="360" w:lineRule="auto"/>
        <w:ind w:left="-249" w:firstLine="640"/>
        <w:rPr>
          <w:rFonts w:hint="eastAsia" w:ascii="仿宋" w:hAnsi="仿宋" w:eastAsia="仿宋" w:cs="Times New Roman"/>
          <w:sz w:val="32"/>
          <w:szCs w:val="32"/>
          <w:lang w:eastAsia="zh-CN"/>
        </w:rPr>
      </w:pPr>
      <w:r>
        <w:rPr>
          <w:rFonts w:hint="eastAsia" w:ascii="仿宋" w:hAnsi="仿宋" w:eastAsia="仿宋" w:cs="Times New Roman"/>
          <w:sz w:val="32"/>
          <w:szCs w:val="32"/>
        </w:rPr>
        <w:t>评价工作遵循“科学规范、公开公正、绩效相关”的原则，通过运用公众评判法、比较法和因素分析法相结合的绩效评价方法</w:t>
      </w:r>
      <w:r>
        <w:rPr>
          <w:rFonts w:hint="eastAsia" w:ascii="仿宋" w:hAnsi="仿宋" w:eastAsia="仿宋" w:cs="Times New Roman"/>
          <w:sz w:val="32"/>
          <w:szCs w:val="32"/>
          <w:lang w:eastAsia="zh-CN"/>
        </w:rPr>
        <w:t>。</w:t>
      </w:r>
    </w:p>
    <w:p>
      <w:pPr>
        <w:pStyle w:val="2"/>
        <w:keepNext/>
        <w:keepLines/>
        <w:widowControl w:val="0"/>
        <w:spacing w:before="156" w:beforeLines="50" w:beforeAutospacing="0" w:after="156" w:afterLines="50" w:afterAutospacing="0" w:line="360" w:lineRule="auto"/>
        <w:jc w:val="both"/>
        <w:rPr>
          <w:rFonts w:ascii="仿宋" w:hAnsi="仿宋" w:eastAsia="仿宋" w:cs="仿宋"/>
          <w:b w:val="0"/>
          <w:color w:val="000000" w:themeColor="text1"/>
          <w:kern w:val="2"/>
          <w:sz w:val="32"/>
          <w:szCs w:val="32"/>
          <w14:textFill>
            <w14:solidFill>
              <w14:schemeClr w14:val="tx1"/>
            </w14:solidFill>
          </w14:textFill>
        </w:rPr>
      </w:pPr>
      <w:bookmarkStart w:id="8" w:name="_Toc456183423"/>
      <w:r>
        <w:rPr>
          <w:rFonts w:hint="eastAsia" w:ascii="仿宋" w:hAnsi="仿宋" w:eastAsia="仿宋" w:cs="仿宋"/>
          <w:b w:val="0"/>
          <w:color w:val="000000" w:themeColor="text1"/>
          <w:kern w:val="2"/>
          <w:sz w:val="32"/>
          <w:szCs w:val="32"/>
          <w14:textFill>
            <w14:solidFill>
              <w14:schemeClr w14:val="tx1"/>
            </w14:solidFill>
          </w14:textFill>
        </w:rPr>
        <w:t>（三）关注重点</w:t>
      </w:r>
      <w:bookmarkEnd w:id="8"/>
    </w:p>
    <w:p>
      <w:pPr>
        <w:pStyle w:val="24"/>
        <w:spacing w:line="360" w:lineRule="auto"/>
        <w:ind w:left="-249" w:firstLine="640"/>
        <w:rPr>
          <w:rFonts w:ascii="仿宋" w:hAnsi="仿宋" w:eastAsia="仿宋" w:cs="Times New Roman"/>
          <w:sz w:val="32"/>
          <w:szCs w:val="32"/>
        </w:rPr>
      </w:pPr>
      <w:r>
        <w:rPr>
          <w:rFonts w:hint="eastAsia" w:ascii="仿宋" w:hAnsi="仿宋" w:eastAsia="仿宋" w:cs="Times New Roman"/>
          <w:sz w:val="32"/>
          <w:szCs w:val="32"/>
        </w:rPr>
        <w:t>根据西城区财政局对绩效评价工作的具体要求，并结合</w:t>
      </w:r>
      <w:r>
        <w:rPr>
          <w:rFonts w:hint="eastAsia" w:ascii="仿宋" w:hAnsi="仿宋" w:eastAsia="仿宋" w:cs="Times New Roman"/>
          <w:sz w:val="32"/>
          <w:szCs w:val="32"/>
          <w:lang w:eastAsia="zh-CN"/>
        </w:rPr>
        <w:t>我委的</w:t>
      </w:r>
      <w:r>
        <w:rPr>
          <w:rFonts w:hint="eastAsia" w:ascii="仿宋" w:hAnsi="仿宋" w:eastAsia="仿宋" w:cs="Times New Roman"/>
          <w:sz w:val="32"/>
          <w:szCs w:val="32"/>
        </w:rPr>
        <w:t>实际情况，除</w:t>
      </w:r>
      <w:r>
        <w:rPr>
          <w:rFonts w:hint="eastAsia" w:ascii="仿宋" w:hAnsi="仿宋" w:eastAsia="仿宋" w:cs="Times New Roman"/>
          <w:sz w:val="32"/>
          <w:szCs w:val="32"/>
          <w:lang w:eastAsia="zh-CN"/>
        </w:rPr>
        <w:t>采取</w:t>
      </w:r>
      <w:r>
        <w:rPr>
          <w:rFonts w:hint="eastAsia" w:ascii="仿宋" w:hAnsi="仿宋" w:eastAsia="仿宋" w:cs="Times New Roman"/>
          <w:sz w:val="32"/>
          <w:szCs w:val="32"/>
        </w:rPr>
        <w:t>一般评价要点外，还将</w:t>
      </w:r>
      <w:r>
        <w:rPr>
          <w:rFonts w:hint="eastAsia" w:ascii="仿宋" w:hAnsi="仿宋" w:eastAsia="仿宋" w:cs="Times New Roman"/>
          <w:sz w:val="32"/>
          <w:szCs w:val="32"/>
          <w:lang w:eastAsia="zh-CN"/>
        </w:rPr>
        <w:t>我委</w:t>
      </w:r>
      <w:r>
        <w:rPr>
          <w:rFonts w:hint="eastAsia" w:ascii="仿宋" w:hAnsi="仿宋" w:eastAsia="仿宋" w:cs="Times New Roman"/>
          <w:sz w:val="32"/>
          <w:szCs w:val="32"/>
        </w:rPr>
        <w:t>的预期目标完成情况（含项目调整情况）、“三公经费</w:t>
      </w:r>
      <w:r>
        <w:rPr>
          <w:rFonts w:hint="default" w:ascii="仿宋" w:hAnsi="仿宋" w:eastAsia="仿宋" w:cs="Times New Roman"/>
          <w:sz w:val="32"/>
          <w:szCs w:val="32"/>
          <w:lang w:val="en-US" w:eastAsia="zh-CN"/>
        </w:rPr>
        <w:t>”</w:t>
      </w:r>
      <w:r>
        <w:rPr>
          <w:rFonts w:hint="eastAsia" w:ascii="仿宋" w:hAnsi="仿宋" w:eastAsia="仿宋" w:cs="Times New Roman"/>
          <w:sz w:val="32"/>
          <w:szCs w:val="32"/>
        </w:rPr>
        <w:t>的执行情况、资产管理情况和部门绩效的可持续性等方面列为评价重点关注的问题。</w:t>
      </w:r>
    </w:p>
    <w:bookmarkEnd w:id="4"/>
    <w:p>
      <w:pPr>
        <w:pStyle w:val="3"/>
        <w:spacing w:line="576" w:lineRule="auto"/>
        <w:rPr>
          <w:rFonts w:ascii="仿宋" w:hAnsi="仿宋" w:eastAsia="仿宋" w:cs="仿宋"/>
          <w:sz w:val="32"/>
          <w:szCs w:val="32"/>
        </w:rPr>
      </w:pPr>
      <w:bookmarkStart w:id="9" w:name="_Toc456183424"/>
      <w:r>
        <w:rPr>
          <w:rFonts w:hint="eastAsia" w:ascii="仿宋" w:hAnsi="仿宋" w:eastAsia="仿宋" w:cs="仿宋"/>
          <w:sz w:val="32"/>
          <w:szCs w:val="32"/>
        </w:rPr>
        <w:t>二、评价基本情况</w:t>
      </w:r>
      <w:bookmarkEnd w:id="9"/>
    </w:p>
    <w:p>
      <w:pPr>
        <w:pStyle w:val="2"/>
        <w:keepNext/>
        <w:keepLines/>
        <w:widowControl w:val="0"/>
        <w:spacing w:before="156" w:beforeLines="50" w:beforeAutospacing="0" w:after="156" w:afterLines="50" w:afterAutospacing="0" w:line="360" w:lineRule="auto"/>
        <w:rPr>
          <w:rFonts w:ascii="仿宋" w:hAnsi="仿宋" w:eastAsia="仿宋" w:cs="仿宋"/>
          <w:b w:val="0"/>
          <w:kern w:val="2"/>
          <w:sz w:val="32"/>
          <w:szCs w:val="32"/>
        </w:rPr>
      </w:pPr>
      <w:bookmarkStart w:id="10" w:name="_Toc452029962"/>
      <w:bookmarkStart w:id="11" w:name="_Toc456183425"/>
      <w:r>
        <w:rPr>
          <w:rFonts w:hint="eastAsia" w:ascii="仿宋" w:hAnsi="仿宋" w:eastAsia="仿宋" w:cs="仿宋"/>
          <w:b w:val="0"/>
          <w:kern w:val="2"/>
          <w:sz w:val="32"/>
          <w:szCs w:val="32"/>
        </w:rPr>
        <w:t>（一）</w:t>
      </w:r>
      <w:bookmarkEnd w:id="10"/>
      <w:r>
        <w:rPr>
          <w:rFonts w:hint="eastAsia" w:ascii="仿宋" w:hAnsi="仿宋" w:eastAsia="仿宋" w:cs="仿宋"/>
          <w:b w:val="0"/>
          <w:kern w:val="2"/>
          <w:sz w:val="32"/>
          <w:szCs w:val="32"/>
        </w:rPr>
        <w:t>部门基本情况</w:t>
      </w:r>
      <w:bookmarkEnd w:id="11"/>
    </w:p>
    <w:p>
      <w:pPr>
        <w:spacing w:before="156" w:after="156" w:line="264" w:lineRule="auto"/>
        <w:ind w:firstLine="640" w:firstLineChars="200"/>
        <w:rPr>
          <w:rFonts w:ascii="仿宋_GB2312" w:eastAsia="仿宋_GB2312"/>
          <w:color w:val="C00000"/>
          <w:sz w:val="32"/>
          <w:szCs w:val="32"/>
        </w:rPr>
      </w:pPr>
      <w:r>
        <w:rPr>
          <w:rFonts w:hint="eastAsia" w:ascii="仿宋" w:hAnsi="仿宋" w:eastAsia="仿宋" w:cs="Times New Roman"/>
          <w:sz w:val="32"/>
          <w:szCs w:val="32"/>
        </w:rPr>
        <w:t>区城管委</w:t>
      </w:r>
      <w:r>
        <w:rPr>
          <w:rFonts w:hint="eastAsia" w:ascii="仿宋" w:hAnsi="仿宋" w:eastAsia="仿宋" w:cs="Times New Roman"/>
          <w:sz w:val="32"/>
          <w:szCs w:val="32"/>
          <w:lang w:val="en-US" w:eastAsia="zh-CN"/>
        </w:rPr>
        <w:t>主要管理</w:t>
      </w:r>
      <w:r>
        <w:rPr>
          <w:rFonts w:hint="eastAsia" w:ascii="仿宋" w:hAnsi="仿宋" w:eastAsia="仿宋" w:cs="Times New Roman"/>
          <w:sz w:val="32"/>
          <w:szCs w:val="32"/>
        </w:rPr>
        <w:t>本区</w:t>
      </w:r>
      <w:r>
        <w:rPr>
          <w:rFonts w:hint="eastAsia" w:ascii="仿宋_GB2312" w:eastAsia="仿宋_GB2312"/>
          <w:sz w:val="32"/>
          <w:szCs w:val="32"/>
        </w:rPr>
        <w:t>城市管理方面</w:t>
      </w:r>
      <w:r>
        <w:rPr>
          <w:rFonts w:hint="eastAsia" w:ascii="仿宋_GB2312" w:eastAsia="仿宋_GB2312"/>
          <w:sz w:val="32"/>
          <w:szCs w:val="32"/>
          <w:lang w:val="en-US" w:eastAsia="zh-CN"/>
        </w:rPr>
        <w:t>相关事务</w:t>
      </w:r>
      <w:r>
        <w:rPr>
          <w:rFonts w:hint="eastAsia" w:ascii="仿宋_GB2312" w:eastAsia="仿宋_GB2312"/>
          <w:sz w:val="32"/>
          <w:szCs w:val="32"/>
        </w:rPr>
        <w:t>。</w:t>
      </w:r>
      <w:r>
        <w:rPr>
          <w:rFonts w:hint="eastAsia" w:ascii="仿宋_GB2312" w:eastAsia="仿宋_GB2312"/>
          <w:sz w:val="32"/>
          <w:szCs w:val="32"/>
          <w:lang w:eastAsia="zh-CN"/>
        </w:rPr>
        <w:t>下设</w:t>
      </w:r>
      <w:r>
        <w:rPr>
          <w:rFonts w:hint="eastAsia" w:ascii="仿宋_GB2312" w:eastAsia="仿宋_GB2312"/>
          <w:sz w:val="32"/>
          <w:szCs w:val="32"/>
        </w:rPr>
        <w:t>节水办公室、水务管理中心、</w:t>
      </w:r>
      <w:bookmarkStart w:id="12" w:name="_Toc263686374"/>
      <w:r>
        <w:rPr>
          <w:rFonts w:hint="eastAsia" w:ascii="仿宋_GB2312" w:eastAsia="仿宋_GB2312"/>
          <w:sz w:val="32"/>
          <w:szCs w:val="32"/>
          <w:lang w:eastAsia="zh-CN"/>
        </w:rPr>
        <w:t>交通综合治理</w:t>
      </w:r>
      <w:r>
        <w:rPr>
          <w:rFonts w:hint="eastAsia" w:ascii="仿宋_GB2312" w:eastAsia="仿宋_GB2312"/>
          <w:sz w:val="32"/>
          <w:szCs w:val="32"/>
        </w:rPr>
        <w:t>中心、</w:t>
      </w:r>
      <w:r>
        <w:rPr>
          <w:rFonts w:hint="eastAsia" w:ascii="仿宋_GB2312" w:eastAsia="仿宋_GB2312"/>
          <w:sz w:val="32"/>
          <w:szCs w:val="32"/>
          <w:lang w:eastAsia="zh-CN"/>
        </w:rPr>
        <w:t>个</w:t>
      </w:r>
      <w:r>
        <w:rPr>
          <w:rFonts w:hint="eastAsia" w:ascii="仿宋_GB2312" w:eastAsia="仿宋_GB2312"/>
          <w:sz w:val="32"/>
          <w:szCs w:val="32"/>
        </w:rPr>
        <w:t>体出租管理站</w:t>
      </w:r>
      <w:bookmarkEnd w:id="12"/>
      <w:r>
        <w:rPr>
          <w:rFonts w:hint="eastAsia" w:ascii="仿宋_GB2312" w:eastAsia="仿宋_GB2312"/>
          <w:sz w:val="32"/>
          <w:szCs w:val="32"/>
        </w:rPr>
        <w:t>、市政市容管理中心5个全额拨款事业单位</w:t>
      </w:r>
      <w:r>
        <w:rPr>
          <w:rFonts w:hint="eastAsia" w:ascii="仿宋_GB2312" w:eastAsia="仿宋_GB2312"/>
          <w:sz w:val="32"/>
          <w:szCs w:val="32"/>
          <w:lang w:eastAsia="zh-CN"/>
        </w:rPr>
        <w:t>及</w:t>
      </w:r>
      <w:r>
        <w:rPr>
          <w:rFonts w:hint="eastAsia" w:ascii="仿宋_GB2312" w:eastAsia="仿宋_GB2312"/>
          <w:sz w:val="32"/>
          <w:szCs w:val="32"/>
          <w:lang w:val="en-US" w:eastAsia="zh-CN"/>
        </w:rPr>
        <w:t>1个二级行政单位</w:t>
      </w:r>
      <w:r>
        <w:rPr>
          <w:rFonts w:hint="eastAsia" w:ascii="仿宋_GB2312" w:eastAsia="仿宋_GB2312"/>
          <w:sz w:val="32"/>
          <w:szCs w:val="32"/>
          <w:lang w:eastAsia="zh-CN"/>
        </w:rPr>
        <w:t>西城区城市管理综合行政执法局</w:t>
      </w:r>
      <w:r>
        <w:rPr>
          <w:rFonts w:hint="eastAsia" w:ascii="仿宋_GB2312" w:eastAsia="仿宋_GB2312"/>
          <w:sz w:val="32"/>
          <w:szCs w:val="32"/>
        </w:rPr>
        <w:t>。</w:t>
      </w:r>
    </w:p>
    <w:p>
      <w:pPr>
        <w:widowControl/>
        <w:ind w:left="-2" w:leftChars="-1" w:firstLine="640"/>
        <w:jc w:val="both"/>
        <w:rPr>
          <w:rFonts w:hint="eastAsia" w:ascii="仿宋" w:hAnsi="仿宋" w:eastAsia="仿宋" w:cs="Times New Roman"/>
          <w:sz w:val="32"/>
          <w:szCs w:val="32"/>
        </w:rPr>
      </w:pPr>
      <w:bookmarkStart w:id="13" w:name="_Toc456183426"/>
      <w:bookmarkStart w:id="14" w:name="_Toc452029967"/>
      <w:r>
        <w:rPr>
          <w:rFonts w:hint="eastAsia" w:ascii="仿宋" w:hAnsi="仿宋" w:eastAsia="仿宋" w:cs="仿宋"/>
          <w:sz w:val="32"/>
          <w:szCs w:val="32"/>
        </w:rPr>
        <w:t>区城管委</w:t>
      </w:r>
      <w:r>
        <w:rPr>
          <w:rFonts w:hint="eastAsia" w:ascii="仿宋" w:hAnsi="仿宋" w:eastAsia="仿宋" w:cs="仿宋"/>
          <w:sz w:val="32"/>
          <w:szCs w:val="32"/>
          <w:lang w:val="en-US" w:eastAsia="zh-CN"/>
        </w:rPr>
        <w:t>2024</w:t>
      </w:r>
      <w:r>
        <w:rPr>
          <w:rFonts w:hint="eastAsia" w:ascii="仿宋" w:hAnsi="仿宋" w:eastAsia="仿宋" w:cs="仿宋"/>
          <w:sz w:val="32"/>
          <w:szCs w:val="32"/>
        </w:rPr>
        <w:t>年度部门整体批复金额为168748.05万元，年中预算</w:t>
      </w:r>
      <w:r>
        <w:rPr>
          <w:rFonts w:hint="eastAsia" w:ascii="仿宋" w:hAnsi="仿宋" w:eastAsia="仿宋" w:cs="仿宋"/>
          <w:color w:val="auto"/>
          <w:sz w:val="32"/>
          <w:szCs w:val="32"/>
        </w:rPr>
        <w:t>调增</w:t>
      </w:r>
      <w:r>
        <w:rPr>
          <w:rFonts w:hint="eastAsia" w:ascii="仿宋" w:hAnsi="仿宋" w:eastAsia="仿宋" w:cs="仿宋"/>
          <w:color w:val="auto"/>
          <w:sz w:val="32"/>
          <w:szCs w:val="32"/>
          <w:lang w:val="en-US" w:eastAsia="zh-CN"/>
        </w:rPr>
        <w:t>38385.18</w:t>
      </w:r>
      <w:r>
        <w:rPr>
          <w:rFonts w:hint="eastAsia" w:ascii="仿宋" w:hAnsi="仿宋" w:eastAsia="仿宋" w:cs="仿宋"/>
          <w:color w:val="auto"/>
          <w:sz w:val="32"/>
          <w:szCs w:val="32"/>
        </w:rPr>
        <w:t>万元，预算调减</w:t>
      </w:r>
      <w:r>
        <w:rPr>
          <w:rFonts w:hint="eastAsia" w:ascii="仿宋" w:hAnsi="仿宋" w:eastAsia="仿宋" w:cs="仿宋"/>
          <w:color w:val="auto"/>
          <w:sz w:val="32"/>
          <w:szCs w:val="32"/>
          <w:lang w:val="en-US" w:eastAsia="zh-CN"/>
        </w:rPr>
        <w:t>47592.36</w:t>
      </w:r>
      <w:r>
        <w:rPr>
          <w:rFonts w:hint="eastAsia" w:ascii="仿宋" w:hAnsi="仿宋" w:eastAsia="仿宋" w:cs="仿宋"/>
          <w:color w:val="auto"/>
          <w:sz w:val="32"/>
          <w:szCs w:val="32"/>
        </w:rPr>
        <w:t>万元</w:t>
      </w:r>
      <w:r>
        <w:rPr>
          <w:rFonts w:hint="eastAsia" w:ascii="仿宋" w:hAnsi="仿宋" w:eastAsia="仿宋" w:cs="仿宋"/>
          <w:sz w:val="32"/>
          <w:szCs w:val="32"/>
        </w:rPr>
        <w:t>，调整后的部门整体预算为159540.87万元，</w:t>
      </w:r>
      <w:r>
        <w:rPr>
          <w:rFonts w:hint="eastAsia" w:ascii="仿宋" w:hAnsi="仿宋" w:eastAsia="仿宋" w:cs="仿宋"/>
          <w:sz w:val="32"/>
          <w:szCs w:val="32"/>
          <w:lang w:eastAsia="zh-CN"/>
        </w:rPr>
        <w:t>截至</w:t>
      </w:r>
      <w:r>
        <w:rPr>
          <w:rFonts w:hint="eastAsia" w:ascii="仿宋" w:hAnsi="仿宋" w:eastAsia="仿宋" w:cs="仿宋"/>
          <w:sz w:val="32"/>
          <w:szCs w:val="32"/>
          <w:lang w:val="en-US" w:eastAsia="zh-CN"/>
        </w:rPr>
        <w:t>2024年11月30日，</w:t>
      </w:r>
      <w:r>
        <w:rPr>
          <w:rFonts w:hint="eastAsia" w:ascii="仿宋" w:hAnsi="仿宋" w:eastAsia="仿宋" w:cs="仿宋"/>
          <w:sz w:val="32"/>
          <w:szCs w:val="32"/>
        </w:rPr>
        <w:t>预算支出124737.23万元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占预算78.19%。</w:t>
      </w:r>
      <w:r>
        <w:rPr>
          <w:rFonts w:hint="eastAsia" w:ascii="仿宋" w:hAnsi="仿宋" w:eastAsia="仿宋" w:cs="Times New Roman"/>
          <w:sz w:val="32"/>
          <w:szCs w:val="32"/>
        </w:rPr>
        <w:t>预算收支情况如下表：</w:t>
      </w:r>
    </w:p>
    <w:p>
      <w:pPr>
        <w:jc w:val="center"/>
        <w:rPr>
          <w:rFonts w:ascii="Times New Roman" w:hAnsi="Times New Roman" w:eastAsia="仿宋" w:cs="Times New Roman"/>
          <w:color w:val="000000" w:themeColor="text1"/>
          <w:szCs w:val="28"/>
          <w14:textFill>
            <w14:solidFill>
              <w14:schemeClr w14:val="tx1"/>
            </w14:solidFill>
          </w14:textFill>
        </w:rPr>
      </w:pPr>
      <w:r>
        <w:rPr>
          <w:rFonts w:ascii="Times New Roman" w:hAnsi="Times New Roman" w:eastAsia="仿宋" w:cs="Times New Roman"/>
          <w:color w:val="000000" w:themeColor="text1"/>
          <w:kern w:val="0"/>
          <w:sz w:val="24"/>
          <w:szCs w:val="28"/>
          <w14:textFill>
            <w14:solidFill>
              <w14:schemeClr w14:val="tx1"/>
            </w14:solidFill>
          </w14:textFill>
        </w:rPr>
        <w:t>20</w:t>
      </w:r>
      <w:r>
        <w:rPr>
          <w:rFonts w:hint="eastAsia" w:ascii="Times New Roman" w:hAnsi="Times New Roman" w:eastAsia="仿宋" w:cs="Times New Roman"/>
          <w:color w:val="000000" w:themeColor="text1"/>
          <w:kern w:val="0"/>
          <w:sz w:val="24"/>
          <w:szCs w:val="28"/>
          <w:lang w:val="en-US" w:eastAsia="zh-CN"/>
          <w14:textFill>
            <w14:solidFill>
              <w14:schemeClr w14:val="tx1"/>
            </w14:solidFill>
          </w14:textFill>
        </w:rPr>
        <w:t>24</w:t>
      </w:r>
      <w:r>
        <w:rPr>
          <w:rFonts w:ascii="Times New Roman" w:hAnsi="Times New Roman" w:eastAsia="仿宋" w:cs="Times New Roman"/>
          <w:color w:val="000000" w:themeColor="text1"/>
          <w:kern w:val="0"/>
          <w:sz w:val="24"/>
          <w:szCs w:val="28"/>
          <w14:textFill>
            <w14:solidFill>
              <w14:schemeClr w14:val="tx1"/>
            </w14:solidFill>
          </w14:textFill>
        </w:rPr>
        <w:t>年区城管委预算执行情况表</w:t>
      </w:r>
      <w:r>
        <w:rPr>
          <w:rFonts w:hint="eastAsia" w:ascii="Times New Roman" w:hAnsi="Times New Roman" w:eastAsia="仿宋" w:cs="Times New Roman"/>
          <w:color w:val="000000" w:themeColor="text1"/>
          <w:kern w:val="0"/>
          <w:sz w:val="24"/>
          <w:szCs w:val="28"/>
          <w:lang w:val="en-US" w:eastAsia="zh-CN"/>
          <w14:textFill>
            <w14:solidFill>
              <w14:schemeClr w14:val="tx1"/>
            </w14:solidFill>
          </w14:textFill>
        </w:rPr>
        <w:t xml:space="preserve">           </w:t>
      </w:r>
      <w:r>
        <w:rPr>
          <w:rFonts w:hint="eastAsia" w:ascii="Times New Roman" w:hAnsi="Times New Roman" w:eastAsia="仿宋" w:cs="Times New Roman"/>
          <w:kern w:val="0"/>
          <w:sz w:val="24"/>
          <w:szCs w:val="28"/>
        </w:rPr>
        <w:t>单位：万元</w:t>
      </w:r>
    </w:p>
    <w:tbl>
      <w:tblPr>
        <w:tblStyle w:val="14"/>
        <w:tblpPr w:leftFromText="180" w:rightFromText="180" w:vertAnchor="text" w:horzAnchor="page" w:tblpXSpec="center" w:tblpY="674"/>
        <w:tblOverlap w:val="never"/>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559"/>
        <w:gridCol w:w="1701"/>
        <w:gridCol w:w="1987"/>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1808" w:type="dxa"/>
            <w:shd w:val="clear" w:color="auto" w:fill="auto"/>
            <w:vAlign w:val="center"/>
          </w:tcPr>
          <w:p>
            <w:pPr>
              <w:widowControl/>
              <w:ind w:left="-2" w:leftChars="-1" w:firstLine="3"/>
              <w:jc w:val="center"/>
              <w:rPr>
                <w:rFonts w:ascii="Times New Roman" w:hAnsi="Times New Roman" w:eastAsia="仿宋" w:cs="Times New Roman"/>
                <w:bCs/>
                <w:kern w:val="0"/>
                <w:sz w:val="24"/>
                <w:szCs w:val="28"/>
              </w:rPr>
            </w:pPr>
            <w:r>
              <w:rPr>
                <w:rFonts w:ascii="Times New Roman" w:hAnsi="Times New Roman" w:eastAsia="仿宋" w:cs="Times New Roman"/>
                <w:bCs/>
                <w:kern w:val="0"/>
                <w:sz w:val="24"/>
                <w:szCs w:val="28"/>
              </w:rPr>
              <w:t>支出科目</w:t>
            </w:r>
          </w:p>
        </w:tc>
        <w:tc>
          <w:tcPr>
            <w:tcW w:w="1559" w:type="dxa"/>
            <w:shd w:val="clear" w:color="auto" w:fill="auto"/>
            <w:vAlign w:val="center"/>
          </w:tcPr>
          <w:p>
            <w:pPr>
              <w:widowControl/>
              <w:ind w:left="-2" w:leftChars="-1"/>
              <w:jc w:val="center"/>
              <w:rPr>
                <w:rFonts w:ascii="Times New Roman" w:hAnsi="Times New Roman" w:eastAsia="仿宋" w:cs="Times New Roman"/>
                <w:bCs/>
                <w:kern w:val="0"/>
                <w:sz w:val="24"/>
                <w:szCs w:val="28"/>
              </w:rPr>
            </w:pPr>
            <w:r>
              <w:rPr>
                <w:rFonts w:hint="eastAsia" w:ascii="Times New Roman" w:hAnsi="Times New Roman" w:eastAsia="仿宋" w:cs="Times New Roman"/>
                <w:bCs/>
                <w:kern w:val="0"/>
                <w:sz w:val="24"/>
                <w:szCs w:val="28"/>
              </w:rPr>
              <w:t>年初预算</w:t>
            </w:r>
            <w:r>
              <w:rPr>
                <w:rFonts w:ascii="Times New Roman" w:hAnsi="Times New Roman" w:eastAsia="仿宋" w:cs="Times New Roman"/>
                <w:bCs/>
                <w:kern w:val="0"/>
                <w:sz w:val="24"/>
                <w:szCs w:val="28"/>
              </w:rPr>
              <w:t>金额</w:t>
            </w:r>
          </w:p>
        </w:tc>
        <w:tc>
          <w:tcPr>
            <w:tcW w:w="1701" w:type="dxa"/>
            <w:shd w:val="clear" w:color="auto" w:fill="auto"/>
            <w:vAlign w:val="center"/>
          </w:tcPr>
          <w:p>
            <w:pPr>
              <w:widowControl/>
              <w:ind w:left="-2" w:leftChars="-1"/>
              <w:jc w:val="center"/>
              <w:rPr>
                <w:rFonts w:ascii="Times New Roman" w:hAnsi="Times New Roman" w:eastAsia="仿宋" w:cs="Times New Roman"/>
                <w:kern w:val="0"/>
                <w:sz w:val="24"/>
                <w:szCs w:val="28"/>
              </w:rPr>
            </w:pPr>
            <w:r>
              <w:rPr>
                <w:rFonts w:ascii="Times New Roman" w:hAnsi="Times New Roman" w:eastAsia="仿宋" w:cs="Times New Roman"/>
                <w:kern w:val="0"/>
                <w:sz w:val="24"/>
                <w:szCs w:val="28"/>
              </w:rPr>
              <w:t>调整后预算</w:t>
            </w:r>
          </w:p>
        </w:tc>
        <w:tc>
          <w:tcPr>
            <w:tcW w:w="1987" w:type="dxa"/>
            <w:shd w:val="clear" w:color="auto" w:fill="auto"/>
            <w:vAlign w:val="center"/>
          </w:tcPr>
          <w:p>
            <w:pPr>
              <w:widowControl/>
              <w:ind w:left="-2" w:leftChars="-1"/>
              <w:jc w:val="center"/>
              <w:rPr>
                <w:rFonts w:ascii="Times New Roman" w:hAnsi="Times New Roman" w:eastAsia="仿宋" w:cs="Times New Roman"/>
                <w:kern w:val="0"/>
                <w:sz w:val="24"/>
                <w:szCs w:val="28"/>
              </w:rPr>
            </w:pPr>
            <w:r>
              <w:rPr>
                <w:rFonts w:ascii="Times New Roman" w:hAnsi="Times New Roman" w:eastAsia="仿宋" w:cs="Times New Roman"/>
                <w:kern w:val="0"/>
                <w:sz w:val="24"/>
                <w:szCs w:val="28"/>
              </w:rPr>
              <w:t>支出金额</w:t>
            </w:r>
          </w:p>
        </w:tc>
        <w:tc>
          <w:tcPr>
            <w:tcW w:w="1662" w:type="dxa"/>
            <w:shd w:val="clear" w:color="auto" w:fill="auto"/>
            <w:vAlign w:val="center"/>
          </w:tcPr>
          <w:p>
            <w:pPr>
              <w:widowControl/>
              <w:ind w:left="-2" w:leftChars="-1"/>
              <w:jc w:val="center"/>
              <w:rPr>
                <w:rFonts w:hint="eastAsia" w:ascii="Times New Roman" w:hAnsi="Times New Roman" w:eastAsia="仿宋" w:cs="Times New Roman"/>
                <w:bCs/>
                <w:kern w:val="0"/>
                <w:sz w:val="24"/>
                <w:szCs w:val="28"/>
                <w:lang w:eastAsia="zh-CN"/>
              </w:rPr>
            </w:pPr>
            <w:r>
              <w:rPr>
                <w:rFonts w:hint="eastAsia" w:ascii="Times New Roman" w:hAnsi="Times New Roman" w:eastAsia="仿宋" w:cs="Times New Roman"/>
                <w:bCs/>
                <w:kern w:val="0"/>
                <w:sz w:val="24"/>
                <w:szCs w:val="28"/>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08" w:type="dxa"/>
            <w:shd w:val="clear" w:color="auto" w:fill="auto"/>
            <w:vAlign w:val="center"/>
          </w:tcPr>
          <w:p>
            <w:pPr>
              <w:widowControl/>
              <w:ind w:left="-2" w:leftChars="-1" w:firstLine="37"/>
              <w:jc w:val="center"/>
              <w:rPr>
                <w:rFonts w:ascii="Times New Roman" w:hAnsi="Times New Roman" w:eastAsia="仿宋" w:cs="Times New Roman"/>
                <w:kern w:val="0"/>
                <w:sz w:val="24"/>
                <w:szCs w:val="28"/>
              </w:rPr>
            </w:pPr>
            <w:r>
              <w:rPr>
                <w:rFonts w:hint="eastAsia" w:ascii="Times New Roman" w:hAnsi="Times New Roman" w:eastAsia="仿宋" w:cs="Times New Roman"/>
                <w:kern w:val="0"/>
                <w:sz w:val="24"/>
                <w:szCs w:val="28"/>
              </w:rPr>
              <w:t>一</w:t>
            </w:r>
            <w:r>
              <w:rPr>
                <w:rFonts w:ascii="Times New Roman" w:hAnsi="Times New Roman" w:eastAsia="仿宋" w:cs="Times New Roman"/>
                <w:kern w:val="0"/>
                <w:sz w:val="24"/>
                <w:szCs w:val="28"/>
              </w:rPr>
              <w:t>、</w:t>
            </w:r>
            <w:r>
              <w:rPr>
                <w:rFonts w:hint="eastAsia" w:ascii="Times New Roman" w:hAnsi="Times New Roman" w:eastAsia="仿宋" w:cs="Times New Roman"/>
                <w:kern w:val="0"/>
                <w:sz w:val="24"/>
                <w:szCs w:val="28"/>
              </w:rPr>
              <w:t>基本支出</w:t>
            </w:r>
          </w:p>
        </w:tc>
        <w:tc>
          <w:tcPr>
            <w:tcW w:w="1559"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9195.99</w:t>
            </w:r>
          </w:p>
        </w:tc>
        <w:tc>
          <w:tcPr>
            <w:tcW w:w="1701"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9432.14</w:t>
            </w:r>
          </w:p>
        </w:tc>
        <w:tc>
          <w:tcPr>
            <w:tcW w:w="1987" w:type="dxa"/>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8616.84</w:t>
            </w:r>
          </w:p>
        </w:tc>
        <w:tc>
          <w:tcPr>
            <w:tcW w:w="1662" w:type="dxa"/>
            <w:shd w:val="clear" w:color="auto" w:fill="auto"/>
            <w:vAlign w:val="center"/>
          </w:tcPr>
          <w:p>
            <w:pPr>
              <w:jc w:val="right"/>
              <w:rPr>
                <w:rFonts w:ascii="仿宋" w:hAnsi="仿宋" w:eastAsia="仿宋" w:cs="Times New Roman"/>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2" w:leftChars="-1" w:firstLine="37"/>
              <w:jc w:val="center"/>
              <w:rPr>
                <w:rFonts w:ascii="Times New Roman" w:hAnsi="Times New Roman" w:eastAsia="仿宋" w:cs="Times New Roman"/>
                <w:kern w:val="0"/>
                <w:sz w:val="24"/>
                <w:szCs w:val="28"/>
              </w:rPr>
            </w:pPr>
            <w:r>
              <w:rPr>
                <w:rFonts w:hint="eastAsia" w:ascii="Times New Roman" w:hAnsi="Times New Roman" w:eastAsia="仿宋" w:cs="Times New Roman"/>
                <w:kern w:val="0"/>
                <w:sz w:val="24"/>
                <w:szCs w:val="28"/>
              </w:rPr>
              <w:t>二</w:t>
            </w:r>
            <w:r>
              <w:rPr>
                <w:rFonts w:ascii="Times New Roman" w:hAnsi="Times New Roman" w:eastAsia="仿宋" w:cs="Times New Roman"/>
                <w:kern w:val="0"/>
                <w:sz w:val="24"/>
                <w:szCs w:val="28"/>
              </w:rPr>
              <w:t>、</w:t>
            </w:r>
            <w:r>
              <w:rPr>
                <w:rFonts w:hint="eastAsia" w:ascii="Times New Roman" w:hAnsi="Times New Roman" w:eastAsia="仿宋" w:cs="Times New Roman"/>
                <w:kern w:val="0"/>
                <w:sz w:val="24"/>
                <w:szCs w:val="28"/>
              </w:rPr>
              <w:t>项目支出</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159552.06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150108.73</w:t>
            </w:r>
          </w:p>
        </w:tc>
        <w:tc>
          <w:tcPr>
            <w:tcW w:w="198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仿宋" w:hAnsi="仿宋" w:eastAsia="仿宋" w:cs="Times New Roman"/>
                <w:color w:val="000000"/>
                <w:sz w:val="22"/>
                <w:lang w:val="en-US" w:eastAsia="zh-CN"/>
              </w:rPr>
            </w:pPr>
            <w:r>
              <w:rPr>
                <w:rFonts w:hint="eastAsia" w:ascii="仿宋" w:hAnsi="仿宋" w:eastAsia="仿宋" w:cs="Times New Roman"/>
                <w:color w:val="000000"/>
                <w:sz w:val="22"/>
                <w:lang w:val="en-US" w:eastAsia="zh-CN"/>
              </w:rPr>
              <w:t>116120.40</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 w:hAnsi="仿宋" w:eastAsia="仿宋" w:cs="Times New Roman"/>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808" w:type="dxa"/>
            <w:shd w:val="clear" w:color="auto" w:fill="auto"/>
            <w:vAlign w:val="center"/>
          </w:tcPr>
          <w:p>
            <w:pPr>
              <w:widowControl/>
              <w:ind w:left="-2" w:leftChars="-1" w:firstLine="37"/>
              <w:jc w:val="center"/>
              <w:rPr>
                <w:rFonts w:ascii="Times New Roman" w:hAnsi="Times New Roman" w:eastAsia="仿宋" w:cs="Times New Roman"/>
                <w:bCs/>
                <w:kern w:val="0"/>
                <w:sz w:val="24"/>
                <w:szCs w:val="28"/>
              </w:rPr>
            </w:pPr>
            <w:r>
              <w:rPr>
                <w:rFonts w:ascii="Times New Roman" w:hAnsi="Times New Roman" w:eastAsia="仿宋" w:cs="Times New Roman"/>
                <w:bCs/>
                <w:kern w:val="0"/>
                <w:sz w:val="24"/>
                <w:szCs w:val="28"/>
              </w:rPr>
              <w:t>合计</w:t>
            </w:r>
          </w:p>
        </w:tc>
        <w:tc>
          <w:tcPr>
            <w:tcW w:w="1559" w:type="dxa"/>
            <w:shd w:val="clear" w:color="auto" w:fill="auto"/>
            <w:vAlign w:val="center"/>
          </w:tcPr>
          <w:p>
            <w:pPr>
              <w:jc w:val="right"/>
              <w:rPr>
                <w:rFonts w:ascii="仿宋" w:hAnsi="仿宋" w:eastAsia="仿宋" w:cs="Times New Roman"/>
                <w:color w:val="000000"/>
                <w:sz w:val="22"/>
              </w:rPr>
            </w:pPr>
            <w:r>
              <w:rPr>
                <w:rFonts w:hint="eastAsia" w:ascii="仿宋" w:hAnsi="仿宋" w:eastAsia="仿宋" w:cs="Times New Roman"/>
                <w:color w:val="000000"/>
                <w:sz w:val="22"/>
              </w:rPr>
              <w:t>168748.05</w:t>
            </w:r>
          </w:p>
        </w:tc>
        <w:tc>
          <w:tcPr>
            <w:tcW w:w="1701" w:type="dxa"/>
            <w:shd w:val="clear" w:color="auto" w:fill="auto"/>
            <w:vAlign w:val="center"/>
          </w:tcPr>
          <w:p>
            <w:pPr>
              <w:jc w:val="right"/>
              <w:rPr>
                <w:rFonts w:hint="default" w:ascii="仿宋" w:hAnsi="仿宋" w:eastAsia="仿宋" w:cs="Times New Roman"/>
                <w:color w:val="000000"/>
                <w:sz w:val="22"/>
                <w:lang w:val="en-US" w:eastAsia="zh-CN"/>
              </w:rPr>
            </w:pPr>
            <w:r>
              <w:rPr>
                <w:rFonts w:hint="default" w:ascii="仿宋" w:hAnsi="仿宋" w:eastAsia="仿宋" w:cs="Times New Roman"/>
                <w:color w:val="000000"/>
                <w:sz w:val="22"/>
                <w:lang w:val="en-US" w:eastAsia="zh-CN"/>
              </w:rPr>
              <w:t>159540.87</w:t>
            </w:r>
          </w:p>
        </w:tc>
        <w:tc>
          <w:tcPr>
            <w:tcW w:w="1987" w:type="dxa"/>
            <w:shd w:val="clear" w:color="auto" w:fill="auto"/>
            <w:vAlign w:val="center"/>
          </w:tcPr>
          <w:p>
            <w:pPr>
              <w:jc w:val="right"/>
              <w:rPr>
                <w:rFonts w:hint="default" w:ascii="仿宋" w:hAnsi="仿宋" w:eastAsia="仿宋" w:cs="Times New Roman"/>
                <w:color w:val="000000"/>
                <w:sz w:val="22"/>
                <w:lang w:val="en-US" w:eastAsia="zh-CN"/>
              </w:rPr>
            </w:pPr>
            <w:r>
              <w:rPr>
                <w:rFonts w:hint="default" w:ascii="仿宋" w:hAnsi="仿宋" w:eastAsia="仿宋" w:cs="Times New Roman"/>
                <w:color w:val="000000"/>
                <w:sz w:val="22"/>
                <w:lang w:val="en-US" w:eastAsia="zh-CN"/>
              </w:rPr>
              <w:t>124737.23</w:t>
            </w:r>
          </w:p>
        </w:tc>
        <w:tc>
          <w:tcPr>
            <w:tcW w:w="1662" w:type="dxa"/>
            <w:shd w:val="clear" w:color="auto" w:fill="auto"/>
            <w:vAlign w:val="center"/>
          </w:tcPr>
          <w:p>
            <w:pPr>
              <w:jc w:val="right"/>
              <w:rPr>
                <w:rFonts w:ascii="仿宋" w:hAnsi="仿宋" w:eastAsia="仿宋" w:cs="Times New Roman"/>
                <w:color w:val="000000"/>
                <w:sz w:val="22"/>
              </w:rPr>
            </w:pPr>
          </w:p>
        </w:tc>
      </w:tr>
    </w:tbl>
    <w:p>
      <w:pPr>
        <w:pStyle w:val="2"/>
        <w:keepNext/>
        <w:keepLines/>
        <w:widowControl w:val="0"/>
        <w:spacing w:before="156" w:beforeLines="50" w:beforeAutospacing="0" w:after="156" w:afterLines="50" w:afterAutospacing="0" w:line="360" w:lineRule="auto"/>
        <w:rPr>
          <w:rFonts w:hint="eastAsia" w:ascii="仿宋" w:hAnsi="仿宋" w:eastAsia="仿宋" w:cs="仿宋"/>
          <w:b w:val="0"/>
          <w:color w:val="000000" w:themeColor="text1"/>
          <w:kern w:val="2"/>
          <w:sz w:val="32"/>
          <w:szCs w:val="32"/>
          <w14:textFill>
            <w14:solidFill>
              <w14:schemeClr w14:val="tx1"/>
            </w14:solidFill>
          </w14:textFill>
        </w:rPr>
      </w:pPr>
    </w:p>
    <w:p>
      <w:pPr>
        <w:pStyle w:val="2"/>
        <w:keepNext/>
        <w:keepLines/>
        <w:widowControl w:val="0"/>
        <w:spacing w:before="156" w:beforeLines="50" w:beforeAutospacing="0" w:after="156" w:afterLines="50" w:afterAutospacing="0" w:line="360" w:lineRule="auto"/>
        <w:rPr>
          <w:rFonts w:hint="eastAsia" w:ascii="仿宋" w:hAnsi="仿宋" w:eastAsia="仿宋" w:cs="仿宋"/>
          <w:b w:val="0"/>
          <w:color w:val="000000" w:themeColor="text1"/>
          <w:kern w:val="2"/>
          <w:sz w:val="32"/>
          <w:szCs w:val="32"/>
          <w14:textFill>
            <w14:solidFill>
              <w14:schemeClr w14:val="tx1"/>
            </w14:solidFill>
          </w14:textFill>
        </w:rPr>
      </w:pPr>
    </w:p>
    <w:p>
      <w:pPr>
        <w:pStyle w:val="2"/>
        <w:keepNext/>
        <w:keepLines/>
        <w:widowControl w:val="0"/>
        <w:spacing w:before="156" w:beforeLines="50" w:beforeAutospacing="0" w:after="156" w:afterLines="50" w:afterAutospacing="0" w:line="360" w:lineRule="auto"/>
        <w:rPr>
          <w:rFonts w:hint="eastAsia" w:ascii="仿宋" w:hAnsi="仿宋" w:eastAsia="仿宋" w:cs="仿宋"/>
          <w:b w:val="0"/>
          <w:color w:val="000000" w:themeColor="text1"/>
          <w:kern w:val="2"/>
          <w:sz w:val="32"/>
          <w:szCs w:val="32"/>
          <w14:textFill>
            <w14:solidFill>
              <w14:schemeClr w14:val="tx1"/>
            </w14:solidFill>
          </w14:textFill>
        </w:rPr>
      </w:pPr>
    </w:p>
    <w:p>
      <w:pPr>
        <w:pStyle w:val="2"/>
        <w:keepNext/>
        <w:keepLines/>
        <w:widowControl w:val="0"/>
        <w:spacing w:before="156" w:beforeLines="50" w:beforeAutospacing="0" w:after="156" w:afterLines="50" w:afterAutospacing="0" w:line="360" w:lineRule="auto"/>
        <w:rPr>
          <w:rFonts w:ascii="仿宋" w:hAnsi="仿宋" w:eastAsia="仿宋" w:cs="仿宋"/>
          <w:b w:val="0"/>
          <w:color w:val="000000" w:themeColor="text1"/>
          <w:kern w:val="2"/>
          <w:sz w:val="32"/>
          <w:szCs w:val="32"/>
          <w14:textFill>
            <w14:solidFill>
              <w14:schemeClr w14:val="tx1"/>
            </w14:solidFill>
          </w14:textFill>
        </w:rPr>
      </w:pPr>
      <w:r>
        <w:rPr>
          <w:rFonts w:hint="eastAsia" w:ascii="仿宋" w:hAnsi="仿宋" w:eastAsia="仿宋" w:cs="仿宋"/>
          <w:b w:val="0"/>
          <w:color w:val="000000" w:themeColor="text1"/>
          <w:kern w:val="2"/>
          <w:sz w:val="32"/>
          <w:szCs w:val="32"/>
          <w14:textFill>
            <w14:solidFill>
              <w14:schemeClr w14:val="tx1"/>
            </w14:solidFill>
          </w14:textFill>
        </w:rPr>
        <w:t>（二）评价结论</w:t>
      </w:r>
      <w:bookmarkEnd w:id="13"/>
    </w:p>
    <w:bookmarkEnd w:id="14"/>
    <w:p>
      <w:pPr>
        <w:spacing w:line="264" w:lineRule="auto"/>
        <w:ind w:firstLine="640" w:firstLineChars="200"/>
        <w:rPr>
          <w:rFonts w:hint="eastAsia"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lang w:eastAsia="zh-CN"/>
          <w14:textFill>
            <w14:solidFill>
              <w14:schemeClr w14:val="tx1"/>
            </w14:solidFill>
          </w14:textFill>
        </w:rPr>
        <w:t>我委</w:t>
      </w:r>
      <w:r>
        <w:rPr>
          <w:rFonts w:hint="eastAsia" w:ascii="仿宋" w:hAnsi="仿宋" w:eastAsia="仿宋" w:cs="Times New Roman"/>
          <w:color w:val="000000" w:themeColor="text1"/>
          <w:sz w:val="32"/>
          <w:szCs w:val="32"/>
          <w14:textFill>
            <w14:solidFill>
              <w14:schemeClr w14:val="tx1"/>
            </w14:solidFill>
          </w14:textFill>
        </w:rPr>
        <w:t>整体绩效目标总体评定为“良好”</w:t>
      </w:r>
      <w:r>
        <w:rPr>
          <w:rFonts w:hint="eastAsia" w:ascii="仿宋" w:hAnsi="仿宋" w:eastAsia="仿宋" w:cs="Times New Roman"/>
          <w:color w:val="000000" w:themeColor="text1"/>
          <w:sz w:val="32"/>
          <w:szCs w:val="32"/>
          <w:lang w:eastAsia="zh-CN"/>
          <w14:textFill>
            <w14:solidFill>
              <w14:schemeClr w14:val="tx1"/>
            </w14:solidFill>
          </w14:textFill>
        </w:rPr>
        <w:t>。</w:t>
      </w:r>
      <w:r>
        <w:rPr>
          <w:rFonts w:hint="eastAsia" w:ascii="仿宋" w:hAnsi="仿宋" w:eastAsia="仿宋" w:cs="Times New Roman"/>
          <w:color w:val="000000" w:themeColor="text1"/>
          <w:sz w:val="32"/>
          <w:szCs w:val="32"/>
          <w14:textFill>
            <w14:solidFill>
              <w14:schemeClr w14:val="tx1"/>
            </w14:solidFill>
          </w14:textFill>
        </w:rPr>
        <w:t>整体绩效目标实现情况如下：</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bookmarkStart w:id="15" w:name="_Toc452029968"/>
      <w:bookmarkStart w:id="16" w:name="_Toc452985745"/>
      <w:r>
        <w:rPr>
          <w:rFonts w:hint="eastAsia" w:ascii="仿宋" w:hAnsi="仿宋" w:eastAsia="仿宋" w:cs="Times New Roman"/>
          <w:color w:val="000000" w:themeColor="text1"/>
          <w:sz w:val="32"/>
          <w:szCs w:val="32"/>
          <w14:textFill>
            <w14:solidFill>
              <w14:schemeClr w14:val="tx1"/>
            </w14:solidFill>
          </w14:textFill>
        </w:rPr>
        <w:t>1．</w:t>
      </w:r>
      <w:r>
        <w:rPr>
          <w:rFonts w:ascii="仿宋" w:hAnsi="仿宋" w:eastAsia="仿宋" w:cs="Times New Roman"/>
          <w:color w:val="000000" w:themeColor="text1"/>
          <w:sz w:val="32"/>
          <w:szCs w:val="32"/>
          <w14:textFill>
            <w14:solidFill>
              <w14:schemeClr w14:val="tx1"/>
            </w14:solidFill>
          </w14:textFill>
        </w:rPr>
        <w:t>部门绩效</w:t>
      </w:r>
      <w:bookmarkEnd w:id="15"/>
      <w:bookmarkEnd w:id="16"/>
      <w:r>
        <w:rPr>
          <w:rFonts w:ascii="仿宋" w:hAnsi="仿宋" w:eastAsia="仿宋" w:cs="Times New Roman"/>
          <w:color w:val="000000" w:themeColor="text1"/>
          <w:sz w:val="32"/>
          <w:szCs w:val="32"/>
          <w14:textFill>
            <w14:solidFill>
              <w14:schemeClr w14:val="tx1"/>
            </w14:solidFill>
          </w14:textFill>
        </w:rPr>
        <w:t>管理</w:t>
      </w:r>
      <w:r>
        <w:rPr>
          <w:rFonts w:hint="eastAsia" w:ascii="仿宋" w:hAnsi="仿宋" w:eastAsia="仿宋" w:cs="Times New Roman"/>
          <w:color w:val="000000" w:themeColor="text1"/>
          <w:sz w:val="32"/>
          <w:szCs w:val="32"/>
          <w14:textFill>
            <w14:solidFill>
              <w14:schemeClr w14:val="tx1"/>
            </w14:solidFill>
          </w14:textFill>
        </w:rPr>
        <w:t>情况</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（1）区城管委在</w:t>
      </w:r>
      <w:r>
        <w:rPr>
          <w:rFonts w:hint="eastAsia" w:ascii="仿宋" w:hAnsi="仿宋" w:eastAsia="仿宋" w:cs="Times New Roman"/>
          <w:color w:val="000000" w:themeColor="text1"/>
          <w:sz w:val="32"/>
          <w:szCs w:val="32"/>
          <w:lang w:val="en-US" w:eastAsia="zh-CN"/>
          <w14:textFill>
            <w14:solidFill>
              <w14:schemeClr w14:val="tx1"/>
            </w14:solidFill>
          </w14:textFill>
        </w:rPr>
        <w:t>2024</w:t>
      </w:r>
      <w:r>
        <w:rPr>
          <w:rFonts w:hint="eastAsia" w:ascii="仿宋" w:hAnsi="仿宋" w:eastAsia="仿宋" w:cs="Times New Roman"/>
          <w:color w:val="000000" w:themeColor="text1"/>
          <w:sz w:val="32"/>
          <w:szCs w:val="32"/>
          <w14:textFill>
            <w14:solidFill>
              <w14:schemeClr w14:val="tx1"/>
            </w14:solidFill>
          </w14:textFill>
        </w:rPr>
        <w:t>年部门日常管理过程中，继续贯彻落实《中华人民共和国预算法》和《北京市西城区区级部门预算编制管理办法》等有关法律法规和规章制度，并结合区城管委实际情况，</w:t>
      </w:r>
      <w:r>
        <w:rPr>
          <w:rFonts w:hint="eastAsia" w:ascii="仿宋" w:hAnsi="仿宋" w:eastAsia="仿宋" w:cs="Times New Roman"/>
          <w:color w:val="000000" w:themeColor="text1"/>
          <w:sz w:val="32"/>
          <w:szCs w:val="32"/>
          <w:lang w:eastAsia="zh-CN"/>
          <w14:textFill>
            <w14:solidFill>
              <w14:schemeClr w14:val="tx1"/>
            </w14:solidFill>
          </w14:textFill>
        </w:rPr>
        <w:t>完善</w:t>
      </w:r>
      <w:r>
        <w:rPr>
          <w:rFonts w:hint="eastAsia" w:ascii="仿宋" w:hAnsi="仿宋" w:eastAsia="仿宋" w:cs="Times New Roman"/>
          <w:color w:val="000000" w:themeColor="text1"/>
          <w:sz w:val="32"/>
          <w:szCs w:val="32"/>
          <w14:textFill>
            <w14:solidFill>
              <w14:schemeClr w14:val="tx1"/>
            </w14:solidFill>
          </w14:textFill>
        </w:rPr>
        <w:t>了《内部控制制度》，以规范部门日常管理行为，强化预算约束。</w:t>
      </w:r>
    </w:p>
    <w:p>
      <w:pPr>
        <w:spacing w:line="264" w:lineRule="auto"/>
        <w:ind w:firstLine="640" w:firstLineChars="200"/>
        <w:rPr>
          <w:rFonts w:hint="eastAsia" w:ascii="仿宋" w:hAnsi="仿宋" w:eastAsia="仿宋" w:cs="Times New Roman"/>
          <w:color w:val="000000" w:themeColor="text1"/>
          <w:sz w:val="32"/>
          <w:szCs w:val="32"/>
          <w:lang w:eastAsia="zh-CN"/>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（2）区城管委成立了相关绩效管理工作领导小组，组长为</w:t>
      </w:r>
      <w:r>
        <w:rPr>
          <w:rFonts w:hint="eastAsia" w:ascii="仿宋" w:hAnsi="仿宋" w:eastAsia="仿宋" w:cs="Times New Roman"/>
          <w:color w:val="000000" w:themeColor="text1"/>
          <w:sz w:val="32"/>
          <w:szCs w:val="32"/>
          <w:lang w:val="en-US" w:eastAsia="zh-CN"/>
          <w14:textFill>
            <w14:solidFill>
              <w14:schemeClr w14:val="tx1"/>
            </w14:solidFill>
          </w14:textFill>
        </w:rPr>
        <w:t>委</w:t>
      </w:r>
      <w:r>
        <w:rPr>
          <w:rFonts w:hint="eastAsia" w:ascii="仿宋" w:hAnsi="仿宋" w:eastAsia="仿宋" w:cs="Times New Roman"/>
          <w:color w:val="000000" w:themeColor="text1"/>
          <w:sz w:val="32"/>
          <w:szCs w:val="32"/>
          <w14:textFill>
            <w14:solidFill>
              <w14:schemeClr w14:val="tx1"/>
            </w14:solidFill>
          </w14:textFill>
        </w:rPr>
        <w:t>主要领导，各主管领导为成员，领导小组办公室设在</w:t>
      </w:r>
      <w:r>
        <w:rPr>
          <w:rFonts w:hint="eastAsia" w:ascii="仿宋" w:hAnsi="仿宋" w:eastAsia="仿宋" w:cs="Times New Roman"/>
          <w:color w:val="000000" w:themeColor="text1"/>
          <w:sz w:val="32"/>
          <w:szCs w:val="32"/>
          <w:lang w:val="en-US" w:eastAsia="zh-CN"/>
          <w14:textFill>
            <w14:solidFill>
              <w14:schemeClr w14:val="tx1"/>
            </w14:solidFill>
          </w14:textFill>
        </w:rPr>
        <w:t>委</w:t>
      </w:r>
      <w:r>
        <w:rPr>
          <w:rFonts w:hint="eastAsia" w:ascii="仿宋" w:hAnsi="仿宋" w:eastAsia="仿宋" w:cs="Times New Roman"/>
          <w:color w:val="000000" w:themeColor="text1"/>
          <w:sz w:val="32"/>
          <w:szCs w:val="32"/>
          <w14:textFill>
            <w14:solidFill>
              <w14:schemeClr w14:val="tx1"/>
            </w14:solidFill>
          </w14:textFill>
        </w:rPr>
        <w:t>办公室，承担领导小组的日常工作。成立财务内控小组，由财务人员、法制人员组成</w:t>
      </w:r>
      <w:r>
        <w:rPr>
          <w:rFonts w:hint="eastAsia" w:ascii="仿宋" w:hAnsi="仿宋" w:eastAsia="仿宋" w:cs="Times New Roman"/>
          <w:color w:val="000000" w:themeColor="text1"/>
          <w:sz w:val="32"/>
          <w:szCs w:val="32"/>
          <w:lang w:eastAsia="zh-CN"/>
          <w14:textFill>
            <w14:solidFill>
              <w14:schemeClr w14:val="tx1"/>
            </w14:solidFill>
          </w14:textFill>
        </w:rPr>
        <w:t>。</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3）区城管委为了提高财政资金使用效率，每月初财务人员向各主管领导报送上月预算执行进度表，每季度召开1次例会听取各科室队工作进度汇报，并根据“三重一大”议事规则、财务报销制度等内控制度对相关支出进行研究审议。</w:t>
      </w:r>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2．部门</w:t>
      </w:r>
      <w:r>
        <w:rPr>
          <w:rFonts w:hint="eastAsia" w:ascii="仿宋" w:hAnsi="仿宋" w:eastAsia="仿宋" w:cs="Times New Roman"/>
          <w:sz w:val="32"/>
          <w:szCs w:val="32"/>
          <w:lang w:eastAsia="zh-CN"/>
        </w:rPr>
        <w:t>完成</w:t>
      </w:r>
      <w:r>
        <w:rPr>
          <w:rFonts w:hint="eastAsia" w:ascii="仿宋" w:hAnsi="仿宋" w:eastAsia="仿宋" w:cs="Times New Roman"/>
          <w:sz w:val="32"/>
          <w:szCs w:val="32"/>
        </w:rPr>
        <w:t>的主要绩效</w:t>
      </w:r>
    </w:p>
    <w:p>
      <w:pPr>
        <w:ind w:firstLine="640" w:firstLineChars="200"/>
        <w:rPr>
          <w:rFonts w:hint="eastAsia" w:ascii="仿宋_GB2312" w:eastAsia="仿宋_GB2312"/>
          <w:b w:val="0"/>
          <w:bCs w:val="0"/>
          <w:sz w:val="32"/>
          <w:szCs w:val="32"/>
          <w:highlight w:val="none"/>
          <w:lang w:eastAsia="zh-CN"/>
        </w:rPr>
      </w:pPr>
      <w:r>
        <w:rPr>
          <w:rFonts w:hint="eastAsia" w:ascii="楷体" w:hAnsi="楷体" w:eastAsia="楷体" w:cs="楷体"/>
          <w:color w:val="000000" w:themeColor="text1"/>
          <w:sz w:val="32"/>
          <w:szCs w:val="32"/>
          <w:lang w:val="en-US" w:eastAsia="zh-CN"/>
          <w14:textFill>
            <w14:solidFill>
              <w14:schemeClr w14:val="tx1"/>
            </w14:solidFill>
          </w14:textFill>
        </w:rPr>
        <w:t>贯彻落实“四个服务”，服务保障首都功能再出新成果。</w:t>
      </w:r>
      <w:r>
        <w:rPr>
          <w:rFonts w:hint="eastAsia" w:ascii="仿宋_GB2312" w:eastAsia="仿宋_GB2312"/>
          <w:b w:val="0"/>
          <w:bCs w:val="0"/>
          <w:sz w:val="32"/>
          <w:szCs w:val="32"/>
          <w:highlight w:val="none"/>
          <w:lang w:eastAsia="zh-CN"/>
        </w:rPr>
        <w:t>对</w:t>
      </w:r>
      <w:r>
        <w:rPr>
          <w:rFonts w:hint="eastAsia" w:ascii="仿宋_GB2312" w:eastAsia="仿宋_GB2312"/>
          <w:b w:val="0"/>
          <w:bCs w:val="0"/>
          <w:sz w:val="32"/>
          <w:szCs w:val="32"/>
          <w:highlight w:val="none"/>
        </w:rPr>
        <w:t>核心区</w:t>
      </w:r>
      <w:r>
        <w:rPr>
          <w:rFonts w:hint="eastAsia" w:ascii="仿宋_GB2312" w:eastAsia="仿宋_GB2312"/>
          <w:b w:val="0"/>
          <w:bCs w:val="0"/>
          <w:sz w:val="32"/>
          <w:szCs w:val="32"/>
          <w:highlight w:val="none"/>
          <w:lang w:val="en-US" w:eastAsia="zh-CN"/>
        </w:rPr>
        <w:t>20622米</w:t>
      </w:r>
      <w:r>
        <w:rPr>
          <w:rFonts w:hint="eastAsia" w:ascii="仿宋_GB2312" w:eastAsia="仿宋_GB2312"/>
          <w:b w:val="0"/>
          <w:bCs w:val="0"/>
          <w:sz w:val="32"/>
          <w:szCs w:val="32"/>
          <w:highlight w:val="none"/>
        </w:rPr>
        <w:t>城市道路护栏</w:t>
      </w:r>
      <w:r>
        <w:rPr>
          <w:rFonts w:hint="eastAsia" w:ascii="仿宋_GB2312" w:eastAsia="仿宋_GB2312"/>
          <w:b w:val="0"/>
          <w:bCs w:val="0"/>
          <w:sz w:val="32"/>
          <w:szCs w:val="32"/>
          <w:highlight w:val="none"/>
          <w:lang w:eastAsia="zh-CN"/>
        </w:rPr>
        <w:t>进行规范提升，持续推进西单、前门与鼓楼等重点区域人行步道桩的优化提升，全力做好首都安全工作。</w:t>
      </w:r>
    </w:p>
    <w:p>
      <w:pPr>
        <w:ind w:firstLine="640" w:firstLineChars="200"/>
        <w:rPr>
          <w:rFonts w:hint="eastAsia" w:ascii="仿宋_GB2312" w:eastAsia="仿宋_GB2312"/>
          <w:b w:val="0"/>
          <w:bCs w:val="0"/>
          <w:sz w:val="32"/>
          <w:szCs w:val="32"/>
          <w:highlight w:val="none"/>
          <w:lang w:val="en-US" w:eastAsia="zh-CN"/>
        </w:rPr>
      </w:pPr>
      <w:r>
        <w:rPr>
          <w:rFonts w:hint="eastAsia" w:ascii="仿宋_GB2312" w:eastAsia="仿宋_GB2312"/>
          <w:b w:val="0"/>
          <w:bCs w:val="0"/>
          <w:sz w:val="32"/>
          <w:szCs w:val="32"/>
          <w:highlight w:val="none"/>
          <w:lang w:eastAsia="zh-CN"/>
        </w:rPr>
        <w:t>圆满完成</w:t>
      </w:r>
      <w:r>
        <w:rPr>
          <w:rFonts w:hint="eastAsia" w:ascii="仿宋_GB2312" w:eastAsia="仿宋_GB2312"/>
          <w:b w:val="0"/>
          <w:bCs w:val="0"/>
          <w:sz w:val="32"/>
          <w:szCs w:val="32"/>
          <w:highlight w:val="none"/>
          <w:lang w:val="en-US" w:eastAsia="zh-CN"/>
        </w:rPr>
        <w:t>75周年国庆、全国两会、金融街论坛等多项重大活动城市运行服务保障工作。</w:t>
      </w:r>
      <w:r>
        <w:rPr>
          <w:rFonts w:hint="eastAsia" w:ascii="仿宋_GB2312" w:eastAsia="仿宋_GB2312"/>
          <w:b w:val="0"/>
          <w:bCs w:val="0"/>
          <w:sz w:val="32"/>
          <w:szCs w:val="32"/>
          <w:highlight w:val="none"/>
          <w:lang w:eastAsia="zh-CN"/>
        </w:rPr>
        <w:t>秉持着“时时放心不下”的责任感，全力以赴，严格把关城市运行安全、全面开展城市环境秩序整治、加强重点区域交通疏导、完善应急预案、加强值班值守，</w:t>
      </w:r>
      <w:r>
        <w:rPr>
          <w:rFonts w:hint="eastAsia" w:ascii="仿宋_GB2312" w:eastAsia="仿宋_GB2312"/>
          <w:b w:val="0"/>
          <w:bCs w:val="0"/>
          <w:sz w:val="32"/>
          <w:szCs w:val="32"/>
          <w:highlight w:val="none"/>
          <w:lang w:val="en-US" w:eastAsia="zh-CN"/>
        </w:rPr>
        <w:t>其中国庆节保障工作获得市领导的充分肯定。</w:t>
      </w:r>
    </w:p>
    <w:p>
      <w:pPr>
        <w:ind w:firstLine="640" w:firstLineChars="200"/>
        <w:rPr>
          <w:rFonts w:hint="eastAsia" w:ascii="仿宋_GB2312" w:eastAsia="仿宋_GB2312"/>
          <w:b w:val="0"/>
          <w:bCs w:val="0"/>
          <w:sz w:val="32"/>
          <w:szCs w:val="32"/>
          <w:highlight w:val="none"/>
          <w:lang w:eastAsia="zh-CN"/>
        </w:rPr>
      </w:pPr>
      <w:r>
        <w:rPr>
          <w:rFonts w:hint="eastAsia" w:ascii="仿宋_GB2312" w:eastAsia="仿宋_GB2312"/>
          <w:b w:val="0"/>
          <w:bCs w:val="0"/>
          <w:sz w:val="32"/>
          <w:szCs w:val="32"/>
          <w:highlight w:val="none"/>
          <w:lang w:val="en-US" w:eastAsia="zh-CN"/>
        </w:rPr>
        <w:t>紧扣“一纵一横一圈”重点地区，持续优化政务环境。推进</w:t>
      </w:r>
      <w:r>
        <w:rPr>
          <w:rFonts w:hint="eastAsia" w:ascii="仿宋_GB2312" w:eastAsia="仿宋_GB2312"/>
          <w:b w:val="0"/>
          <w:bCs w:val="0"/>
          <w:sz w:val="32"/>
          <w:szCs w:val="32"/>
          <w:highlight w:val="none"/>
          <w:lang w:eastAsia="zh-CN"/>
        </w:rPr>
        <w:t>中南海周边环境综合整治和长安街沿线及纵深品质提升工作，以最美院落打造为抓手，统筹推进违建治理与精品街巷创建，实现连“点”成“线”，以“线”带“面”的方式，不断优化全区环境品质，停滞多年的西单宏庙危改综合楼启动违建拆除“拔钉子”；组织实施三里河一区周边环境整治提升项目，更新区域市政基础设施，优化道路交通组织，高效利用公共空间打造精品景观节点，系统提升环境品质；完成先农坛周边环境整治前期谋划工作，调研周边现状情况，明确整治对象，分类提出环境整治提升主要策略，详细梳理近中远期实施计划。</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hAnsi="Times New Roman" w:eastAsia="楷体_GB2312" w:cs="Times New Roman"/>
          <w:b/>
          <w:kern w:val="2"/>
          <w:sz w:val="32"/>
          <w:szCs w:val="32"/>
          <w:lang w:val="en-US" w:eastAsia="zh-CN" w:bidi="ar-SA"/>
        </w:rPr>
        <w:t>时刻紧盯“安全”、“韧性”，城市运行保障能力再上新台阶。</w:t>
      </w:r>
      <w:r>
        <w:rPr>
          <w:rFonts w:hint="eastAsia" w:ascii="仿宋_GB2312" w:hAnsi="仿宋_GB2312" w:eastAsia="仿宋_GB2312" w:cs="仿宋_GB2312"/>
          <w:b w:val="0"/>
          <w:bCs w:val="0"/>
          <w:sz w:val="32"/>
          <w:szCs w:val="32"/>
        </w:rPr>
        <w:t>坚决落实“三管三必须”要求</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持续开展安全生产大排查大整治，聚焦城市生命线、电力、燃气等重点领域，</w:t>
      </w:r>
      <w:r>
        <w:rPr>
          <w:rFonts w:hint="eastAsia" w:ascii="仿宋_GB2312" w:hAnsi="仿宋_GB2312" w:eastAsia="仿宋_GB2312" w:cs="仿宋_GB2312"/>
          <w:b w:val="0"/>
          <w:bCs w:val="0"/>
          <w:sz w:val="32"/>
          <w:szCs w:val="32"/>
          <w:lang w:eastAsia="zh-CN"/>
        </w:rPr>
        <w:t>让城市运行安全。开展</w:t>
      </w:r>
      <w:r>
        <w:rPr>
          <w:rFonts w:hint="eastAsia" w:ascii="仿宋_GB2312" w:hAnsi="仿宋_GB2312" w:eastAsia="仿宋_GB2312" w:cs="仿宋_GB2312"/>
          <w:b w:val="0"/>
          <w:bCs w:val="0"/>
          <w:sz w:val="32"/>
          <w:szCs w:val="32"/>
          <w:lang w:val="en-US" w:eastAsia="zh-CN"/>
        </w:rPr>
        <w:t>燃气、液化石油气消隐工作，完成全区多处燃气管线占压隐患消隐工作、</w:t>
      </w:r>
      <w:r>
        <w:rPr>
          <w:rFonts w:hint="eastAsia" w:ascii="仿宋_GB2312" w:hAnsi="仿宋_GB2312" w:eastAsia="仿宋_GB2312" w:cs="仿宋_GB2312"/>
          <w:b w:val="0"/>
          <w:bCs w:val="0"/>
          <w:sz w:val="32"/>
          <w:szCs w:val="32"/>
          <w:lang w:eastAsia="zh-CN"/>
        </w:rPr>
        <w:t>燃气管道老化更新改造，</w:t>
      </w:r>
      <w:r>
        <w:rPr>
          <w:rFonts w:hint="eastAsia" w:ascii="仿宋_GB2312" w:hAnsi="仿宋_GB2312" w:eastAsia="仿宋_GB2312" w:cs="仿宋_GB2312"/>
          <w:b w:val="0"/>
          <w:bCs w:val="0"/>
          <w:sz w:val="32"/>
          <w:szCs w:val="32"/>
          <w:lang w:val="en-US" w:eastAsia="zh-CN"/>
        </w:rPr>
        <w:t>组织市液化气公司将居民使用液化气罐全部收回，确保居民用气安全。进一步加强电动自行车全链条工作，以街道为单元，全区完成电动自行车充电设施建设任务，超额完成市级建设任务。开展道路、桥梁检测工作</w:t>
      </w:r>
      <w:r>
        <w:rPr>
          <w:rFonts w:hint="eastAsia" w:ascii="仿宋_GB2312" w:hAnsi="仿宋_GB2312" w:eastAsia="仿宋_GB2312" w:cs="仿宋_GB2312"/>
          <w:b w:val="0"/>
          <w:bCs w:val="0"/>
          <w:sz w:val="32"/>
          <w:szCs w:val="32"/>
          <w:lang w:eastAsia="zh-CN"/>
        </w:rPr>
        <w:t>，排查安全隐患，做好养护管理。</w:t>
      </w:r>
      <w:r>
        <w:rPr>
          <w:rFonts w:hint="eastAsia" w:ascii="仿宋_GB2312" w:hAnsi="仿宋_GB2312" w:eastAsia="仿宋_GB2312" w:cs="仿宋_GB2312"/>
          <w:b w:val="0"/>
          <w:bCs w:val="0"/>
          <w:sz w:val="32"/>
          <w:szCs w:val="32"/>
          <w:lang w:val="en-US" w:eastAsia="zh-CN"/>
        </w:rPr>
        <w:t>做好极端天气提前应对与抢险工作，汛前完成“清管行动”，畅通城市“血脉”，汛期加强值守，强降雨期间加强对莲花河西客站暗涵出口、甘石桥等河道巡查，观测泄洪及水文情况。针对冬季强降雪，提前制定方案，严格落实预警管理、分区控制机制，圆满完成2023-2024年冬季初持续低温下的扫雪铲冰工作，得到市、区领导的表扬。</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eastAsia="楷体_GB2312" w:cs="Times New Roman"/>
          <w:b/>
          <w:sz w:val="32"/>
          <w:szCs w:val="32"/>
          <w:lang w:eastAsia="zh-CN"/>
        </w:rPr>
        <w:t>精心雕琢“面子”、“里子”</w:t>
      </w:r>
      <w:r>
        <w:rPr>
          <w:rFonts w:hint="eastAsia" w:ascii="楷体_GB2312" w:eastAsia="楷体_GB2312" w:cs="Times New Roman"/>
          <w:b/>
          <w:sz w:val="32"/>
          <w:szCs w:val="32"/>
        </w:rPr>
        <w:t>，城</w:t>
      </w:r>
      <w:r>
        <w:rPr>
          <w:rFonts w:hint="eastAsia" w:ascii="楷体_GB2312" w:eastAsia="楷体_GB2312"/>
          <w:b/>
          <w:sz w:val="32"/>
          <w:szCs w:val="32"/>
        </w:rPr>
        <w:t>市</w:t>
      </w:r>
      <w:r>
        <w:rPr>
          <w:rFonts w:hint="eastAsia" w:ascii="楷体_GB2312" w:eastAsia="楷体_GB2312"/>
          <w:b/>
          <w:sz w:val="32"/>
          <w:szCs w:val="32"/>
          <w:lang w:eastAsia="zh-CN"/>
        </w:rPr>
        <w:t>环境</w:t>
      </w:r>
      <w:r>
        <w:rPr>
          <w:rFonts w:hint="eastAsia" w:ascii="楷体_GB2312" w:eastAsia="楷体_GB2312"/>
          <w:b/>
          <w:sz w:val="32"/>
          <w:szCs w:val="32"/>
        </w:rPr>
        <w:t>品质</w:t>
      </w:r>
      <w:r>
        <w:rPr>
          <w:rFonts w:hint="eastAsia" w:ascii="楷体_GB2312" w:eastAsia="楷体_GB2312"/>
          <w:b/>
          <w:sz w:val="32"/>
          <w:szCs w:val="32"/>
          <w:lang w:eastAsia="zh-CN"/>
        </w:rPr>
        <w:t>再现新风貌。</w:t>
      </w:r>
      <w:r>
        <w:rPr>
          <w:rFonts w:hint="eastAsia" w:ascii="仿宋_GB2312" w:hAnsi="仿宋_GB2312" w:eastAsia="仿宋_GB2312" w:cs="仿宋_GB2312"/>
          <w:b w:val="0"/>
          <w:bCs w:val="0"/>
          <w:sz w:val="32"/>
          <w:szCs w:val="32"/>
          <w:lang w:val="en-US" w:eastAsia="zh-CN"/>
        </w:rPr>
        <w:t>创优质显成效，大力推进城市环境综合整治项目。北护城河精彩亮相，实现以河道“线”性空间的提升，带动两岸“面”状片区的发展，形成城市独具特色的滨水绿道，为市民提供休闲娱乐及健身新场所；顺利完成西外广场环境整治提升工作，不仅优化了国家级金科新区的整体环境品质，更为周边居民提供了更新、更好、更美的文化和休闲公共场所，还为商品运行、体育赛事提供了新的空间；灵境胡同-西四路口示范段全要素亮相，建筑风貌与历史文化更加和谐统一，城市基础设施更加美观减量，人流车流更加安全舒适，交通管控更加顺畅有序；西单连廊系统空间设计，不仅提升了区域商业之间的连通性，更是促进了商圈整体的活力与吸引力，为市民和游客提供了更舒适、便捷的步行环境，此项工作及西单连廊、车公庄大街、马连道区域、皇城城廓（西城段）、木樨地街区等环境整治项目正在持续推进中。</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挖掘文化内在，打造具有西城特色的街巷院落。2024年共完成490条背街小巷创建。通过深入挖掘街巷文化特色，打造了一批烂漫胡同等极具坊间特色文化的街巷。联合街道、社区、责任规划师对具体院落一院一策进行研究，共打造有西城特色的“最美院落”。精精益求精精，不断雕琢城市景观细节。建立城市家具联席会议联审制度；2024年春节景观布置工作打造出西城特色，“蛟龙出海”倍受市民喜爱，成为首都靓丽景观；国庆照明景观营造出隆重热烈、同庆盛世中华的祥和氛围；金融街三横一纵夜色景观道路、中心绿地、金科新区广场及论坛会场周边等区域，实现全面亮化，营造出金融街论坛特色氛围。</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创优质显成效，加强市政设施改造提升。持续实施道路巡查养护24小时处置机制，全年维护保养道路20030处，修复沥青路面，修复步道，推进实施广宁伯街等道路大中修，实施慢行系统改造，交通疏堵工程，改善道路出行条件。开展育才学校新址市政工程前期工作，新址周边燕京南街道路大修工程、周边慢行系统优化工程与陶然桥北通道改造工程均已完成前期设计，取得实施方案批复，开展招标工作；配套热力工程已完成施工设计与前期手续，并报区发改委开展审核工作；新址热力一次管线、热力站工程，已完成初步施工图纸设计与预算编制,正在组织上报区财政，各项工作稳步推进，保障新校区能准时投入使用。推进大栅栏观音寺片区樱桃斜街、铁树斜街等街区更新基础设施改造提升工程，对铁树斜街、樱桃斜街、堂子街、五道街、臧家桥街5条道路进行市政基础设施改造提升；谋划力学胡同片区市政基础设施提升项目，计划对该胡同片区的给排水基础设施进行改造提升，提升该区域韧性；开展新兴盛项目周边道路及市政管线工程，新建市政道路5条及配套地下管线建设。力争年底完成琉璃厂市政综合管线改造提升项目、大栅栏西街道路市政基础设施改造提升项目，加快老旧城区市政基础设施更新优化。同时，开展天宁1号电力保障项目与马连道变电站选址工作，为我区电力供应提供坚实保障。</w:t>
      </w:r>
    </w:p>
    <w:p>
      <w:pPr>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高标准严要求，全面抓好道路清扫工作。不断提升西城区道路清扫保洁质量，坚持“以克论净”；进一步提高背街小巷机械化作业率，继续扩大机械化组合作业范围，提高作业水平；落实空气重污染应急预案等环保工作要求，增加重点道路每日机械冲洗频次，提高道路清扫保洁水平。抓整改求长效，持续做好首环办考核工作。明确任务分工，强化考核复盘分析，针对多发问题逐点位巡察走访，做好挂账问题督办整改，我区首环办考核平均成绩组内第一。</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color w:val="auto"/>
          <w:sz w:val="32"/>
          <w:szCs w:val="32"/>
          <w:highlight w:val="none"/>
        </w:rPr>
        <w:t>全力聚焦“畅通”、“有序”，</w:t>
      </w:r>
      <w:r>
        <w:rPr>
          <w:rFonts w:hint="eastAsia" w:ascii="楷体_GB2312" w:hAnsi="楷体_GB2312" w:eastAsia="楷体_GB2312" w:cs="楷体_GB2312"/>
          <w:b/>
          <w:bCs/>
          <w:color w:val="auto"/>
          <w:sz w:val="32"/>
          <w:szCs w:val="32"/>
          <w:highlight w:val="none"/>
          <w:lang w:eastAsia="zh-CN"/>
        </w:rPr>
        <w:t>城市</w:t>
      </w:r>
      <w:r>
        <w:rPr>
          <w:rFonts w:hint="eastAsia" w:ascii="楷体_GB2312" w:hAnsi="楷体_GB2312" w:eastAsia="楷体_GB2312" w:cs="楷体_GB2312"/>
          <w:b/>
          <w:bCs/>
          <w:color w:val="auto"/>
          <w:sz w:val="32"/>
          <w:szCs w:val="32"/>
          <w:highlight w:val="none"/>
        </w:rPr>
        <w:t>交通</w:t>
      </w:r>
      <w:r>
        <w:rPr>
          <w:rFonts w:hint="eastAsia" w:ascii="楷体_GB2312" w:hAnsi="楷体_GB2312" w:eastAsia="楷体_GB2312" w:cs="楷体_GB2312"/>
          <w:b/>
          <w:bCs/>
          <w:color w:val="auto"/>
          <w:sz w:val="32"/>
          <w:szCs w:val="32"/>
          <w:highlight w:val="none"/>
          <w:lang w:eastAsia="zh-CN"/>
        </w:rPr>
        <w:t>治理成就再创新佳绩。</w:t>
      </w:r>
      <w:r>
        <w:rPr>
          <w:rFonts w:hint="eastAsia" w:ascii="仿宋_GB2312" w:hAnsi="仿宋_GB2312" w:eastAsia="仿宋_GB2312" w:cs="仿宋_GB2312"/>
          <w:b w:val="0"/>
          <w:bCs w:val="0"/>
          <w:sz w:val="32"/>
          <w:szCs w:val="32"/>
          <w:lang w:val="en-US" w:eastAsia="zh-CN"/>
        </w:rPr>
        <w:t>充分挖掘辖区内停车资源，破解停车难题。完成5处立体停车设施建设，新增1007个停车位，同时加大力度推进开阳大厦、法源寺前街、银岛大厦等多个储备项目的建设工作；盘活现有资源，利用疏解腾退空间新增11处平面停车设施备案，让停车资源“活起来”，切实缓解群众停车难问题。</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b w:val="0"/>
          <w:bCs w:val="0"/>
          <w:sz w:val="32"/>
          <w:szCs w:val="32"/>
          <w:lang w:val="en-US" w:eastAsia="zh-CN"/>
        </w:rPr>
        <w:t>分类施策开展重点区域交通综合治理。优化中古友谊小学、德胜中学、实验小学等6所学校周边交通秩序，按需动态调整“通学”公交，目前共开通13条线路，持</w:t>
      </w:r>
      <w:r>
        <w:rPr>
          <w:rFonts w:hint="eastAsia" w:ascii="仿宋_GB2312" w:hAnsi="仿宋_GB2312" w:eastAsia="仿宋_GB2312" w:cs="仿宋_GB2312"/>
          <w:color w:val="auto"/>
          <w:kern w:val="0"/>
          <w:sz w:val="32"/>
          <w:szCs w:val="32"/>
          <w:highlight w:val="none"/>
          <w:lang w:val="en-US" w:eastAsia="zh-CN" w:bidi="ar-SA"/>
        </w:rPr>
        <w:t>续推进“安心通学”路工作；改善北京大学第一医院、宣武医院、北大人民医院等15所医院周边交通秩序；优化共享单车停放区、加强游商治理、研究通游公交试点，为破解恭王府和北海公园等景区周边交通难题提供新途径；对凯德茂购物中心西门进行多项改造，有效改善非机动车停放秩序，提高空间利用率。其中，实验小学“口袋公园”、北大人民医院“腾笼换鸟·空间置换”、凯德茂购物中心非机动车治理等多项优秀经验得到市级部门的高度认可，并组织拉练活动，邀请其他区现场调研，交流学习。创新打造不停车街巷，在全面摸排我区街巷胡同基本情况后，因地制宜，分类施策，编制专项规划，制定胡同交通组织方案，率先开展6条试点胡同，随后在全区逐步推广。</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进一步提升金融街区域交通智能化水平。更换金融街区域内交通信号控制机、红绿灯信号检测器及配套交换机等设备，除具备基本的联网控制功能外，实现路口信号优化控制功能，提升信号机实时响应速度和智能化水平。配合推进自动驾驶基础设施建设，梳理全区交通路口基本情况台账，提供有力的数据支持，保障建设工作能够精准、高效地开展，结合智慧交通工作，提前做好部分基础设施配套建设工作。打造西城区充电无忧示范区，根据前期试点情况，制定《西城区充电无忧示范区暨高质量充电基础设施体系规划（2024-2028年）》，明确未来我区充电基础设施建设布局。全年共建设839个充电桩，超额完成市级任务。</w:t>
      </w:r>
    </w:p>
    <w:p>
      <w:pPr>
        <w:ind w:firstLine="640" w:firstLineChars="200"/>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全力推进共享单车停放治理。增加互联网租赁自行车停放设施供给，持续做好停放区的优化工作，核实各停放区坐标，实现辖区内全部轨道交通站点出入口互联网租赁自行车停放区电子围栏入栏管理，完成5万余辆互联网租赁自行车高精度定位更换工作；按照“一站一策”完成木樨地站、南礼士路站、天安门西站、西单站、复兴门站周边非机动车整治工作。持续加强违规电三电四治理工作，联合交通支队，做好常态化管控，加大巡逻频次，对发现的违规车辆进行清拖、查扣，同时加强宣传，做好车辆源头治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楷体_GB2312" w:hAnsi="楷体_GB2312" w:eastAsia="楷体_GB2312" w:cs="楷体_GB2312"/>
          <w:color w:val="auto"/>
          <w:sz w:val="32"/>
          <w:szCs w:val="32"/>
          <w:highlight w:val="none"/>
        </w:rPr>
        <w:t>始终围绕 “清澈”、“高效”，城市水务管理水平再展新高度。</w:t>
      </w:r>
      <w:r>
        <w:rPr>
          <w:rFonts w:hint="eastAsia" w:ascii="仿宋_GB2312" w:hAnsi="仿宋_GB2312" w:eastAsia="仿宋_GB2312" w:cs="仿宋_GB2312"/>
          <w:color w:val="auto"/>
          <w:kern w:val="0"/>
          <w:sz w:val="32"/>
          <w:szCs w:val="32"/>
          <w:highlight w:val="none"/>
          <w:lang w:val="en-US" w:eastAsia="zh-CN" w:bidi="ar-SA"/>
        </w:rPr>
        <w:t>治水管水工作持续升级，辖区水环境进一步提升。西海获评幸福河湖、柳荫社区获评水美家园市级荣誉称号。制定《西城区进一步强化河（湖）长制工作方案》，河（湖）长制体系不断完善，水岸共治良好氛围进一步增强；核心区历史水系恢复工作取得突破性进展，成功拆除占压闸口自建房，为西板桥明渠历史水系连通创造条件。用水、节水工作进一步加强。生活用水总量与万元GDP生产生水耗量进一步降低；节水载体建设及社区绿地微喷改造工作收获好成效，70个节水型社区建设项目与三个街道的社区绿进微喷改造正在验收中。扎实推进海绵城市建设工作。根据各街道排水分区现状，分析研判尚未达标的排水分区的可达性，以解决积水问题、满足市民生活需求为导向，制定建设任务及建设项目进行集中打造，2024年立项实施海绵城市专项改造工程4项，正在稳步推进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楷体_GB2312" w:hAnsi="楷体_GB2312" w:eastAsia="楷体_GB2312" w:cs="楷体_GB2312"/>
          <w:b/>
          <w:bCs/>
          <w:color w:val="auto"/>
          <w:sz w:val="32"/>
          <w:szCs w:val="32"/>
          <w:highlight w:val="none"/>
        </w:rPr>
        <w:t>切实紧扣 “贴心”、“务实”，解决百姓急难愁盼再显新成效。</w:t>
      </w:r>
      <w:r>
        <w:rPr>
          <w:rFonts w:hint="eastAsia" w:ascii="仿宋_GB2312" w:hAnsi="仿宋_GB2312" w:eastAsia="仿宋_GB2312" w:cs="仿宋_GB2312"/>
          <w:color w:val="auto"/>
          <w:kern w:val="0"/>
          <w:sz w:val="32"/>
          <w:szCs w:val="32"/>
          <w:highlight w:val="none"/>
          <w:lang w:val="en-US" w:eastAsia="zh-CN" w:bidi="ar-SA"/>
        </w:rPr>
        <w:t>关注民生实事，加强环卫工作管理与设施建设。克服各种困难，按照“一厕一案”的原则完成20座公厕的改造；在先农坛东门旁新建智能生态厕所1座，提升环卫保障水平和环境品质。桶站维护升级，打造便民分类前沿阵地。对全区3691组桶站全进行梳理，完善便利性措施，全面宣传“厨余垃圾不破袋”投放方式，提升了居民垃圾投放的便捷性与舒适度，桶站满冒与设施破损“12345”投诉显著减少。构建低值可回收物体系，推动其他垃圾源头减量。积极贯彻市领导关于构建完善垃圾分类回收体系的指示精神，于广外、陶然亭、椿树、西长安街、新街口 5 个街道开展低值可回收物体系试点建设。通过“一袋式”上门回收、集中投放日活动、分类驿站交投等创新模式，成功构建起线上线下相结合的便民回收渠道，有效提高了低值可回收物的回收利用率。多维度摸排，落实非居民厨余、其他垃圾计量收费管理工作。摸排产废单位排放登记情况、运输企业行政许可情况、生活垃圾收集转运处理设施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保障百姓生活，积极开展供暖“冬病夏治”。针对冬季供热问题进行排查梳理，</w:t>
      </w:r>
      <w:r>
        <w:rPr>
          <w:rFonts w:hint="eastAsia" w:ascii="仿宋_GB2312" w:hAnsi="仿宋_GB2312" w:eastAsia="仿宋_GB2312" w:cs="仿宋_GB2312"/>
          <w:color w:val="auto"/>
          <w:kern w:val="0"/>
          <w:sz w:val="32"/>
          <w:szCs w:val="32"/>
          <w:highlight w:val="none"/>
          <w:lang w:val="en" w:eastAsia="zh-CN" w:bidi="ar-SA"/>
        </w:rPr>
        <w:t>加大夏季供热系统检修力度，做到应修尽修，对锅炉房、热力站及二次管线进行必要的更新改造，消除各类供热隐患，进行</w:t>
      </w:r>
      <w:r>
        <w:rPr>
          <w:rFonts w:hint="eastAsia" w:ascii="仿宋_GB2312" w:hAnsi="仿宋_GB2312" w:eastAsia="仿宋_GB2312" w:cs="仿宋_GB2312"/>
          <w:color w:val="auto"/>
          <w:kern w:val="0"/>
          <w:sz w:val="32"/>
          <w:szCs w:val="32"/>
          <w:highlight w:val="none"/>
          <w:lang w:val="en-US" w:eastAsia="zh-CN" w:bidi="ar-SA"/>
        </w:rPr>
        <w:t>入户维修，解决居民冬季供暖一系列问题。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探索平房区电动自行车充电难新途径，规范用电价格。建设区属道路路侧电动自行车充电桩2处，单体充电接口8234个，切实解决平房区居民充电难题。印发《西城区规范住宅小区电动自行车充电设施收费标准及统一充电设施功能专项整治工作方案》，开展了为期两个月的全区统一规范充电价格管理专项行动。</w:t>
      </w:r>
    </w:p>
    <w:p>
      <w:pPr>
        <w:ind w:firstLine="640" w:firstLineChars="200"/>
        <w:rPr>
          <w:rFonts w:hint="eastAsia"/>
        </w:rPr>
      </w:pPr>
      <w:r>
        <w:rPr>
          <w:rFonts w:hint="eastAsia" w:ascii="楷体" w:hAnsi="楷体" w:eastAsia="楷体" w:cs="楷体"/>
          <w:sz w:val="32"/>
          <w:szCs w:val="32"/>
        </w:rPr>
        <w:t>进一步提升全区城管执法系统执法质效，提高行政执法队伍能力素质，规范行政执法行为，提升城市管理行政执法水平。</w:t>
      </w:r>
      <w:r>
        <w:rPr>
          <w:rFonts w:hint="eastAsia" w:ascii="仿宋_GB2312" w:hAnsi="仿宋_GB2312" w:eastAsia="仿宋_GB2312" w:cs="仿宋_GB2312"/>
          <w:color w:val="auto"/>
          <w:kern w:val="0"/>
          <w:sz w:val="32"/>
          <w:szCs w:val="32"/>
          <w:highlight w:val="none"/>
          <w:lang w:val="en-US" w:eastAsia="zh-CN" w:bidi="ar-SA"/>
        </w:rPr>
        <w:t>一是环境秩序保障方面。加强联合执法工作。一年来共计开展联合整治560次，有效解决交界地带违法问题多发情况。持续开展小广告专项执法工作。认真做好垃圾分类专项执法行动。统筹开展占道经营整治行动。积极开展大气污染防治攻坚行动。深入推进燃气安全整治工作。全年城管执法系统燃气安全专项检查共8842次，检查2493家。其中，发现安全隐患603家，共1031处，已全部责令整改。二是推进拆违工作方面。提前超额完成市级5万平方米和进院拆违1.5万平方米任务。持续保持新生违法建设“零容忍”高压态势，全区共快速发现处置新生在施违法建设192处，面积2763.86平方米，其中进院拆除新生违法建设101处，面积1180.28平方米。全区彩钢板违建已处置575处，拆除568处，面积25253.59平方米；三类涉及安全隐患违建已拆除514处，26299.6平方米；全区第一期占压燃气管线问题已全部整改完毕，处置自建房占压燃气管线问题点位93处，面积6144.45平方米。指导街道执法队持续推进“大屋脊”建筑周边违建综合治理工作，业务帮扶协助拆除西四路口-平安大街段拆除建设78处约1994.47平米，拆除棚亭阁面积8210平米，拆除率100%。三是其他各项保障工作方面。强化督查检查，督促各项工作落实到位。全年开展日常督察检查1900余次，专项督察660次，检查发现反馈督促解决各类问题21833个；办理、回复市协调办派发的政府监管督办单442件；派发并反馈区级综合监管单387件；办理解决市局通报问题、部门移交类问题235个。加强培训指导，提升执法工作能力。截至到2024年12月</w:t>
      </w:r>
      <w:r>
        <w:rPr>
          <w:rFonts w:hint="eastAsia" w:ascii="仿宋_GB2312" w:hAnsi="仿宋_GB2312" w:eastAsia="仿宋_GB2312" w:cs="仿宋_GB2312"/>
          <w:color w:val="auto"/>
          <w:kern w:val="0"/>
          <w:sz w:val="32"/>
          <w:szCs w:val="32"/>
          <w:highlight w:val="none"/>
          <w:lang w:val="en" w:eastAsia="zh-CN" w:bidi="ar-SA"/>
        </w:rPr>
        <w:t>，共</w:t>
      </w:r>
      <w:r>
        <w:rPr>
          <w:rFonts w:hint="eastAsia" w:ascii="仿宋_GB2312" w:hAnsi="仿宋_GB2312" w:eastAsia="仿宋_GB2312" w:cs="仿宋_GB2312"/>
          <w:color w:val="auto"/>
          <w:kern w:val="0"/>
          <w:sz w:val="32"/>
          <w:szCs w:val="32"/>
          <w:highlight w:val="none"/>
          <w:lang w:val="en-US" w:eastAsia="zh-CN" w:bidi="ar-SA"/>
        </w:rPr>
        <w:t>696人次参加“以干代训” 通过网络培训、集中授课、现场教学等方式共组织各类培训82次，4579人次参加培训。全年本地主流媒体宣传报道城管工作281条次，其中北京电视台、《北京日报》等市级媒体报道74条次，新媒体154条次；通过“西城街巷事”、“北京号”等自有平台发布执法工作动态、短视频，并同步开展普法宣传，全年推送图文消息126条，阅读量超过6.5万余次；北京号推送30篇，阅读量105.06余万次。共组织社会宣传活动200余次，志愿服务35次，发放宣传折页、宣传品等2万余份。向市城管执法局报送文字稿件39篇，图片稿件155张。</w:t>
      </w:r>
    </w:p>
    <w:p>
      <w:pPr>
        <w:spacing w:line="264" w:lineRule="auto"/>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kern w:val="0"/>
          <w:sz w:val="32"/>
          <w14:textFill>
            <w14:solidFill>
              <w14:schemeClr w14:val="tx1"/>
            </w14:solidFill>
          </w14:textFill>
        </w:rPr>
        <w:t>3．</w:t>
      </w:r>
      <w:r>
        <w:rPr>
          <w:rFonts w:ascii="仿宋" w:hAnsi="仿宋" w:eastAsia="仿宋" w:cs="Times New Roman"/>
          <w:color w:val="000000" w:themeColor="text1"/>
          <w:kern w:val="0"/>
          <w:sz w:val="32"/>
          <w14:textFill>
            <w14:solidFill>
              <w14:schemeClr w14:val="tx1"/>
            </w14:solidFill>
          </w14:textFill>
        </w:rPr>
        <w:t>部门存在的主要问题</w:t>
      </w:r>
    </w:p>
    <w:p>
      <w:pPr>
        <w:spacing w:line="264" w:lineRule="auto"/>
        <w:ind w:firstLine="640" w:firstLineChars="200"/>
        <w:rPr>
          <w:rFonts w:hint="eastAsia" w:ascii="仿宋" w:hAnsi="仿宋" w:eastAsia="仿宋" w:cs="Times New Roman"/>
          <w:color w:val="000000" w:themeColor="text1"/>
          <w:sz w:val="32"/>
          <w:szCs w:val="32"/>
          <w14:textFill>
            <w14:solidFill>
              <w14:schemeClr w14:val="tx1"/>
            </w14:solidFill>
          </w14:textFill>
        </w:rPr>
      </w:pPr>
      <w:r>
        <w:rPr>
          <w:rFonts w:hint="eastAsia" w:ascii="仿宋" w:hAnsi="仿宋" w:eastAsia="仿宋" w:cs="Times New Roman"/>
          <w:color w:val="000000" w:themeColor="text1"/>
          <w:sz w:val="32"/>
          <w:szCs w:val="32"/>
          <w14:textFill>
            <w14:solidFill>
              <w14:schemeClr w14:val="tx1"/>
            </w14:solidFill>
          </w14:textFill>
        </w:rPr>
        <w:t>评价认为</w:t>
      </w:r>
      <w:r>
        <w:rPr>
          <w:rFonts w:hint="eastAsia" w:ascii="仿宋" w:hAnsi="仿宋" w:eastAsia="仿宋" w:cs="Times New Roman"/>
          <w:color w:val="000000" w:themeColor="text1"/>
          <w:sz w:val="32"/>
          <w:szCs w:val="32"/>
          <w:lang w:val="en-US" w:eastAsia="zh-CN"/>
          <w14:textFill>
            <w14:solidFill>
              <w14:schemeClr w14:val="tx1"/>
            </w14:solidFill>
          </w14:textFill>
        </w:rPr>
        <w:t>2024</w:t>
      </w:r>
      <w:r>
        <w:rPr>
          <w:rFonts w:hint="eastAsia" w:ascii="仿宋" w:hAnsi="仿宋" w:eastAsia="仿宋" w:cs="Times New Roman"/>
          <w:color w:val="000000" w:themeColor="text1"/>
          <w:sz w:val="32"/>
          <w:szCs w:val="32"/>
          <w14:textFill>
            <w14:solidFill>
              <w14:schemeClr w14:val="tx1"/>
            </w14:solidFill>
          </w14:textFill>
        </w:rPr>
        <w:t>年度部门整体支出预算绩效管理中存在的主要问题：绩效目标申报表填报不够规范；预算编制不够准确；部门绩效资料的归集、整理的标准化和规范化程度不够，缺少相应的支撑材料。</w:t>
      </w:r>
      <w:bookmarkStart w:id="17" w:name="_Toc456183427"/>
      <w:bookmarkStart w:id="18" w:name="_Toc452029970"/>
    </w:p>
    <w:p>
      <w:pPr>
        <w:spacing w:line="264" w:lineRule="auto"/>
        <w:ind w:firstLine="640" w:firstLineChars="200"/>
        <w:rPr>
          <w:rFonts w:ascii="仿宋" w:hAnsi="仿宋" w:eastAsia="仿宋" w:cs="仿宋"/>
          <w:sz w:val="32"/>
          <w:szCs w:val="32"/>
        </w:rPr>
      </w:pPr>
      <w:r>
        <w:rPr>
          <w:rFonts w:hint="eastAsia" w:ascii="仿宋" w:hAnsi="仿宋" w:eastAsia="仿宋" w:cs="仿宋"/>
          <w:b/>
          <w:bCs/>
          <w:sz w:val="32"/>
          <w:szCs w:val="32"/>
        </w:rPr>
        <w:t>三、绩效评价发现的问题及分析</w:t>
      </w:r>
      <w:bookmarkEnd w:id="17"/>
    </w:p>
    <w:bookmarkEnd w:id="18"/>
    <w:p>
      <w:pPr>
        <w:pStyle w:val="2"/>
        <w:keepNext/>
        <w:keepLines/>
        <w:widowControl w:val="0"/>
        <w:spacing w:before="156" w:beforeLines="50" w:beforeAutospacing="0" w:after="156" w:afterLines="50" w:afterAutospacing="0" w:line="360" w:lineRule="auto"/>
        <w:rPr>
          <w:rFonts w:ascii="仿宋" w:hAnsi="仿宋" w:eastAsia="仿宋" w:cs="仿宋"/>
          <w:b w:val="0"/>
          <w:bCs w:val="0"/>
          <w:kern w:val="2"/>
          <w:sz w:val="32"/>
          <w:szCs w:val="32"/>
        </w:rPr>
      </w:pPr>
      <w:bookmarkStart w:id="19" w:name="_Toc456183428"/>
      <w:bookmarkStart w:id="20" w:name="_Toc452029975"/>
      <w:r>
        <w:rPr>
          <w:rFonts w:ascii="仿宋" w:hAnsi="仿宋" w:eastAsia="仿宋" w:cs="仿宋"/>
          <w:b w:val="0"/>
          <w:bCs w:val="0"/>
          <w:kern w:val="2"/>
          <w:sz w:val="32"/>
          <w:szCs w:val="32"/>
        </w:rPr>
        <w:t>（一）部门决策存在的问题及分析</w:t>
      </w:r>
      <w:bookmarkEnd w:id="19"/>
    </w:p>
    <w:p>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1.部门整体绩效目标设置不够细化。</w:t>
      </w:r>
    </w:p>
    <w:p>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未根据部门年度工作目标设定部门整体绩效目标，绩效指标设置不具体细化。年度部门绩效目标表后补，对于年度工作的指导意义不充分。年度工作目标和绩效指标的细化量化较弱，部分子项目工作目标不够清晰明确。例如供暖科的项目，供热救助资金的救助标准、评审过程性材料等，供热服务管理平台项目涉及到培训内容，应配有相关的培训方案、培训内容、培训人员签到表、培训现场情况等材料。</w:t>
      </w:r>
    </w:p>
    <w:p>
      <w:pPr>
        <w:numPr>
          <w:ilvl w:val="0"/>
          <w:numId w:val="3"/>
        </w:num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预算编制的准确性不足。</w:t>
      </w:r>
    </w:p>
    <w:p>
      <w:pPr>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预算编制调整幅度较大，缺乏准确性，不利于预算资金使用率的提高。</w:t>
      </w:r>
    </w:p>
    <w:bookmarkEnd w:id="20"/>
    <w:p>
      <w:pPr>
        <w:ind w:firstLine="640" w:firstLineChars="200"/>
        <w:rPr>
          <w:rFonts w:hint="eastAsia" w:ascii="仿宋" w:hAnsi="仿宋" w:eastAsia="仿宋" w:cs="Times New Roman"/>
          <w:kern w:val="0"/>
          <w:sz w:val="32"/>
          <w:szCs w:val="32"/>
        </w:rPr>
      </w:pPr>
      <w:bookmarkStart w:id="21" w:name="_Toc456183430"/>
      <w:r>
        <w:rPr>
          <w:rFonts w:hint="eastAsia" w:ascii="仿宋" w:hAnsi="仿宋" w:eastAsia="仿宋" w:cs="Times New Roman"/>
          <w:kern w:val="0"/>
          <w:sz w:val="32"/>
          <w:szCs w:val="32"/>
          <w:lang w:eastAsia="zh-CN"/>
        </w:rPr>
        <w:t>（二）</w:t>
      </w:r>
      <w:r>
        <w:rPr>
          <w:rFonts w:hint="eastAsia" w:ascii="仿宋" w:hAnsi="仿宋" w:eastAsia="仿宋" w:cs="Times New Roman"/>
          <w:kern w:val="0"/>
          <w:sz w:val="32"/>
          <w:szCs w:val="32"/>
        </w:rPr>
        <w:t>部门绩效存在的问题及分析</w:t>
      </w:r>
      <w:bookmarkEnd w:id="21"/>
    </w:p>
    <w:p>
      <w:pPr>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1.绩效管理不完善。</w:t>
      </w:r>
    </w:p>
    <w:p>
      <w:pPr>
        <w:ind w:firstLine="640" w:firstLineChars="200"/>
        <w:rPr>
          <w:rFonts w:ascii="仿宋" w:hAnsi="仿宋" w:eastAsia="仿宋" w:cs="Times New Roman"/>
          <w:sz w:val="32"/>
          <w:szCs w:val="32"/>
        </w:rPr>
      </w:pPr>
      <w:r>
        <w:rPr>
          <w:rFonts w:hint="eastAsia" w:ascii="仿宋" w:hAnsi="仿宋" w:eastAsia="仿宋" w:cs="Times New Roman"/>
          <w:kern w:val="0"/>
          <w:sz w:val="32"/>
          <w:szCs w:val="32"/>
        </w:rPr>
        <w:t>部门绩效资料的归集、整理的标准化和规范化程度不够，各项目绩效目标完成对比、部门整体绩效目标完成对比等关键资料不够完善。</w:t>
      </w:r>
      <w:r>
        <w:rPr>
          <w:rFonts w:hint="eastAsia" w:ascii="仿宋" w:hAnsi="仿宋" w:eastAsia="仿宋" w:cs="Times New Roman"/>
          <w:sz w:val="32"/>
          <w:szCs w:val="32"/>
        </w:rPr>
        <w:t>首先，部分项目的绩效成果展示相对薄弱，相关资料收集尚不完整，预算绩效管理意识有待进一步提高；其次，缺少对项目实施过程中的监管与把控，没有落实政府监管职责。</w:t>
      </w:r>
      <w:bookmarkStart w:id="22" w:name="_Toc452029976"/>
      <w:bookmarkStart w:id="23" w:name="_Toc456183431"/>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2.</w:t>
      </w:r>
      <w:r>
        <w:rPr>
          <w:rFonts w:ascii="仿宋" w:hAnsi="仿宋" w:eastAsia="仿宋" w:cs="Times New Roman"/>
          <w:sz w:val="32"/>
          <w:szCs w:val="32"/>
        </w:rPr>
        <w:t>工作满意度情况支撑材料不足</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r>
        <w:rPr>
          <w:rFonts w:ascii="仿宋" w:hAnsi="仿宋" w:eastAsia="仿宋" w:cs="Times New Roman"/>
          <w:sz w:val="32"/>
          <w:szCs w:val="32"/>
        </w:rPr>
        <w:t>缺乏满意情况资料支撑，例如：</w:t>
      </w:r>
      <w:r>
        <w:rPr>
          <w:rFonts w:hint="eastAsia" w:ascii="仿宋" w:hAnsi="仿宋" w:eastAsia="仿宋" w:cs="Times New Roman"/>
          <w:sz w:val="32"/>
          <w:szCs w:val="32"/>
          <w:lang w:eastAsia="zh-CN"/>
        </w:rPr>
        <w:t>部分项目</w:t>
      </w:r>
      <w:r>
        <w:rPr>
          <w:rFonts w:ascii="仿宋" w:hAnsi="仿宋" w:eastAsia="仿宋" w:cs="Times New Roman"/>
          <w:sz w:val="32"/>
          <w:szCs w:val="32"/>
        </w:rPr>
        <w:t>缺少居民满意度情况相关材料，作证力度不足。</w:t>
      </w:r>
    </w:p>
    <w:p>
      <w:pPr>
        <w:ind w:firstLine="640" w:firstLineChars="200"/>
        <w:rPr>
          <w:rFonts w:ascii="仿宋" w:hAnsi="仿宋" w:eastAsia="仿宋" w:cs="仿宋"/>
          <w:b/>
          <w:bCs/>
          <w:sz w:val="32"/>
        </w:rPr>
      </w:pPr>
      <w:r>
        <w:rPr>
          <w:rFonts w:hint="eastAsia" w:ascii="仿宋" w:hAnsi="仿宋" w:eastAsia="仿宋" w:cs="仿宋"/>
          <w:b/>
          <w:bCs/>
          <w:sz w:val="32"/>
        </w:rPr>
        <w:t>四、管理建议</w:t>
      </w:r>
      <w:bookmarkEnd w:id="22"/>
      <w:bookmarkEnd w:id="23"/>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（一）进一步提高财政支出绩效管理意识，科学设定年度部门整体绩效目标。</w:t>
      </w:r>
    </w:p>
    <w:p>
      <w:pPr>
        <w:spacing w:line="264"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一是规范填报年度绩效目标申报表，应将年度绩效目标与部门职责、中长期规划和年度工作计划相结合，使得部门绩效目标表与部门职能相匹配；二是进一步健全部门预算编制和执行管理制度，完善预算支出责任制度，提高预算支出执行的及时性、均衡性和有效性，把提高资金使用效益作为加快预算执行进度的落脚点，确保财政资金安全规范运行。</w:t>
      </w:r>
    </w:p>
    <w:p>
      <w:pPr>
        <w:ind w:firstLine="640" w:firstLineChars="200"/>
        <w:rPr>
          <w:rFonts w:ascii="仿宋" w:hAnsi="仿宋" w:eastAsia="仿宋" w:cs="仿宋"/>
          <w:sz w:val="32"/>
          <w:szCs w:val="32"/>
        </w:rPr>
      </w:pPr>
      <w:r>
        <w:rPr>
          <w:rFonts w:hint="eastAsia" w:ascii="仿宋" w:hAnsi="仿宋" w:eastAsia="仿宋" w:cs="Times New Roman"/>
          <w:sz w:val="32"/>
          <w:szCs w:val="32"/>
        </w:rPr>
        <w:t>（二）落实预算绩效管理决策部署</w:t>
      </w:r>
      <w:r>
        <w:rPr>
          <w:rFonts w:hint="eastAsia" w:ascii="仿宋" w:hAnsi="仿宋" w:eastAsia="仿宋" w:cs="Times New Roman"/>
          <w:sz w:val="32"/>
          <w:szCs w:val="32"/>
          <w:lang w:eastAsia="zh-CN"/>
        </w:rPr>
        <w:t>。</w:t>
      </w:r>
      <w:r>
        <w:rPr>
          <w:rFonts w:hint="eastAsia" w:ascii="仿宋" w:hAnsi="仿宋" w:eastAsia="仿宋" w:cs="Times New Roman"/>
          <w:sz w:val="32"/>
          <w:szCs w:val="32"/>
        </w:rPr>
        <w:t>深化绩效意识，完善绩效管理工作。将绩效理念贯穿于预算管理全过程。编制预算时分解细化各项工作，对绩效目标实现程度和预算执行进度实行“双监控”。</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（三）加强调整项目的管理和记录，说明调整项目的政策依据和现实依据。</w:t>
      </w:r>
    </w:p>
    <w:p>
      <w:pPr>
        <w:widowControl/>
        <w:ind w:firstLine="640" w:firstLineChars="200"/>
        <w:jc w:val="left"/>
        <w:rPr>
          <w:rFonts w:ascii="仿宋" w:hAnsi="仿宋" w:eastAsia="仿宋" w:cs="仿宋"/>
          <w:sz w:val="32"/>
          <w:szCs w:val="32"/>
        </w:rPr>
      </w:pPr>
      <w:r>
        <w:rPr>
          <w:rFonts w:hint="eastAsia" w:ascii="仿宋" w:hAnsi="仿宋" w:eastAsia="仿宋" w:cs="仿宋"/>
          <w:sz w:val="32"/>
          <w:szCs w:val="32"/>
        </w:rPr>
        <w:t>（四）进一步完善项目绩效成果资料的搜集，及时进行过程资料的组织。及时完整全面地整理部门的各个项目的绩效成果方面资料。尤其是区城管委需要提供完整项目资料以及对项目监管情况的相关资料。完善业务完成情况说明，完整呈现效果资料。</w:t>
      </w:r>
    </w:p>
    <w:p>
      <w:pPr>
        <w:widowControl/>
        <w:ind w:firstLine="640" w:firstLineChars="200"/>
        <w:jc w:val="left"/>
        <w:rPr>
          <w:rFonts w:hint="eastAsia"/>
          <w:lang w:eastAsia="zh-CN"/>
        </w:rPr>
      </w:pPr>
      <w:r>
        <w:rPr>
          <w:rFonts w:hint="eastAsia" w:ascii="仿宋" w:hAnsi="仿宋" w:eastAsia="仿宋" w:cs="仿宋"/>
          <w:sz w:val="32"/>
          <w:szCs w:val="32"/>
        </w:rPr>
        <w:t>（五）重视并加强满意度调查工作，注重调查整个工作过程的科学性和合理性，注意调查对象的全面性，明晰调查方法，根据不同的调查对象设置有针对性内容的调查问卷，并对调查结果进行汇总分析，并从中挖掘问题，作为后续的工作方向。</w:t>
      </w:r>
    </w:p>
    <w:p>
      <w:pPr>
        <w:numPr>
          <w:ilvl w:val="0"/>
          <w:numId w:val="1"/>
        </w:numPr>
        <w:ind w:firstLine="560" w:firstLineChars="200"/>
        <w:rPr>
          <w:rFonts w:hint="eastAsia" w:ascii="仿宋_GB2312" w:hAnsi="Times New Roman" w:eastAsia="仿宋_GB2312" w:cs="Times New Roman"/>
          <w:b w:val="0"/>
          <w:bCs w:val="0"/>
          <w:kern w:val="2"/>
          <w:sz w:val="28"/>
          <w:szCs w:val="28"/>
          <w:lang w:val="en-US" w:eastAsia="zh-CN" w:bidi="ar-SA"/>
        </w:rPr>
      </w:pPr>
      <w:r>
        <w:rPr>
          <w:rFonts w:hint="eastAsia" w:ascii="黑体" w:eastAsia="黑体"/>
          <w:sz w:val="28"/>
          <w:szCs w:val="28"/>
        </w:rPr>
        <w:t>项目支出绩效评价报告</w:t>
      </w:r>
    </w:p>
    <w:p>
      <w:pPr>
        <w:numPr>
          <w:ilvl w:val="0"/>
          <w:numId w:val="0"/>
        </w:numPr>
        <w:ind w:firstLine="840" w:firstLineChars="300"/>
        <w:rPr>
          <w:rFonts w:hint="eastAsia" w:ascii="仿宋_GB2312" w:hAnsi="Times New Roman" w:eastAsia="仿宋_GB2312" w:cs="Times New Roman"/>
          <w:b w:val="0"/>
          <w:bCs w:val="0"/>
          <w:kern w:val="2"/>
          <w:sz w:val="28"/>
          <w:szCs w:val="28"/>
          <w:lang w:val="en-US" w:eastAsia="zh-CN" w:bidi="ar-SA"/>
        </w:rPr>
      </w:pPr>
      <w:r>
        <w:rPr>
          <w:rFonts w:hint="eastAsia" w:ascii="仿宋_GB2312" w:hAnsi="Times New Roman" w:eastAsia="仿宋_GB2312" w:cs="Times New Roman"/>
          <w:b w:val="0"/>
          <w:bCs w:val="0"/>
          <w:kern w:val="2"/>
          <w:sz w:val="28"/>
          <w:szCs w:val="28"/>
          <w:lang w:val="en-US" w:eastAsia="zh-CN" w:bidi="ar-SA"/>
        </w:rPr>
        <w:t>详见附件</w:t>
      </w:r>
    </w:p>
    <w:p>
      <w:pPr>
        <w:numPr>
          <w:ilvl w:val="0"/>
          <w:numId w:val="1"/>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（格式详见附件）</w:t>
      </w:r>
    </w:p>
    <w:tbl>
      <w:tblPr>
        <w:tblStyle w:val="14"/>
        <w:tblW w:w="1492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52"/>
        <w:gridCol w:w="2387"/>
        <w:gridCol w:w="2082"/>
        <w:gridCol w:w="1064"/>
        <w:gridCol w:w="1516"/>
        <w:gridCol w:w="1875"/>
        <w:gridCol w:w="1144"/>
        <w:gridCol w:w="1976"/>
        <w:gridCol w:w="2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6" w:hRule="atLeast"/>
        </w:trPr>
        <w:tc>
          <w:tcPr>
            <w:tcW w:w="14920" w:type="dxa"/>
            <w:gridSpan w:val="9"/>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2024年度西城区城市管理委全年部门整体支出单位自评结果汇总表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021"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填报单位（一级）：北京市西城区城市管理委员会</w:t>
            </w:r>
          </w:p>
        </w:tc>
        <w:tc>
          <w:tcPr>
            <w:tcW w:w="4455" w:type="dxa"/>
            <w:gridSpan w:val="3"/>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1、2024年度项目支出金额（万元）：157341.19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2、选取自评项目总金额（万元）：17848.84</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3、2占1的比例：100%</w:t>
            </w:r>
          </w:p>
        </w:tc>
        <w:tc>
          <w:tcPr>
            <w:tcW w:w="5444" w:type="dxa"/>
            <w:gridSpan w:val="3"/>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1、2024年度项目支出总数量：</w:t>
            </w:r>
            <w:r>
              <w:rPr>
                <w:rFonts w:hint="eastAsia" w:ascii="宋体" w:hAnsi="宋体" w:cs="宋体"/>
                <w:i w:val="0"/>
                <w:iCs w:val="0"/>
                <w:color w:val="000000"/>
                <w:kern w:val="0"/>
                <w:sz w:val="22"/>
                <w:szCs w:val="22"/>
                <w:u w:val="none"/>
                <w:lang w:val="en-US" w:eastAsia="zh-CN" w:bidi="ar"/>
              </w:rPr>
              <w:t>26</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2、选取自评项目支出总数量：</w:t>
            </w:r>
            <w:r>
              <w:rPr>
                <w:rFonts w:hint="eastAsia" w:ascii="宋体" w:hAnsi="宋体" w:cs="宋体"/>
                <w:i w:val="0"/>
                <w:iCs w:val="0"/>
                <w:color w:val="000000"/>
                <w:kern w:val="0"/>
                <w:sz w:val="22"/>
                <w:szCs w:val="22"/>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71" w:hRule="atLeast"/>
        </w:trPr>
        <w:tc>
          <w:tcPr>
            <w:tcW w:w="55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387"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208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预算金额（万元）</w:t>
            </w:r>
          </w:p>
        </w:tc>
        <w:tc>
          <w:tcPr>
            <w:tcW w:w="1064"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预算执行得分</w:t>
            </w:r>
          </w:p>
        </w:tc>
        <w:tc>
          <w:tcPr>
            <w:tcW w:w="1516"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产出指标得分</w:t>
            </w:r>
          </w:p>
        </w:tc>
        <w:tc>
          <w:tcPr>
            <w:tcW w:w="187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效益指标得分</w:t>
            </w:r>
          </w:p>
        </w:tc>
        <w:tc>
          <w:tcPr>
            <w:tcW w:w="1144"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满意度指标得分</w:t>
            </w:r>
          </w:p>
        </w:tc>
        <w:tc>
          <w:tcPr>
            <w:tcW w:w="1976"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自评得分总计</w:t>
            </w:r>
          </w:p>
        </w:tc>
        <w:tc>
          <w:tcPr>
            <w:tcW w:w="232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导致项目实际情况与绩效目标偏差的主要原因及改进措施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广内街道、什刹海街道部分平房院落海绵城市改造工程</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386.68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月坛街道第十九号排水分区海绵城市改造项目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470.25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西外广场升级改造项目（一期）</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1433.84</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前门商圈大栅栏街道片区交通提升项目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2025年德胜排水分区海绵城市化改造项目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2025年平房院落及老旧小区海绵城市化改造项目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2024年西城区停车协管员工资经费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3525.072</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97.6</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2022年海绵城市建设工程</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88.96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2024年西城区海绵城市建设效果评估工作专业技术服务（追加）</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2024年西城区海绵城市建设效果评估工作专业技术服务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2024年度西城区区域停车综合治理项目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北京第二实验小学等4所学校周边交通综合治理项目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78.63</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2023年北京动物园节日期间公交摆渡车租赁费用</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7.92</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西城区2022年度居住区电动自行车充电设施建设以奖代补专项资金</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129.244</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2022年金融街区域交通智能化水平提升项目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207.62</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3"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2022年金融街区域交通智能化水平提升项目（配套设施和项目配套施工）</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164.96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95.3</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西城区2024年尘土残存量检测服务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156.456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57.34</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94.34</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灵境胡同至积水潭桥路段电力箱体“三化”环境整治提升项目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10201.48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2024年西城区居住区停车需求报送服务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27.19645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2024年西城区街巷胡同停车规划服务</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2024年西城区停车协管员服装更新经费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16.1466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西城区地铁站周边非机动车设施规划项目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88.64</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2024年政务咨询电话一号多机工作经费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2024年度西城区交通环境治理工作—拖车与划线除线</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2024年度西城区停车资源管理与应用系统数据归集运维项目</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42.6</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2387" w:type="dxa"/>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2024年道路停车电子收费提示和催缴短信经费</w:t>
            </w:r>
          </w:p>
        </w:tc>
        <w:tc>
          <w:tcPr>
            <w:tcW w:w="2082"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66.639705</w:t>
            </w:r>
          </w:p>
        </w:tc>
        <w:tc>
          <w:tcPr>
            <w:tcW w:w="106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5"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144"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976" w:type="dxa"/>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24" w:type="dxa"/>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12" w:hRule="atLeast"/>
        </w:trPr>
        <w:tc>
          <w:tcPr>
            <w:tcW w:w="5021"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填报单位（二级）：北京市西城区城市管理综合行政执法局</w:t>
            </w:r>
          </w:p>
        </w:tc>
        <w:tc>
          <w:tcPr>
            <w:tcW w:w="4455" w:type="dxa"/>
            <w:gridSpan w:val="3"/>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1、2024年度项目支出金额（万元）：1963.01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2、选取自评项目金额（万元）：1963.01</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3、2占1的比例：100%</w:t>
            </w:r>
          </w:p>
        </w:tc>
        <w:tc>
          <w:tcPr>
            <w:tcW w:w="5444" w:type="dxa"/>
            <w:gridSpan w:val="3"/>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1、202</w:t>
            </w:r>
            <w:r>
              <w:rPr>
                <w:rFonts w:hint="eastAsia" w:ascii="宋体" w:hAnsi="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年度项目支出总数量</w:t>
            </w:r>
            <w:bookmarkStart w:id="24" w:name="_GoBack"/>
            <w:bookmarkEnd w:id="24"/>
            <w:r>
              <w:rPr>
                <w:rFonts w:hint="eastAsia" w:ascii="宋体" w:hAnsi="宋体" w:eastAsia="宋体" w:cs="宋体"/>
                <w:i w:val="0"/>
                <w:iCs w:val="0"/>
                <w:color w:val="000000"/>
                <w:kern w:val="0"/>
                <w:sz w:val="22"/>
                <w:szCs w:val="22"/>
                <w:u w:val="none"/>
                <w:lang w:val="en-US" w:eastAsia="zh-CN" w:bidi="ar"/>
              </w:rPr>
              <w:t>：29</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2、选取自评项目支出总数量：29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387"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2082"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预算金额（万元）</w:t>
            </w:r>
          </w:p>
        </w:tc>
        <w:tc>
          <w:tcPr>
            <w:tcW w:w="1064"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预算执行得分</w:t>
            </w:r>
          </w:p>
        </w:tc>
        <w:tc>
          <w:tcPr>
            <w:tcW w:w="1516"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产出指标得分</w:t>
            </w:r>
          </w:p>
        </w:tc>
        <w:tc>
          <w:tcPr>
            <w:tcW w:w="1875"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效益指标得分</w:t>
            </w:r>
          </w:p>
        </w:tc>
        <w:tc>
          <w:tcPr>
            <w:tcW w:w="1144"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满意度指标得分</w:t>
            </w:r>
          </w:p>
        </w:tc>
        <w:tc>
          <w:tcPr>
            <w:tcW w:w="1976" w:type="dxa"/>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自评得分总计</w:t>
            </w:r>
          </w:p>
        </w:tc>
        <w:tc>
          <w:tcPr>
            <w:tcW w:w="232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导致项目实际情况与绩效目标偏差的主要原因及改进措施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物业服务</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41.588438</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noWrap/>
            <w:vAlign w:val="center"/>
          </w:tcPr>
          <w:p>
            <w:pPr>
              <w:keepNext/>
              <w:snapToGrid w:val="0"/>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运行管理服务</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81.6</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noWrap/>
            <w:vAlign w:val="center"/>
          </w:tcPr>
          <w:p>
            <w:pPr>
              <w:keepNext/>
              <w:snapToGrid w:val="0"/>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城管法制宣传费</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17.19</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65</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noWrap/>
            <w:vAlign w:val="center"/>
          </w:tcPr>
          <w:p>
            <w:pPr>
              <w:keepNext/>
              <w:snapToGrid w:val="0"/>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4</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微信公众号运维服务</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18</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noWrap/>
            <w:vAlign w:val="center"/>
          </w:tcPr>
          <w:p>
            <w:pPr>
              <w:keepNext/>
              <w:snapToGrid w:val="0"/>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9"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城管执法装备维修费</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vAlign w:val="center"/>
          </w:tcPr>
          <w:p>
            <w:pPr>
              <w:keepNext/>
              <w:snapToGrid w:val="0"/>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聘请法制专务服务</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noWrap/>
            <w:vAlign w:val="center"/>
          </w:tcPr>
          <w:p>
            <w:pPr>
              <w:keepNext/>
              <w:snapToGrid w:val="0"/>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0"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7</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城管网络及软硬件运行维护服务</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47.58</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vAlign w:val="center"/>
          </w:tcPr>
          <w:p>
            <w:pPr>
              <w:keepNext/>
              <w:snapToGrid w:val="0"/>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8</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监控图像系统运行维护服务</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11.6</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noWrap/>
            <w:vAlign w:val="center"/>
          </w:tcPr>
          <w:p>
            <w:pPr>
              <w:keepNext/>
              <w:snapToGrid w:val="0"/>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9</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多媒体音视频设备升级改造运维服务</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32.3</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noWrap/>
            <w:vAlign w:val="center"/>
          </w:tcPr>
          <w:p>
            <w:pPr>
              <w:keepNext/>
              <w:snapToGrid w:val="0"/>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执法城管通运行维护费用</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202.6656</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9.72</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49</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98.72</w:t>
            </w:r>
          </w:p>
        </w:tc>
        <w:tc>
          <w:tcPr>
            <w:tcW w:w="2324" w:type="dxa"/>
            <w:shd w:val="clear" w:color="auto" w:fill="auto"/>
            <w:noWrap/>
            <w:vAlign w:val="top"/>
          </w:tcPr>
          <w:p>
            <w:pPr>
              <w:keepNext/>
              <w:widowControl/>
              <w:snapToGrid w:val="0"/>
              <w:jc w:val="left"/>
              <w:textAlignment w:val="top"/>
              <w:rPr>
                <w:rFonts w:hint="eastAsia" w:ascii="宋体" w:hAnsi="宋体" w:eastAsia="宋体" w:cs="宋体"/>
                <w:i w:val="0"/>
                <w:iCs w:val="0"/>
                <w:color w:val="000000"/>
                <w:sz w:val="22"/>
                <w:szCs w:val="22"/>
                <w:u w:val="none"/>
              </w:rPr>
            </w:pPr>
            <w:r>
              <w:rPr>
                <w:rFonts w:hint="eastAsia" w:ascii="宋体" w:hAnsi="宋体" w:cs="宋体"/>
                <w:color w:val="000000"/>
                <w:kern w:val="0"/>
                <w:sz w:val="18"/>
                <w:szCs w:val="18"/>
                <w:lang w:bidi="ar"/>
              </w:rPr>
              <w:t xml:space="preserve"> 因每月存在人员调出调入，需对执法城管通运行维护费用进行调整。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11</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2024年专职安全员经费</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2.841</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noWrap/>
            <w:vAlign w:val="center"/>
          </w:tcPr>
          <w:p>
            <w:pPr>
              <w:keepNext/>
              <w:snapToGrid w:val="0"/>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12</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一分队、二分队食堂设备维护服务</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6.945</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vAlign w:val="center"/>
          </w:tcPr>
          <w:p>
            <w:pPr>
              <w:keepNext/>
              <w:snapToGrid w:val="0"/>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13</w:t>
            </w:r>
          </w:p>
        </w:tc>
        <w:tc>
          <w:tcPr>
            <w:tcW w:w="2387" w:type="dxa"/>
            <w:shd w:val="clear" w:color="auto" w:fill="auto"/>
            <w:vAlign w:val="center"/>
          </w:tcPr>
          <w:p>
            <w:pPr>
              <w:widowControl/>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执法工作费</w:t>
            </w:r>
          </w:p>
        </w:tc>
        <w:tc>
          <w:tcPr>
            <w:tcW w:w="2082" w:type="dxa"/>
            <w:shd w:val="clear" w:color="auto" w:fill="auto"/>
            <w:noWrap/>
            <w:vAlign w:val="center"/>
          </w:tcPr>
          <w:p>
            <w:pPr>
              <w:widowControl/>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w:t>
            </w:r>
          </w:p>
        </w:tc>
        <w:tc>
          <w:tcPr>
            <w:tcW w:w="1064" w:type="dxa"/>
            <w:shd w:val="clear" w:color="auto" w:fill="auto"/>
            <w:noWrap/>
            <w:vAlign w:val="center"/>
          </w:tcPr>
          <w:p>
            <w:pPr>
              <w:widowControl/>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8.89</w:t>
            </w:r>
          </w:p>
        </w:tc>
        <w:tc>
          <w:tcPr>
            <w:tcW w:w="1516" w:type="dxa"/>
            <w:shd w:val="clear" w:color="auto" w:fill="auto"/>
            <w:noWrap/>
            <w:vAlign w:val="center"/>
          </w:tcPr>
          <w:p>
            <w:pPr>
              <w:widowControl/>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50</w:t>
            </w:r>
          </w:p>
        </w:tc>
        <w:tc>
          <w:tcPr>
            <w:tcW w:w="1875" w:type="dxa"/>
            <w:shd w:val="clear" w:color="auto" w:fill="auto"/>
            <w:noWrap/>
            <w:vAlign w:val="center"/>
          </w:tcPr>
          <w:p>
            <w:pPr>
              <w:widowControl/>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30</w:t>
            </w:r>
          </w:p>
        </w:tc>
        <w:tc>
          <w:tcPr>
            <w:tcW w:w="1144" w:type="dxa"/>
            <w:shd w:val="clear" w:color="auto" w:fill="auto"/>
            <w:noWrap/>
            <w:vAlign w:val="center"/>
          </w:tcPr>
          <w:p>
            <w:pPr>
              <w:widowControl/>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widowControl/>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98.89</w:t>
            </w:r>
          </w:p>
        </w:tc>
        <w:tc>
          <w:tcPr>
            <w:tcW w:w="2324" w:type="dxa"/>
            <w:shd w:val="clear" w:color="auto" w:fill="auto"/>
            <w:vAlign w:val="top"/>
          </w:tcPr>
          <w:p>
            <w:pPr>
              <w:widowControl/>
              <w:jc w:val="left"/>
              <w:textAlignment w:val="top"/>
              <w:rPr>
                <w:rFonts w:hint="eastAsia" w:ascii="宋体" w:hAnsi="宋体" w:eastAsia="宋体" w:cs="宋体"/>
                <w:i w:val="0"/>
                <w:iCs w:val="0"/>
                <w:color w:val="000000"/>
                <w:sz w:val="18"/>
                <w:szCs w:val="18"/>
                <w:u w:val="none"/>
              </w:rPr>
            </w:pPr>
            <w:r>
              <w:rPr>
                <w:rFonts w:hint="eastAsia" w:ascii="宋体" w:hAnsi="宋体" w:cs="宋体"/>
                <w:color w:val="000000"/>
                <w:kern w:val="0"/>
                <w:sz w:val="18"/>
                <w:szCs w:val="18"/>
                <w:lang w:bidi="ar"/>
              </w:rPr>
              <w:t>因印刷执法手册的费用由于部分法律法规的调整和废止，编制手册的页数少于预期，导致执行率为88.89%。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3"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14</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接诉即办辅助人员专项经费</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89.3144</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vAlign w:val="center"/>
          </w:tcPr>
          <w:p>
            <w:pPr>
              <w:keepNext/>
              <w:snapToGrid w:val="0"/>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6"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15</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2024年办公设备购置费</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0.4995</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50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vAlign w:val="center"/>
          </w:tcPr>
          <w:p>
            <w:pPr>
              <w:keepNext/>
              <w:snapToGrid w:val="0"/>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16</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指挥调度及601会议室多媒体设备升级改造项目</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95.617798</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vAlign w:val="center"/>
          </w:tcPr>
          <w:p>
            <w:pPr>
              <w:keepNext/>
              <w:snapToGrid w:val="0"/>
              <w:rPr>
                <w:rFonts w:hint="eastAsia" w:ascii="宋体" w:hAnsi="宋体" w:eastAsia="宋体" w:cs="宋体"/>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17</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京财公用指[2023]1784号2024年城管以奖促治转移支付资金</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289.8</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49</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30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99</w:t>
            </w:r>
          </w:p>
        </w:tc>
        <w:tc>
          <w:tcPr>
            <w:tcW w:w="2324" w:type="dxa"/>
            <w:shd w:val="clear" w:color="auto" w:fill="auto"/>
            <w:noWrap/>
            <w:vAlign w:val="top"/>
          </w:tcPr>
          <w:p>
            <w:pPr>
              <w:keepNext/>
              <w:widowControl/>
              <w:snapToGrid w:val="0"/>
              <w:jc w:val="left"/>
              <w:textAlignment w:val="top"/>
              <w:rPr>
                <w:rFonts w:hint="eastAsia" w:ascii="宋体" w:hAnsi="宋体" w:eastAsia="宋体" w:cs="宋体"/>
                <w:i w:val="0"/>
                <w:iCs w:val="0"/>
                <w:color w:val="000000"/>
                <w:sz w:val="22"/>
                <w:szCs w:val="22"/>
                <w:u w:val="none"/>
              </w:rPr>
            </w:pPr>
            <w:r>
              <w:rPr>
                <w:rFonts w:hint="eastAsia" w:ascii="宋体" w:hAnsi="宋体" w:cs="宋体"/>
                <w:color w:val="000000"/>
                <w:kern w:val="0"/>
                <w:sz w:val="18"/>
                <w:szCs w:val="18"/>
                <w:lang w:bidi="ar"/>
              </w:rPr>
              <w:t xml:space="preserve">   按照实际中标金额执行。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552" w:type="dxa"/>
            <w:shd w:val="clear" w:color="auto" w:fill="auto"/>
            <w:noWrap/>
            <w:vAlign w:val="center"/>
          </w:tcPr>
          <w:p>
            <w:pPr>
              <w:keepNext/>
              <w:widowControl/>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18</w:t>
            </w:r>
          </w:p>
        </w:tc>
        <w:tc>
          <w:tcPr>
            <w:tcW w:w="2387" w:type="dxa"/>
            <w:shd w:val="clear" w:color="auto" w:fill="auto"/>
            <w:vAlign w:val="center"/>
          </w:tcPr>
          <w:p>
            <w:pPr>
              <w:keepNext/>
              <w:widowControl/>
              <w:snapToGrid w:val="0"/>
              <w:jc w:val="lef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二分队办公区维修</w:t>
            </w:r>
          </w:p>
        </w:tc>
        <w:tc>
          <w:tcPr>
            <w:tcW w:w="2082"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4.071656</w:t>
            </w:r>
          </w:p>
        </w:tc>
        <w:tc>
          <w:tcPr>
            <w:tcW w:w="106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51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60</w:t>
            </w:r>
          </w:p>
        </w:tc>
        <w:tc>
          <w:tcPr>
            <w:tcW w:w="1875"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20</w:t>
            </w:r>
          </w:p>
        </w:tc>
        <w:tc>
          <w:tcPr>
            <w:tcW w:w="1144"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w:t>
            </w:r>
          </w:p>
        </w:tc>
        <w:tc>
          <w:tcPr>
            <w:tcW w:w="1976" w:type="dxa"/>
            <w:shd w:val="clear" w:color="auto" w:fill="auto"/>
            <w:noWrap/>
            <w:vAlign w:val="center"/>
          </w:tcPr>
          <w:p>
            <w:pPr>
              <w:keepNext/>
              <w:widowControl/>
              <w:snapToGrid w:val="0"/>
              <w:jc w:val="right"/>
              <w:textAlignment w:val="center"/>
              <w:rPr>
                <w:rFonts w:hint="eastAsia" w:ascii="宋体" w:hAnsi="宋体" w:eastAsia="宋体" w:cs="宋体"/>
                <w:i w:val="0"/>
                <w:iCs w:val="0"/>
                <w:color w:val="000000"/>
                <w:sz w:val="22"/>
                <w:szCs w:val="22"/>
                <w:u w:val="none"/>
              </w:rPr>
            </w:pPr>
            <w:r>
              <w:rPr>
                <w:rFonts w:hint="eastAsia" w:ascii="宋体" w:hAnsi="宋体" w:cs="宋体"/>
                <w:color w:val="000000"/>
                <w:kern w:val="0"/>
                <w:sz w:val="22"/>
                <w:szCs w:val="22"/>
                <w:lang w:bidi="ar"/>
              </w:rPr>
              <w:t>100</w:t>
            </w:r>
          </w:p>
        </w:tc>
        <w:tc>
          <w:tcPr>
            <w:tcW w:w="2324" w:type="dxa"/>
            <w:shd w:val="clear" w:color="auto" w:fill="auto"/>
            <w:vAlign w:val="center"/>
          </w:tcPr>
          <w:p>
            <w:pPr>
              <w:keepNext/>
              <w:snapToGrid w:val="0"/>
              <w:rPr>
                <w:rFonts w:hint="eastAsia" w:ascii="宋体" w:hAnsi="宋体" w:eastAsia="宋体" w:cs="宋体"/>
                <w:i w:val="0"/>
                <w:iCs w:val="0"/>
                <w:color w:val="000000"/>
                <w:sz w:val="18"/>
                <w:szCs w:val="18"/>
                <w:u w:val="none"/>
              </w:rPr>
            </w:pPr>
          </w:p>
        </w:tc>
      </w:tr>
    </w:tbl>
    <w:p>
      <w:pPr>
        <w:spacing w:line="480" w:lineRule="exact"/>
        <w:rPr>
          <w:rFonts w:hint="eastAsia"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3</w:t>
    </w:r>
    <w: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5</w: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separate"/>
    </w:r>
    <w:r>
      <w:rPr>
        <w:rStyle w:val="17"/>
      </w:rPr>
      <w:t>15</w:t>
    </w:r>
    <w:r>
      <w:fldChar w:fldCharType="end"/>
    </w:r>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1BB26F39"/>
    <w:multiLevelType w:val="singleLevel"/>
    <w:tmpl w:val="1BB26F39"/>
    <w:lvl w:ilvl="0" w:tentative="0">
      <w:start w:val="2"/>
      <w:numFmt w:val="decimal"/>
      <w:lvlText w:val="%1."/>
      <w:lvlJc w:val="left"/>
      <w:pPr>
        <w:tabs>
          <w:tab w:val="left" w:pos="312"/>
        </w:tabs>
      </w:pPr>
    </w:lvl>
  </w:abstractNum>
  <w:abstractNum w:abstractNumId="2">
    <w:nsid w:val="24655EB2"/>
    <w:multiLevelType w:val="multilevel"/>
    <w:tmpl w:val="24655EB2"/>
    <w:lvl w:ilvl="0" w:tentative="0">
      <w:start w:val="1"/>
      <w:numFmt w:val="japaneseCounting"/>
      <w:lvlText w:val="%1、"/>
      <w:lvlJc w:val="left"/>
      <w:pPr>
        <w:ind w:left="675" w:hanging="6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3E66B5"/>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A84696"/>
    <w:rsid w:val="1DEF20B0"/>
    <w:rsid w:val="214243FA"/>
    <w:rsid w:val="21AD613C"/>
    <w:rsid w:val="22467189"/>
    <w:rsid w:val="257A14F5"/>
    <w:rsid w:val="27196C26"/>
    <w:rsid w:val="29D66027"/>
    <w:rsid w:val="29EF086F"/>
    <w:rsid w:val="2EFFE297"/>
    <w:rsid w:val="301437CA"/>
    <w:rsid w:val="31400F19"/>
    <w:rsid w:val="349D1F0A"/>
    <w:rsid w:val="34DD0473"/>
    <w:rsid w:val="3C684897"/>
    <w:rsid w:val="40DA7EA4"/>
    <w:rsid w:val="433E495C"/>
    <w:rsid w:val="44C970B7"/>
    <w:rsid w:val="489F2FD7"/>
    <w:rsid w:val="4AC27CB3"/>
    <w:rsid w:val="4BF72BEF"/>
    <w:rsid w:val="4FA90297"/>
    <w:rsid w:val="4FC41A43"/>
    <w:rsid w:val="51DB3C59"/>
    <w:rsid w:val="548068E0"/>
    <w:rsid w:val="550C0952"/>
    <w:rsid w:val="55762E42"/>
    <w:rsid w:val="57A7B272"/>
    <w:rsid w:val="58470068"/>
    <w:rsid w:val="5857297A"/>
    <w:rsid w:val="58747CAC"/>
    <w:rsid w:val="5A1720F9"/>
    <w:rsid w:val="5B9C37C2"/>
    <w:rsid w:val="5BA7C654"/>
    <w:rsid w:val="5D614A0A"/>
    <w:rsid w:val="60A54109"/>
    <w:rsid w:val="61D01CDF"/>
    <w:rsid w:val="64C0607C"/>
    <w:rsid w:val="65756C86"/>
    <w:rsid w:val="65FC1361"/>
    <w:rsid w:val="674D385B"/>
    <w:rsid w:val="676F09E1"/>
    <w:rsid w:val="6C2D0CB3"/>
    <w:rsid w:val="71793A80"/>
    <w:rsid w:val="7357290B"/>
    <w:rsid w:val="798524E4"/>
    <w:rsid w:val="7A7F1C49"/>
    <w:rsid w:val="7B5B7AE6"/>
    <w:rsid w:val="7B7B6628"/>
    <w:rsid w:val="7BA7071E"/>
    <w:rsid w:val="7BDF6DA8"/>
    <w:rsid w:val="7C7EDC1A"/>
    <w:rsid w:val="7CCED98D"/>
    <w:rsid w:val="7D08410F"/>
    <w:rsid w:val="7DB96DED"/>
    <w:rsid w:val="7DD3AD81"/>
    <w:rsid w:val="7DDF58A5"/>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200" w:firstLineChars="200"/>
    </w:pPr>
  </w:style>
  <w:style w:type="paragraph" w:styleId="5">
    <w:name w:val="Body Text"/>
    <w:basedOn w:val="1"/>
    <w:next w:val="6"/>
    <w:qFormat/>
    <w:uiPriority w:val="0"/>
    <w:rPr>
      <w:rFonts w:ascii="Times New Roman" w:hAnsi="Times New Roman" w:eastAsia="宋体" w:cs="Times New Roman"/>
    </w:rPr>
  </w:style>
  <w:style w:type="paragraph" w:customStyle="1" w:styleId="6">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7">
    <w:name w:val="Body Text Indent"/>
    <w:basedOn w:val="1"/>
    <w:qFormat/>
    <w:uiPriority w:val="0"/>
    <w:pPr>
      <w:ind w:firstLine="645"/>
    </w:pPr>
    <w:rPr>
      <w:rFonts w:ascii="仿宋_GB2312" w:hAnsi="Calibri" w:eastAsia="仿宋_GB2312"/>
      <w:sz w:val="32"/>
      <w:szCs w:val="32"/>
    </w:rPr>
  </w:style>
  <w:style w:type="paragraph" w:styleId="8">
    <w:name w:val="Date"/>
    <w:basedOn w:val="1"/>
    <w:next w:val="1"/>
    <w:qFormat/>
    <w:uiPriority w:val="0"/>
    <w:pPr>
      <w:ind w:left="100" w:leftChars="2500"/>
    </w:pPr>
  </w:style>
  <w:style w:type="paragraph" w:styleId="9">
    <w:name w:val="Balloon Text"/>
    <w:basedOn w:val="1"/>
    <w:semiHidden/>
    <w:qFormat/>
    <w:uiPriority w:val="0"/>
    <w:rPr>
      <w:sz w:val="18"/>
      <w:szCs w:val="18"/>
    </w:rPr>
  </w:style>
  <w:style w:type="paragraph" w:styleId="10">
    <w:name w:val="footer"/>
    <w:basedOn w:val="1"/>
    <w:link w:val="18"/>
    <w:qFormat/>
    <w:uiPriority w:val="0"/>
    <w:pPr>
      <w:tabs>
        <w:tab w:val="center" w:pos="4153"/>
        <w:tab w:val="right" w:pos="8306"/>
      </w:tabs>
      <w:snapToGrid w:val="0"/>
      <w:jc w:val="left"/>
    </w:pPr>
    <w:rPr>
      <w:sz w:val="18"/>
      <w:szCs w:val="18"/>
    </w:rPr>
  </w:style>
  <w:style w:type="paragraph" w:styleId="11">
    <w:name w:val="header"/>
    <w:basedOn w:val="1"/>
    <w:link w:val="19"/>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2">
    <w:name w:val="toc 2"/>
    <w:basedOn w:val="1"/>
    <w:next w:val="1"/>
    <w:unhideWhenUsed/>
    <w:qFormat/>
    <w:uiPriority w:val="39"/>
    <w:pPr>
      <w:tabs>
        <w:tab w:val="right" w:leader="dot" w:pos="8495"/>
      </w:tabs>
      <w:spacing w:line="276" w:lineRule="auto"/>
      <w:ind w:left="420" w:leftChars="200"/>
      <w:jc w:val="center"/>
    </w:pPr>
    <w:rPr>
      <w:rFonts w:ascii="仿宋_GB2312" w:eastAsia="仿宋_GB2312"/>
      <w:b/>
      <w:sz w:val="44"/>
      <w:szCs w:val="44"/>
    </w:rPr>
  </w:style>
  <w:style w:type="paragraph" w:styleId="13">
    <w:name w:val="Normal (Web)"/>
    <w:basedOn w:val="1"/>
    <w:unhideWhenUsed/>
    <w:qFormat/>
    <w:uiPriority w:val="0"/>
    <w:pPr>
      <w:spacing w:before="100" w:beforeAutospacing="1" w:after="100" w:afterAutospacing="1"/>
      <w:ind w:right="238"/>
      <w:jc w:val="left"/>
    </w:pPr>
    <w:rPr>
      <w:b/>
      <w:kern w:val="0"/>
      <w:sz w:val="24"/>
      <w:szCs w:val="20"/>
    </w:rPr>
  </w:style>
  <w:style w:type="character" w:styleId="16">
    <w:name w:val="Strong"/>
    <w:qFormat/>
    <w:uiPriority w:val="0"/>
    <w:rPr>
      <w:b/>
    </w:rPr>
  </w:style>
  <w:style w:type="character" w:styleId="17">
    <w:name w:val="page number"/>
    <w:qFormat/>
    <w:uiPriority w:val="0"/>
  </w:style>
  <w:style w:type="character" w:customStyle="1" w:styleId="18">
    <w:name w:val="页脚 Char"/>
    <w:link w:val="10"/>
    <w:qFormat/>
    <w:uiPriority w:val="0"/>
    <w:rPr>
      <w:rFonts w:eastAsia="宋体"/>
      <w:kern w:val="2"/>
      <w:sz w:val="18"/>
      <w:szCs w:val="18"/>
      <w:lang w:val="en-US" w:eastAsia="zh-CN" w:bidi="ar-SA"/>
    </w:rPr>
  </w:style>
  <w:style w:type="character" w:customStyle="1" w:styleId="19">
    <w:name w:val="页眉 Char"/>
    <w:link w:val="11"/>
    <w:qFormat/>
    <w:uiPriority w:val="0"/>
    <w:rPr>
      <w:rFonts w:ascii="Calibri" w:hAnsi="Calibri" w:eastAsia="宋体"/>
      <w:kern w:val="2"/>
      <w:sz w:val="18"/>
      <w:szCs w:val="18"/>
      <w:lang w:val="en-US" w:eastAsia="zh-CN" w:bidi="ar-SA"/>
    </w:rPr>
  </w:style>
  <w:style w:type="paragraph" w:customStyle="1" w:styleId="20">
    <w:name w:val="Char Char Char Char Char Char Char"/>
    <w:basedOn w:val="1"/>
    <w:qFormat/>
    <w:uiPriority w:val="0"/>
    <w:rPr>
      <w:rFonts w:ascii="Tahoma" w:hAnsi="Tahoma"/>
      <w:sz w:val="24"/>
      <w:szCs w:val="20"/>
    </w:rPr>
  </w:style>
  <w:style w:type="paragraph" w:customStyle="1" w:styleId="21">
    <w:name w:val="Char1 Char Char Char"/>
    <w:basedOn w:val="1"/>
    <w:qFormat/>
    <w:uiPriority w:val="0"/>
    <w:pPr>
      <w:widowControl/>
      <w:spacing w:after="160" w:line="240" w:lineRule="exact"/>
      <w:jc w:val="left"/>
    </w:pPr>
    <w:rPr>
      <w:szCs w:val="20"/>
    </w:rPr>
  </w:style>
  <w:style w:type="paragraph" w:customStyle="1" w:styleId="22">
    <w:name w:val="Char"/>
    <w:basedOn w:val="1"/>
    <w:qFormat/>
    <w:uiPriority w:val="0"/>
    <w:rPr>
      <w:rFonts w:ascii="Tahoma" w:hAnsi="Tahoma"/>
      <w:sz w:val="24"/>
      <w:szCs w:val="20"/>
    </w:rPr>
  </w:style>
  <w:style w:type="paragraph" w:customStyle="1" w:styleId="23">
    <w:name w:val="Char Char3 Char Char"/>
    <w:basedOn w:val="1"/>
    <w:qFormat/>
    <w:uiPriority w:val="0"/>
    <w:rPr>
      <w:szCs w:val="21"/>
    </w:rPr>
  </w:style>
  <w:style w:type="paragraph" w:customStyle="1"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3432</Words>
  <Characters>5781</Characters>
  <Lines>44</Lines>
  <Paragraphs>12</Paragraphs>
  <TotalTime>2</TotalTime>
  <ScaleCrop>false</ScaleCrop>
  <LinksUpToDate>false</LinksUpToDate>
  <CharactersWithSpaces>5802</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admin</cp:lastModifiedBy>
  <cp:lastPrinted>2020-08-07T11:39:00Z</cp:lastPrinted>
  <dcterms:modified xsi:type="dcterms:W3CDTF">2025-09-15T08:07:46Z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CDA2042523AA4EF98D428DDE42312155</vt:lpwstr>
  </property>
  <property fmtid="{D5CDD505-2E9C-101B-9397-08002B2CF9AE}" pid="4" name="KSOTemplateDocerSaveRecord">
    <vt:lpwstr>eyJoZGlkIjoiMzFhMDlmODM4NDM3ZTUzZTJhOWRjZWIxNmVkMjQxNTMiLCJ1c2VySWQiOiIxMTQwMjc4MDE0In0=</vt:lpwstr>
  </property>
</Properties>
</file>