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2024年度部门决算（公开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ascii="宋体" w:hAnsi="宋体" w:cs="宋体"/>
          <w:b/>
          <w:bCs/>
          <w:kern w:val="0"/>
          <w:sz w:val="36"/>
          <w:szCs w:val="36"/>
        </w:rPr>
      </w:pPr>
    </w:p>
    <w:p>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2024年度部门决算报表</w:t>
      </w:r>
    </w:p>
    <w:p>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十二、政府购买服务决算公开情况表</w:t>
      </w:r>
    </w:p>
    <w:p>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2024年度部门决算说明</w:t>
      </w:r>
    </w:p>
    <w:p>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2024年度部门绩效评价情况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2024年度部门决算说明</w:t>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一、部门/单位基本情况</w:t>
      </w:r>
    </w:p>
    <w:p>
      <w:pPr>
        <w:tabs>
          <w:tab w:val="center" w:pos="6979"/>
        </w:tabs>
        <w:spacing w:line="580" w:lineRule="exact"/>
        <w:ind w:firstLine="700" w:firstLineChars="250"/>
        <w:rPr>
          <w:rFonts w:ascii="仿宋_GB2312" w:eastAsia="仿宋_GB2312"/>
          <w:sz w:val="28"/>
          <w:szCs w:val="28"/>
        </w:rPr>
      </w:pPr>
      <w:r>
        <w:rPr>
          <w:rFonts w:hint="eastAsia" w:ascii="仿宋_GB2312" w:eastAsia="仿宋_GB2312"/>
          <w:sz w:val="28"/>
          <w:szCs w:val="28"/>
        </w:rPr>
        <w:t>主要职责</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(1).贯彻实施国家有关城市管理方面的法律、法规、规章、政策及本市的有关规定，治理和维护城市管理秩序。</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(2).负责本区城市管理综合行政执法工作的统筹协调和业务指导，研究提出完善本区城市管理综合行政执法体制的意见、建议和措施。</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(3).负责相关领域重大疑难复杂案件和跨区域案件的查处工作。</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(4).承担北京市城市管理综合行政执法局交办的有关行政执法工作。</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(5).完成区委、区政府和区城市管理委交办的其他事项。</w:t>
      </w:r>
    </w:p>
    <w:p>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5428.91</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312.35万元，增长6.11%。</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5428.91</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312.35万元，增长6.11%。</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1.财政拨款收入</w:t>
      </w:r>
      <w:r>
        <w:rPr>
          <w:rFonts w:ascii="仿宋_GB2312" w:eastAsia="仿宋_GB2312"/>
          <w:sz w:val="28"/>
          <w:szCs w:val="28"/>
        </w:rPr>
        <w:t>5428.91</w:t>
      </w:r>
      <w:r>
        <w:rPr>
          <w:rFonts w:hint="eastAsia" w:ascii="仿宋_GB2312" w:eastAsia="仿宋_GB2312"/>
          <w:sz w:val="28"/>
          <w:szCs w:val="28"/>
        </w:rPr>
        <w:t>万元，占收入合计的100%。其中：一般公共预算财政拨款收入</w:t>
      </w:r>
      <w:r>
        <w:rPr>
          <w:rFonts w:ascii="仿宋_GB2312" w:eastAsia="仿宋_GB2312"/>
          <w:sz w:val="28"/>
          <w:szCs w:val="28"/>
        </w:rPr>
        <w:t>5428.91</w:t>
      </w:r>
      <w:r>
        <w:rPr>
          <w:rFonts w:hint="eastAsia" w:ascii="仿宋_GB2312" w:eastAsia="仿宋_GB2312"/>
          <w:sz w:val="28"/>
          <w:szCs w:val="28"/>
        </w:rPr>
        <w:t>万元，占收入合计的100%；政府性基金预算财政拨款收入</w:t>
      </w:r>
      <w:r>
        <w:rPr>
          <w:rFonts w:ascii="仿宋_GB2312" w:eastAsia="仿宋_GB2312"/>
          <w:sz w:val="28"/>
          <w:szCs w:val="28"/>
        </w:rPr>
        <w:t>0</w:t>
      </w:r>
      <w:r>
        <w:rPr>
          <w:rFonts w:hint="eastAsia" w:ascii="仿宋_GB2312" w:eastAsia="仿宋_GB2312"/>
          <w:sz w:val="28"/>
          <w:szCs w:val="28"/>
        </w:rPr>
        <w:t>万元，占收入合计的0%；国有资本经营预算财政拨款收入</w:t>
      </w:r>
      <w:r>
        <w:rPr>
          <w:rFonts w:ascii="仿宋_GB2312" w:eastAsia="仿宋_GB2312"/>
          <w:sz w:val="28"/>
          <w:szCs w:val="28"/>
        </w:rPr>
        <w:t>0</w:t>
      </w:r>
      <w:r>
        <w:rPr>
          <w:rFonts w:hint="eastAsia" w:ascii="仿宋_GB2312" w:eastAsia="仿宋_GB2312"/>
          <w:sz w:val="28"/>
          <w:szCs w:val="28"/>
        </w:rPr>
        <w:t>万元，占收入合计的0%；</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万元，占收入合计的0%；</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万元，占收入合计的0%；</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万元，占收入合计的0%；</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万元，占收入合计的0%；</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万元，占收入合计的0%。</w:t>
      </w:r>
    </w:p>
    <w:p>
      <w:pPr>
        <w:spacing w:line="560" w:lineRule="exact"/>
        <w:ind w:firstLine="640"/>
        <w:rPr>
          <w:rFonts w:ascii="仿宋_GB2312" w:eastAsia="仿宋_GB2312" w:cs="Droid Sans"/>
          <w:color w:val="000000"/>
          <w:sz w:val="32"/>
          <w:szCs w:val="32"/>
        </w:rPr>
      </w:pPr>
      <w:r>
        <w:rPr>
          <w:rFonts w:hint="eastAsia" w:ascii="仿宋_GB2312" w:eastAsia="仿宋_GB2312" w:cs="Droid Sans"/>
          <w:color w:val="000000"/>
          <w:sz w:val="32"/>
          <w:szCs w:val="32"/>
        </w:rPr>
        <w:t>（此处插入图表，用上述收入金额制作饼状图，示例如下，无金额类型不必制图）</w:t>
      </w:r>
    </w:p>
    <w:p>
      <w:pPr>
        <w:pStyle w:val="2"/>
        <w:jc w:val="center"/>
      </w:pPr>
      <w:r>
        <w:rPr>
          <w:rFonts w:hint="eastAsia" w:ascii="仿宋_GB2312" w:eastAsia="仿宋_GB2312"/>
          <w:color w:val="000000"/>
          <w:sz w:val="32"/>
        </w:rPr>
        <w:t>图1：收入决算</w:t>
      </w:r>
    </w:p>
    <w:p>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w:t>
      </w:r>
      <w:r>
        <w:rPr>
          <w:rFonts w:ascii="仿宋_GB2312" w:eastAsia="仿宋_GB2312"/>
          <w:sz w:val="28"/>
          <w:szCs w:val="28"/>
        </w:rPr>
        <w:t>5428.91</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312.35万元，增长6.11%，其中：基本支出</w:t>
      </w:r>
      <w:r>
        <w:rPr>
          <w:rFonts w:ascii="仿宋_GB2312" w:eastAsia="仿宋_GB2312"/>
          <w:sz w:val="28"/>
          <w:szCs w:val="28"/>
        </w:rPr>
        <w:t>3465.9</w:t>
      </w:r>
      <w:r>
        <w:rPr>
          <w:rFonts w:hint="eastAsia" w:ascii="仿宋_GB2312" w:eastAsia="仿宋_GB2312"/>
          <w:sz w:val="28"/>
          <w:szCs w:val="28"/>
        </w:rPr>
        <w:t>万元，占支出合计的63.84%；项目支出</w:t>
      </w:r>
      <w:r>
        <w:rPr>
          <w:rFonts w:ascii="仿宋_GB2312" w:eastAsia="仿宋_GB2312"/>
          <w:sz w:val="28"/>
          <w:szCs w:val="28"/>
        </w:rPr>
        <w:t>1963.01</w:t>
      </w:r>
      <w:r>
        <w:rPr>
          <w:rFonts w:hint="eastAsia" w:ascii="仿宋_GB2312" w:eastAsia="仿宋_GB2312"/>
          <w:sz w:val="28"/>
          <w:szCs w:val="28"/>
        </w:rPr>
        <w:t>万元，占支出合计的36.16%;上缴上级支出</w:t>
      </w:r>
      <w:r>
        <w:rPr>
          <w:rFonts w:ascii="仿宋_GB2312" w:eastAsia="仿宋_GB2312"/>
          <w:sz w:val="28"/>
          <w:szCs w:val="28"/>
        </w:rPr>
        <w:t>0</w:t>
      </w:r>
      <w:r>
        <w:rPr>
          <w:rFonts w:hint="eastAsia" w:ascii="仿宋_GB2312" w:eastAsia="仿宋_GB2312"/>
          <w:sz w:val="28"/>
          <w:szCs w:val="28"/>
        </w:rPr>
        <w:t>万元，占支出合计的0%；经营支出</w:t>
      </w:r>
      <w:r>
        <w:rPr>
          <w:rFonts w:ascii="仿宋_GB2312" w:eastAsia="仿宋_GB2312"/>
          <w:sz w:val="28"/>
          <w:szCs w:val="28"/>
        </w:rPr>
        <w:t>0</w:t>
      </w:r>
      <w:r>
        <w:rPr>
          <w:rFonts w:hint="eastAsia" w:ascii="仿宋_GB2312" w:eastAsia="仿宋_GB2312"/>
          <w:sz w:val="28"/>
          <w:szCs w:val="28"/>
        </w:rPr>
        <w:t>万元，占支出合计的0%；对附属单位补助支出</w:t>
      </w:r>
      <w:r>
        <w:rPr>
          <w:rFonts w:ascii="仿宋_GB2312" w:eastAsia="仿宋_GB2312"/>
          <w:sz w:val="28"/>
          <w:szCs w:val="28"/>
        </w:rPr>
        <w:t>0</w:t>
      </w:r>
      <w:r>
        <w:rPr>
          <w:rFonts w:hint="eastAsia" w:ascii="仿宋_GB2312" w:eastAsia="仿宋_GB2312"/>
          <w:sz w:val="28"/>
          <w:szCs w:val="28"/>
        </w:rPr>
        <w:t>万元，占支出合计的0%。</w:t>
      </w:r>
    </w:p>
    <w:p>
      <w:pPr>
        <w:spacing w:line="560" w:lineRule="exact"/>
        <w:ind w:firstLine="640"/>
        <w:rPr>
          <w:rFonts w:ascii="仿宋_GB2312" w:eastAsia="仿宋_GB2312" w:cs="Droid Sans"/>
          <w:color w:val="000000"/>
          <w:sz w:val="32"/>
          <w:szCs w:val="32"/>
        </w:rPr>
      </w:pPr>
      <w:r>
        <w:rPr>
          <w:rFonts w:hint="eastAsia" w:ascii="仿宋_GB2312" w:eastAsia="仿宋_GB2312" w:cs="Droid Sans"/>
          <w:color w:val="000000"/>
          <w:sz w:val="32"/>
          <w:szCs w:val="32"/>
        </w:rPr>
        <w:t>（此处插入图表，用上述支出金额制作饼状图，示例如下，无金额类型不必制图）</w:t>
      </w:r>
    </w:p>
    <w:p>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5428.91</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312.35万元，增长6.11%。主要原因：1.基本支出2024年因正常工资变动，人员经费增加和退休人员去世抚恤金。2.项目支出增加信息化项目。</w:t>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5428.91</w:t>
      </w:r>
      <w:r>
        <w:rPr>
          <w:rFonts w:hint="eastAsia" w:ascii="仿宋_GB2312" w:eastAsia="仿宋_GB2312"/>
          <w:sz w:val="28"/>
          <w:szCs w:val="28"/>
        </w:rPr>
        <w:t>万元，主要用于以下方面（按大类）：社会保障和就业支出516.13万元，占本年财政拨款支出9.51%；卫生健康支出208.6万元，占本年财政拨款支出3.84%；城乡社区支出4246.89万元，占本年财政拨款支出78.23%；住房保障支出457.29万元，占本年财政拨款支出8.42%。</w:t>
      </w:r>
    </w:p>
    <w:p>
      <w:pPr>
        <w:numPr>
          <w:ilvl w:val="0"/>
          <w:numId w:val="1"/>
        </w:numPr>
        <w:autoSpaceDE w:val="0"/>
        <w:autoSpaceDN w:val="0"/>
        <w:adjustRightInd w:val="0"/>
        <w:spacing w:line="580" w:lineRule="exact"/>
        <w:ind w:firstLine="560" w:firstLineChars="200"/>
        <w:jc w:val="left"/>
      </w:pPr>
      <w:r>
        <w:rPr>
          <w:rFonts w:hint="eastAsia" w:ascii="仿宋_GB2312" w:eastAsia="仿宋_GB2312"/>
          <w:sz w:val="28"/>
          <w:szCs w:val="28"/>
        </w:rPr>
        <w:t>一般公共预算财政拨款支出决算具体情况</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1、“社会保障和就业支出”2024年度年初预算464.65万元,2024年度决算</w:t>
      </w:r>
      <w:r>
        <w:rPr>
          <w:rFonts w:ascii="仿宋_GB2312" w:eastAsia="仿宋_GB2312"/>
          <w:sz w:val="28"/>
          <w:szCs w:val="28"/>
        </w:rPr>
        <w:t>516.13</w:t>
      </w:r>
      <w:r>
        <w:rPr>
          <w:rFonts w:hint="eastAsia" w:ascii="仿宋_GB2312" w:eastAsia="仿宋_GB2312"/>
          <w:sz w:val="28"/>
          <w:szCs w:val="28"/>
        </w:rPr>
        <w:t>万元，完成年初预算的111.08%。其中：</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“行政事业单位养老支出”2024年度年初预算464.65万元,2024年度决算463.38万元，完成年初预算的99.73%。 主要原因：进一步落实过紧日子思想，压减公用支出。</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w:t>
      </w:r>
      <w:bookmarkStart w:id="0" w:name="OLE_LINK2"/>
      <w:bookmarkStart w:id="1" w:name="OLE_LINK3"/>
      <w:r>
        <w:rPr>
          <w:rFonts w:hint="eastAsia" w:ascii="仿宋_GB2312" w:eastAsia="仿宋_GB2312"/>
          <w:sz w:val="28"/>
          <w:szCs w:val="28"/>
        </w:rPr>
        <w:t>抚恤”2024年度年初预算0万元,2024年度决算52.75万元。主要原因：单位3名退休人员去世发放抚恤金。</w:t>
      </w:r>
      <w:bookmarkEnd w:id="0"/>
      <w:bookmarkEnd w:id="1"/>
    </w:p>
    <w:p>
      <w:pPr>
        <w:spacing w:line="580" w:lineRule="exact"/>
        <w:ind w:firstLine="560" w:firstLineChars="200"/>
        <w:rPr>
          <w:rFonts w:ascii="仿宋_GB2312" w:eastAsia="仿宋_GB2312"/>
          <w:sz w:val="28"/>
          <w:szCs w:val="28"/>
        </w:rPr>
      </w:pPr>
      <w:r>
        <w:rPr>
          <w:rFonts w:hint="eastAsia" w:ascii="仿宋_GB2312" w:eastAsia="仿宋_GB2312"/>
          <w:sz w:val="28"/>
          <w:szCs w:val="28"/>
        </w:rPr>
        <w:t>2、“卫生健康支出”2024年度年初预算208.60万元,2024年度决算208.60万元，完成年初预算的100%。</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“行政事业单位医疗”2024年度年初预算208.60万元,2024年度决算208.60万元，完成年初预算的100%。</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3、“城乡社区支出”2024年度年初预算4445.65万元,2024年度决算4246.89万元，完成年初预算的95.53%。其中：</w:t>
      </w:r>
    </w:p>
    <w:p>
      <w:pPr>
        <w:spacing w:line="580" w:lineRule="exact"/>
        <w:ind w:firstLine="560" w:firstLineChars="200"/>
        <w:rPr>
          <w:rFonts w:ascii="仿宋_GB2312" w:eastAsia="仿宋_GB2312"/>
          <w:sz w:val="28"/>
          <w:szCs w:val="28"/>
        </w:rPr>
      </w:pPr>
      <w:bookmarkStart w:id="2" w:name="OLE_LINK1"/>
      <w:r>
        <w:rPr>
          <w:rFonts w:hint="eastAsia" w:ascii="仿宋_GB2312" w:eastAsia="仿宋_GB2312"/>
          <w:sz w:val="28"/>
          <w:szCs w:val="28"/>
        </w:rPr>
        <w:t>“城乡社区管理事务” 2024年度年初预算4445.65万元,2024年度决算4246.89万元，完成年初预算的95.53%。主要原因：公用经费压缩，项目调减。</w:t>
      </w:r>
    </w:p>
    <w:bookmarkEnd w:id="2"/>
    <w:p>
      <w:pPr>
        <w:spacing w:line="580" w:lineRule="exact"/>
        <w:ind w:firstLine="560" w:firstLineChars="200"/>
        <w:rPr>
          <w:rFonts w:ascii="仿宋_GB2312" w:eastAsia="仿宋_GB2312"/>
          <w:sz w:val="28"/>
          <w:szCs w:val="28"/>
        </w:rPr>
      </w:pPr>
      <w:r>
        <w:rPr>
          <w:rFonts w:hint="eastAsia" w:ascii="仿宋_GB2312" w:eastAsia="仿宋_GB2312"/>
          <w:sz w:val="28"/>
          <w:szCs w:val="28"/>
        </w:rPr>
        <w:t>4、“住房保障支出”2024年度年初预算424.30万元,2024年度决算457.29万元，完成年初预算的107.78%。其中：</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住房改革支出”2024年度年初预算424.30万元,2024年度决算457.29万元,完成年初预算的107.78%。主要原因：1.补发2023年新招入人员和本年调入人员住房补贴。2.正常性调整住房补贴。3.本年调入人员增加住房公积金支出。</w:t>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五、政府性基金预算财政拨款支出决算情况说明:本单位无此项支出</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2024年度政府性基金预算财政拨款支出</w:t>
      </w:r>
      <w:r>
        <w:rPr>
          <w:rFonts w:ascii="仿宋_GB2312" w:eastAsia="仿宋_GB2312"/>
          <w:sz w:val="28"/>
          <w:szCs w:val="28"/>
        </w:rPr>
        <w:t>0</w:t>
      </w:r>
      <w:r>
        <w:rPr>
          <w:rFonts w:hint="eastAsia" w:ascii="仿宋_GB2312" w:eastAsia="仿宋_GB2312"/>
          <w:sz w:val="28"/>
          <w:szCs w:val="28"/>
        </w:rPr>
        <w:t>万元，主要用于以下方面（按大类）：城乡社区支出0万元，占本年财政拨款支出0%；</w:t>
      </w:r>
      <w:r>
        <w:rPr>
          <w:rFonts w:ascii="仿宋_GB2312" w:eastAsia="仿宋_GB2312"/>
          <w:sz w:val="28"/>
          <w:szCs w:val="28"/>
        </w:rPr>
        <w:t>……</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700" w:firstLineChars="250"/>
        <w:jc w:val="left"/>
        <w:rPr>
          <w:rFonts w:ascii="仿宋_GB2312" w:eastAsia="仿宋_GB2312"/>
          <w:sz w:val="28"/>
          <w:szCs w:val="28"/>
        </w:rPr>
      </w:pPr>
      <w:r>
        <w:rPr>
          <w:rFonts w:hint="eastAsia" w:ascii="仿宋_GB2312" w:eastAsia="仿宋_GB2312"/>
          <w:sz w:val="28"/>
          <w:szCs w:val="28"/>
        </w:rPr>
        <w:t>1、“城乡社区支出”（类，下同）2024年度年初预算0万元，2024年度决算0万元，完成年初预算的0%。其中：</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“城市公用事业附加及对应专项债务收入安排的支出”（款，下同）2024年度年初预算0万元，2024年度决算0万元，完成年初预算的0%。主要原因：</w:t>
      </w:r>
      <w:r>
        <w:rPr>
          <w:rFonts w:ascii="仿宋_GB2312" w:eastAsia="仿宋_GB2312"/>
          <w:sz w:val="28"/>
          <w:szCs w:val="28"/>
        </w:rPr>
        <w:t>……</w:t>
      </w:r>
      <w:r>
        <w:rPr>
          <w:rFonts w:hint="eastAsia" w:ascii="仿宋_GB2312" w:eastAsia="仿宋_GB2312"/>
          <w:sz w:val="28"/>
          <w:szCs w:val="28"/>
        </w:rPr>
        <w:t>。</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2、“XXXX”（类）2024年度年初预算0万元，2024年度决算0万元，完成年初预算的0%。其中：</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“XXXX”（款）2024年度年初预算0万元，2024年度决算0万元，完成年初预算的0%。主要原因：</w:t>
      </w:r>
      <w:r>
        <w:rPr>
          <w:rFonts w:ascii="仿宋_GB2312" w:eastAsia="仿宋_GB2312"/>
          <w:sz w:val="28"/>
          <w:szCs w:val="28"/>
        </w:rPr>
        <w:t>……</w:t>
      </w:r>
      <w:r>
        <w:rPr>
          <w:rFonts w:hint="eastAsia" w:ascii="仿宋_GB2312" w:eastAsia="仿宋_GB2312"/>
          <w:sz w:val="28"/>
          <w:szCs w:val="28"/>
        </w:rPr>
        <w:t>。</w:t>
      </w:r>
    </w:p>
    <w:p>
      <w:pPr>
        <w:pStyle w:val="2"/>
        <w:ind w:firstLine="560" w:firstLineChars="200"/>
        <w:rPr>
          <w:rFonts w:ascii="黑体"/>
          <w:sz w:val="28"/>
          <w:szCs w:val="28"/>
        </w:rPr>
      </w:pPr>
      <w:r>
        <w:rPr>
          <w:rFonts w:hint="eastAsia" w:ascii="黑体"/>
          <w:sz w:val="28"/>
          <w:szCs w:val="28"/>
        </w:rPr>
        <w:t>六、国有资本经营预算财</w:t>
      </w:r>
      <w:r>
        <w:rPr>
          <w:rFonts w:ascii="黑体"/>
          <w:sz w:val="28"/>
          <w:szCs w:val="28"/>
        </w:rPr>
        <w:t>政拨款</w:t>
      </w:r>
      <w:r>
        <w:rPr>
          <w:rFonts w:hint="eastAsia" w:ascii="黑体"/>
          <w:sz w:val="28"/>
          <w:szCs w:val="28"/>
        </w:rPr>
        <w:t>收支情况：本单位无此项支出</w:t>
      </w:r>
    </w:p>
    <w:p>
      <w:pPr>
        <w:ind w:firstLine="537" w:firstLineChars="192"/>
        <w:rPr>
          <w:rFonts w:ascii="仿宋_GB2312" w:eastAsia="仿宋_GB2312"/>
          <w:sz w:val="28"/>
          <w:szCs w:val="28"/>
        </w:rPr>
      </w:pPr>
      <w:r>
        <w:rPr>
          <w:rFonts w:hint="eastAsia" w:ascii="仿宋_GB2312" w:eastAsia="仿宋_GB2312"/>
          <w:sz w:val="28"/>
          <w:szCs w:val="28"/>
        </w:rPr>
        <w:t>2024年度国有资本经营预算财政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2024年度使用一般公共预算财政拨款安排基本支出</w:t>
      </w:r>
      <w:r>
        <w:rPr>
          <w:rFonts w:ascii="仿宋_GB2312" w:eastAsia="仿宋_GB2312"/>
          <w:sz w:val="28"/>
          <w:szCs w:val="28"/>
        </w:rPr>
        <w:t>3465.9</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rPr>
          <w:rFonts w:ascii="宋体" w:hAnsi="宋体"/>
          <w:b/>
          <w:spacing w:val="40"/>
          <w:sz w:val="32"/>
          <w:szCs w:val="32"/>
        </w:rPr>
      </w:pPr>
      <w:r>
        <w:rPr>
          <w:rFonts w:ascii="仿宋_GB2312" w:eastAsia="仿宋_GB2312"/>
          <w:b/>
          <w:sz w:val="32"/>
          <w:szCs w:val="32"/>
        </w:rPr>
        <w:tab/>
      </w:r>
    </w:p>
    <w:p>
      <w:pPr>
        <w:tabs>
          <w:tab w:val="center" w:pos="6979"/>
        </w:tabs>
        <w:jc w:val="center"/>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rPr>
        <w:t>2024年度“三公”经费年初预算</w:t>
      </w:r>
      <w:r>
        <w:rPr>
          <w:rFonts w:ascii="仿宋_GB2312" w:eastAsia="仿宋_GB2312"/>
          <w:sz w:val="28"/>
          <w:szCs w:val="28"/>
        </w:rPr>
        <w:t>54.57</w:t>
      </w:r>
      <w:r>
        <w:rPr>
          <w:rFonts w:hint="eastAsia" w:ascii="仿宋_GB2312" w:eastAsia="仿宋_GB2312"/>
          <w:sz w:val="28"/>
          <w:szCs w:val="28"/>
        </w:rPr>
        <w:t>万元,2024年度决算</w:t>
      </w:r>
      <w:r>
        <w:rPr>
          <w:rFonts w:ascii="仿宋_GB2312" w:eastAsia="仿宋_GB2312"/>
          <w:sz w:val="28"/>
          <w:szCs w:val="28"/>
        </w:rPr>
        <w:t>30.43</w:t>
      </w:r>
      <w:r>
        <w:rPr>
          <w:rFonts w:hint="eastAsia" w:ascii="仿宋_GB2312" w:eastAsia="仿宋_GB2312"/>
          <w:sz w:val="28"/>
          <w:szCs w:val="28"/>
        </w:rPr>
        <w:t>万元，完成年初预算的55.76%。其中：</w:t>
      </w:r>
    </w:p>
    <w:p>
      <w:pPr>
        <w:spacing w:line="560" w:lineRule="exact"/>
        <w:ind w:firstLine="600"/>
        <w:rPr>
          <w:rFonts w:ascii="仿宋_GB2312" w:eastAsia="仿宋_GB2312"/>
          <w:sz w:val="28"/>
          <w:szCs w:val="28"/>
        </w:rPr>
      </w:pPr>
      <w:r>
        <w:rPr>
          <w:rFonts w:hint="eastAsia" w:ascii="仿宋_GB2312" w:eastAsia="仿宋_GB2312"/>
          <w:sz w:val="28"/>
          <w:szCs w:val="28"/>
        </w:rPr>
        <w:t>1.因公出国（境）费用。2024年度年初预算数</w:t>
      </w:r>
      <w:r>
        <w:rPr>
          <w:rFonts w:ascii="仿宋_GB2312" w:eastAsia="仿宋_GB2312"/>
          <w:sz w:val="28"/>
          <w:szCs w:val="28"/>
        </w:rPr>
        <w:t>0</w:t>
      </w:r>
      <w:r>
        <w:rPr>
          <w:rFonts w:hint="eastAsia" w:ascii="仿宋_GB2312" w:eastAsia="仿宋_GB2312"/>
          <w:sz w:val="28"/>
          <w:szCs w:val="28"/>
        </w:rPr>
        <w:t>万元，2024年度决算数</w:t>
      </w:r>
      <w:r>
        <w:rPr>
          <w:rFonts w:ascii="仿宋_GB2312" w:eastAsia="仿宋_GB2312"/>
          <w:sz w:val="28"/>
          <w:szCs w:val="28"/>
        </w:rPr>
        <w:t>4.86</w:t>
      </w:r>
      <w:r>
        <w:rPr>
          <w:rFonts w:hint="eastAsia" w:ascii="仿宋_GB2312" w:eastAsia="仿宋_GB2312"/>
          <w:sz w:val="28"/>
          <w:szCs w:val="28"/>
        </w:rPr>
        <w:t>万元。主要原因：根据市局2024年度因公出访计划安排，赴德国科隆市进行短期培训；2024年度因公出国（境）费用主要用于培训等方面，2024年度组织因公出国（境）团组0个、1人次。</w:t>
      </w:r>
    </w:p>
    <w:p>
      <w:pPr>
        <w:spacing w:line="560" w:lineRule="exact"/>
        <w:ind w:firstLine="600"/>
        <w:rPr>
          <w:rFonts w:ascii="仿宋_GB2312" w:eastAsia="仿宋_GB2312"/>
          <w:sz w:val="28"/>
          <w:szCs w:val="28"/>
        </w:rPr>
      </w:pPr>
      <w:r>
        <w:rPr>
          <w:rFonts w:hint="eastAsia" w:ascii="仿宋_GB2312" w:eastAsia="仿宋_GB2312"/>
          <w:sz w:val="28"/>
          <w:szCs w:val="28"/>
        </w:rPr>
        <w:t>2.公务接待费。2024年度年初预算数</w:t>
      </w:r>
      <w:r>
        <w:rPr>
          <w:rFonts w:ascii="仿宋_GB2312" w:eastAsia="仿宋_GB2312"/>
          <w:sz w:val="28"/>
          <w:szCs w:val="28"/>
        </w:rPr>
        <w:t>1.37</w:t>
      </w:r>
      <w:r>
        <w:rPr>
          <w:rFonts w:hint="eastAsia" w:ascii="仿宋_GB2312" w:eastAsia="仿宋_GB2312"/>
          <w:sz w:val="28"/>
          <w:szCs w:val="28"/>
        </w:rPr>
        <w:t>万元，2024年度决算数</w:t>
      </w:r>
      <w:r>
        <w:rPr>
          <w:rFonts w:ascii="仿宋_GB2312" w:eastAsia="仿宋_GB2312"/>
          <w:sz w:val="28"/>
          <w:szCs w:val="28"/>
        </w:rPr>
        <w:t>0</w:t>
      </w:r>
      <w:r>
        <w:rPr>
          <w:rFonts w:hint="eastAsia" w:ascii="仿宋_GB2312" w:eastAsia="仿宋_GB2312"/>
          <w:sz w:val="28"/>
          <w:szCs w:val="28"/>
        </w:rPr>
        <w:t>万元。主要原因：节约资金，无符合要求的业务接待。公务接待0批次，公务接待0人次。</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3.公务用车购置及运行维护费。2024年度年初预算数</w:t>
      </w:r>
      <w:r>
        <w:rPr>
          <w:rFonts w:ascii="仿宋_GB2312" w:eastAsia="仿宋_GB2312"/>
          <w:sz w:val="28"/>
          <w:szCs w:val="28"/>
        </w:rPr>
        <w:t>53.2</w:t>
      </w:r>
      <w:r>
        <w:rPr>
          <w:rFonts w:hint="eastAsia" w:ascii="仿宋_GB2312" w:eastAsia="仿宋_GB2312"/>
          <w:sz w:val="28"/>
          <w:szCs w:val="28"/>
        </w:rPr>
        <w:t>万元，2024年度决算数</w:t>
      </w:r>
      <w:r>
        <w:rPr>
          <w:rFonts w:ascii="仿宋_GB2312" w:eastAsia="仿宋_GB2312"/>
          <w:sz w:val="28"/>
          <w:szCs w:val="28"/>
        </w:rPr>
        <w:t>25.57</w:t>
      </w:r>
      <w:r>
        <w:rPr>
          <w:rFonts w:hint="eastAsia" w:ascii="仿宋_GB2312" w:eastAsia="仿宋_GB2312"/>
          <w:sz w:val="28"/>
          <w:szCs w:val="28"/>
        </w:rPr>
        <w:t>万元。其中，公务用车购置费2024年度决算数0万元，主要原因：无报废更新，2024年度购置（更新）0辆。公务用车运行维护费2024年度决算数25.57万元，主要原因：</w:t>
      </w:r>
      <w:bookmarkStart w:id="3" w:name="OLE_LINK5"/>
      <w:bookmarkStart w:id="4" w:name="OLE_LINK6"/>
      <w:r>
        <w:rPr>
          <w:rFonts w:hint="eastAsia" w:ascii="仿宋_GB2312" w:eastAsia="仿宋_GB2312"/>
          <w:sz w:val="28"/>
          <w:szCs w:val="28"/>
        </w:rPr>
        <w:t>进一步落实过紧日子思想，</w:t>
      </w:r>
      <w:bookmarkEnd w:id="3"/>
      <w:bookmarkEnd w:id="4"/>
      <w:r>
        <w:rPr>
          <w:rFonts w:hint="eastAsia" w:ascii="仿宋_GB2312" w:eastAsia="仿宋_GB2312"/>
          <w:sz w:val="28"/>
          <w:szCs w:val="28"/>
        </w:rPr>
        <w:t>压减公务用车运行及维护费。2024年度公务用车保有量</w:t>
      </w:r>
      <w:r>
        <w:rPr>
          <w:rFonts w:ascii="仿宋_GB2312" w:eastAsia="仿宋_GB2312"/>
          <w:sz w:val="28"/>
          <w:szCs w:val="28"/>
        </w:rPr>
        <w:t>35</w:t>
      </w:r>
      <w:r>
        <w:rPr>
          <w:rFonts w:hint="eastAsia" w:ascii="仿宋_GB2312" w:eastAsia="仿宋_GB2312"/>
          <w:sz w:val="28"/>
          <w:szCs w:val="28"/>
        </w:rPr>
        <w:t>辆。</w:t>
      </w:r>
    </w:p>
    <w:p>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pPr>
        <w:ind w:firstLine="537" w:firstLineChars="192"/>
        <w:rPr>
          <w:rFonts w:ascii="仿宋_GB2312" w:eastAsia="仿宋_GB2312"/>
          <w:sz w:val="28"/>
          <w:szCs w:val="28"/>
        </w:rPr>
      </w:pPr>
      <w:r>
        <w:rPr>
          <w:rFonts w:hint="eastAsia" w:ascii="仿宋_GB2312" w:eastAsia="仿宋_GB2312"/>
          <w:sz w:val="28"/>
          <w:szCs w:val="28"/>
        </w:rPr>
        <w:t>2024年度机关运行经费支出合计311.92万元，比上年减少15.67万元，减少原因：落实过紧日子思想，压减公用经费。</w:t>
      </w:r>
    </w:p>
    <w:p>
      <w:pPr>
        <w:ind w:left="540"/>
        <w:rPr>
          <w:rFonts w:ascii="黑体" w:eastAsia="黑体"/>
          <w:sz w:val="28"/>
          <w:szCs w:val="28"/>
        </w:rPr>
      </w:pPr>
      <w:r>
        <w:rPr>
          <w:rFonts w:hint="eastAsia" w:ascii="黑体" w:eastAsia="黑体"/>
          <w:sz w:val="28"/>
          <w:szCs w:val="28"/>
        </w:rPr>
        <w:t>三、政府采购支出情况</w:t>
      </w:r>
    </w:p>
    <w:p>
      <w:pPr>
        <w:ind w:firstLine="537" w:firstLineChars="192"/>
        <w:rPr>
          <w:rFonts w:ascii="仿宋_GB2312" w:eastAsia="仿宋_GB2312"/>
          <w:sz w:val="28"/>
          <w:szCs w:val="28"/>
        </w:rPr>
      </w:pPr>
      <w:r>
        <w:rPr>
          <w:rFonts w:hint="eastAsia" w:ascii="仿宋_GB2312" w:eastAsia="仿宋_GB2312"/>
          <w:sz w:val="28"/>
          <w:szCs w:val="28"/>
        </w:rPr>
        <w:t>2024年度政府采购支出总额</w:t>
      </w:r>
      <w:r>
        <w:rPr>
          <w:rFonts w:ascii="仿宋_GB2312" w:eastAsia="仿宋_GB2312"/>
          <w:sz w:val="28"/>
          <w:szCs w:val="28"/>
        </w:rPr>
        <w:t>563.43</w:t>
      </w:r>
      <w:r>
        <w:rPr>
          <w:rFonts w:hint="eastAsia" w:ascii="仿宋_GB2312" w:eastAsia="仿宋_GB2312"/>
          <w:sz w:val="28"/>
          <w:szCs w:val="28"/>
        </w:rPr>
        <w:t>万元，其中：政府采购货物支出</w:t>
      </w:r>
      <w:r>
        <w:rPr>
          <w:rFonts w:ascii="仿宋_GB2312" w:eastAsia="仿宋_GB2312"/>
          <w:sz w:val="28"/>
          <w:szCs w:val="28"/>
        </w:rPr>
        <w:t>389.97</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173.46</w:t>
      </w:r>
      <w:r>
        <w:rPr>
          <w:rFonts w:hint="eastAsia" w:ascii="仿宋_GB2312" w:eastAsia="仿宋_GB2312"/>
          <w:sz w:val="28"/>
          <w:szCs w:val="28"/>
        </w:rPr>
        <w:t>万元。授予中小企业合同金额</w:t>
      </w:r>
      <w:r>
        <w:rPr>
          <w:rFonts w:ascii="仿宋_GB2312" w:eastAsia="仿宋_GB2312"/>
          <w:sz w:val="28"/>
          <w:szCs w:val="28"/>
        </w:rPr>
        <w:t>552.68</w:t>
      </w:r>
      <w:r>
        <w:rPr>
          <w:rFonts w:hint="eastAsia" w:ascii="仿宋_GB2312" w:eastAsia="仿宋_GB2312"/>
          <w:sz w:val="28"/>
          <w:szCs w:val="28"/>
        </w:rPr>
        <w:t>万元，占政府采购支出总额的98.09%，其中：授予小微企业合同金额</w:t>
      </w:r>
      <w:r>
        <w:rPr>
          <w:rFonts w:ascii="仿宋_GB2312" w:eastAsia="仿宋_GB2312"/>
          <w:sz w:val="28"/>
          <w:szCs w:val="28"/>
        </w:rPr>
        <w:t>449.77</w:t>
      </w:r>
      <w:r>
        <w:rPr>
          <w:rFonts w:hint="eastAsia" w:ascii="仿宋_GB2312" w:eastAsia="仿宋_GB2312"/>
          <w:sz w:val="28"/>
          <w:szCs w:val="28"/>
        </w:rPr>
        <w:t>万元，占政府采购支出总额的</w:t>
      </w:r>
      <w:r>
        <w:rPr>
          <w:rFonts w:ascii="仿宋_GB2312" w:eastAsia="仿宋_GB2312"/>
          <w:sz w:val="28"/>
          <w:szCs w:val="28"/>
        </w:rPr>
        <w:t>79.83</w:t>
      </w:r>
      <w:r>
        <w:rPr>
          <w:rFonts w:hint="eastAsia" w:ascii="仿宋_GB2312" w:eastAsia="仿宋_GB2312"/>
          <w:sz w:val="28"/>
          <w:szCs w:val="28"/>
        </w:rPr>
        <w:t>%。</w:t>
      </w:r>
    </w:p>
    <w:p>
      <w:pPr>
        <w:ind w:firstLine="560" w:firstLineChars="200"/>
        <w:rPr>
          <w:rFonts w:ascii="黑体" w:eastAsia="黑体"/>
          <w:sz w:val="28"/>
          <w:szCs w:val="28"/>
          <w:highlight w:val="yellow"/>
        </w:rPr>
      </w:pPr>
      <w:r>
        <w:rPr>
          <w:rFonts w:hint="eastAsia" w:ascii="黑体" w:eastAsia="黑体"/>
          <w:sz w:val="28"/>
          <w:szCs w:val="28"/>
        </w:rPr>
        <w:t>四、国有资产占用情况</w:t>
      </w:r>
    </w:p>
    <w:p>
      <w:pPr>
        <w:ind w:firstLine="560" w:firstLineChars="200"/>
        <w:rPr>
          <w:rFonts w:ascii="仿宋_GB2312" w:eastAsia="仿宋_GB2312"/>
          <w:sz w:val="32"/>
          <w:szCs w:val="32"/>
        </w:rPr>
      </w:pPr>
      <w:r>
        <w:rPr>
          <w:rFonts w:hint="eastAsia" w:ascii="仿宋_GB2312" w:eastAsia="仿宋_GB2312"/>
          <w:sz w:val="28"/>
          <w:szCs w:val="28"/>
        </w:rPr>
        <w:t>截至12月31日，北京市西城区城市管理综合行政执法局共有车辆35台；单位价值100万元（含）以上的设备0台（套）。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ascii="仿宋_GB2312" w:eastAsia="仿宋_GB2312"/>
          <w:sz w:val="28"/>
          <w:szCs w:val="28"/>
        </w:rPr>
      </w:pPr>
      <w:r>
        <w:rPr>
          <w:rFonts w:hint="eastAsia" w:ascii="仿宋_GB2312" w:eastAsia="仿宋_GB2312"/>
          <w:sz w:val="28"/>
          <w:szCs w:val="28"/>
        </w:rPr>
        <w:t>2024年度</w:t>
      </w:r>
      <w:r>
        <w:rPr>
          <w:rFonts w:ascii="仿宋_GB2312" w:eastAsia="仿宋_GB2312"/>
          <w:sz w:val="28"/>
          <w:szCs w:val="28"/>
        </w:rPr>
        <w:t>政府购买服务决算186.61</w:t>
      </w:r>
      <w:r>
        <w:rPr>
          <w:rFonts w:hint="eastAsia" w:ascii="仿宋_GB2312" w:eastAsia="仿宋_GB2312"/>
          <w:sz w:val="28"/>
          <w:szCs w:val="28"/>
        </w:rPr>
        <w:t>万元。</w:t>
      </w:r>
    </w:p>
    <w:p>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rPr>
          <w:rFonts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rPr>
          <w:rFonts w:ascii="黑体" w:eastAsia="黑体"/>
          <w:sz w:val="32"/>
          <w:szCs w:val="32"/>
        </w:rPr>
      </w:pPr>
    </w:p>
    <w:p>
      <w:pPr>
        <w:ind w:firstLine="640" w:firstLineChars="200"/>
        <w:jc w:val="center"/>
        <w:rPr>
          <w:rFonts w:ascii="黑体" w:eastAsia="黑体"/>
          <w:sz w:val="32"/>
          <w:szCs w:val="32"/>
        </w:rPr>
      </w:pPr>
    </w:p>
    <w:p>
      <w:pPr>
        <w:ind w:firstLine="640" w:firstLineChars="200"/>
        <w:jc w:val="center"/>
        <w:rPr>
          <w:rFonts w:ascii="黑体" w:eastAsia="黑体"/>
          <w:sz w:val="32"/>
          <w:szCs w:val="32"/>
        </w:rPr>
      </w:pPr>
      <w:r>
        <w:rPr>
          <w:rFonts w:hint="eastAsia" w:ascii="黑体" w:eastAsia="黑体"/>
          <w:sz w:val="32"/>
          <w:szCs w:val="32"/>
        </w:rPr>
        <w:t>第四部分  2024年度部门绩效评价情况</w:t>
      </w:r>
    </w:p>
    <w:p>
      <w:pPr>
        <w:ind w:firstLine="560" w:firstLineChars="200"/>
        <w:rPr>
          <w:rFonts w:ascii="黑体" w:eastAsia="黑体"/>
          <w:sz w:val="28"/>
          <w:szCs w:val="28"/>
          <w:highlight w:val="yellow"/>
        </w:rPr>
      </w:pPr>
    </w:p>
    <w:p>
      <w:pPr>
        <w:rPr>
          <w:rFonts w:ascii="黑体" w:eastAsia="黑体"/>
          <w:sz w:val="28"/>
          <w:szCs w:val="28"/>
        </w:rPr>
      </w:pPr>
    </w:p>
    <w:p>
      <w:pPr>
        <w:spacing w:line="480" w:lineRule="exact"/>
        <w:ind w:firstLine="420"/>
        <w:rPr>
          <w:rFonts w:ascii="黑体" w:eastAsia="黑体"/>
          <w:sz w:val="28"/>
          <w:szCs w:val="28"/>
        </w:rPr>
      </w:pPr>
      <w:r>
        <w:rPr>
          <w:rFonts w:hint="eastAsia" w:ascii="黑体" w:eastAsia="黑体"/>
          <w:sz w:val="28"/>
          <w:szCs w:val="28"/>
        </w:rPr>
        <w:t>一、项目</w:t>
      </w:r>
      <w:r>
        <w:rPr>
          <w:rFonts w:ascii="黑体" w:eastAsia="黑体"/>
          <w:sz w:val="28"/>
          <w:szCs w:val="28"/>
        </w:rPr>
        <w:t>支出绩效自评表</w:t>
      </w:r>
    </w:p>
    <w:tbl>
      <w:tblPr>
        <w:tblStyle w:val="10"/>
        <w:tblW w:w="14698" w:type="dxa"/>
        <w:jc w:val="center"/>
        <w:tblLayout w:type="fixed"/>
        <w:tblCellMar>
          <w:top w:w="32" w:type="dxa"/>
          <w:left w:w="64" w:type="dxa"/>
          <w:bottom w:w="32" w:type="dxa"/>
          <w:right w:w="64" w:type="dxa"/>
        </w:tblCellMar>
      </w:tblPr>
      <w:tblGrid>
        <w:gridCol w:w="1332"/>
        <w:gridCol w:w="2799"/>
        <w:gridCol w:w="1243"/>
        <w:gridCol w:w="1467"/>
        <w:gridCol w:w="1362"/>
        <w:gridCol w:w="1362"/>
        <w:gridCol w:w="1288"/>
        <w:gridCol w:w="1153"/>
        <w:gridCol w:w="2396"/>
        <w:gridCol w:w="148"/>
        <w:gridCol w:w="148"/>
      </w:tblGrid>
      <w:tr>
        <w:tblPrEx>
          <w:tblCellMar>
            <w:top w:w="32" w:type="dxa"/>
            <w:left w:w="64" w:type="dxa"/>
            <w:bottom w:w="32" w:type="dxa"/>
            <w:right w:w="64" w:type="dxa"/>
          </w:tblCellMar>
        </w:tblPrEx>
        <w:trPr>
          <w:jc w:val="center"/>
        </w:trPr>
        <w:tc>
          <w:tcPr>
            <w:tcW w:w="14430" w:type="dxa"/>
            <w:gridSpan w:val="9"/>
            <w:tcBorders>
              <w:top w:val="nil"/>
              <w:left w:val="nil"/>
              <w:bottom w:val="nil"/>
              <w:right w:val="nil"/>
            </w:tcBorders>
            <w:shd w:val="clear" w:color="auto" w:fill="auto"/>
            <w:noWrap/>
            <w:vAlign w:val="center"/>
          </w:tcPr>
          <w:p>
            <w:pPr>
              <w:keepNext/>
              <w:widowControl/>
              <w:snapToGrid w:val="0"/>
              <w:jc w:val="center"/>
              <w:textAlignment w:val="center"/>
              <w:rPr>
                <w:rFonts w:ascii="宋体" w:hAnsi="宋体" w:cs="宋体"/>
                <w:b/>
                <w:bCs/>
                <w:color w:val="000000"/>
                <w:kern w:val="0"/>
                <w:sz w:val="36"/>
                <w:szCs w:val="36"/>
                <w:lang w:bidi="ar"/>
              </w:rPr>
            </w:pPr>
            <w:r>
              <w:rPr>
                <w:rFonts w:hint="eastAsia" w:ascii="宋体" w:hAnsi="宋体" w:cs="宋体"/>
                <w:b/>
                <w:bCs/>
                <w:color w:val="000000"/>
                <w:kern w:val="0"/>
                <w:sz w:val="36"/>
                <w:szCs w:val="36"/>
                <w:lang w:bidi="ar"/>
              </w:rPr>
              <w:t>2024年度（北京市西城区城市管理综合行政执法局）单位</w:t>
            </w:r>
          </w:p>
          <w:p>
            <w:pPr>
              <w:keepNext/>
              <w:widowControl/>
              <w:snapToGrid w:val="0"/>
              <w:jc w:val="center"/>
              <w:textAlignment w:val="center"/>
              <w:rPr>
                <w:rFonts w:ascii="宋体" w:hAnsi="宋体" w:cs="宋体"/>
                <w:b/>
                <w:bCs/>
                <w:color w:val="000000"/>
                <w:sz w:val="36"/>
                <w:szCs w:val="36"/>
              </w:rPr>
            </w:pPr>
            <w:r>
              <w:rPr>
                <w:rFonts w:hint="eastAsia" w:ascii="宋体" w:hAnsi="宋体" w:cs="宋体"/>
                <w:b/>
                <w:bCs/>
                <w:color w:val="000000"/>
                <w:kern w:val="0"/>
                <w:sz w:val="36"/>
                <w:szCs w:val="36"/>
                <w:lang w:bidi="ar"/>
              </w:rPr>
              <w:t>全年部门整体支出单位自评结果汇总表</w:t>
            </w:r>
          </w:p>
        </w:tc>
        <w:tc>
          <w:tcPr>
            <w:tcW w:w="134" w:type="dxa"/>
            <w:tcBorders>
              <w:top w:val="nil"/>
              <w:left w:val="nil"/>
              <w:bottom w:val="nil"/>
              <w:right w:val="nil"/>
            </w:tcBorders>
            <w:shd w:val="clear" w:color="auto" w:fill="auto"/>
            <w:noWrap/>
            <w:vAlign w:val="center"/>
          </w:tcPr>
          <w:p>
            <w:pPr>
              <w:keepNext/>
              <w:snapToGrid w:val="0"/>
              <w:jc w:val="center"/>
              <w:rPr>
                <w:rFonts w:ascii="宋体" w:hAnsi="宋体" w:cs="宋体"/>
                <w:b/>
                <w:bCs/>
                <w:color w:val="000000"/>
                <w:sz w:val="36"/>
                <w:szCs w:val="36"/>
              </w:rPr>
            </w:pPr>
          </w:p>
        </w:tc>
        <w:tc>
          <w:tcPr>
            <w:tcW w:w="134" w:type="dxa"/>
            <w:tcBorders>
              <w:top w:val="nil"/>
              <w:left w:val="nil"/>
              <w:bottom w:val="nil"/>
              <w:right w:val="nil"/>
            </w:tcBorders>
            <w:shd w:val="clear" w:color="auto" w:fill="auto"/>
            <w:noWrap/>
            <w:vAlign w:val="center"/>
          </w:tcPr>
          <w:p>
            <w:pPr>
              <w:keepNext/>
              <w:snapToGrid w:val="0"/>
              <w:jc w:val="center"/>
              <w:rPr>
                <w:rFonts w:ascii="宋体" w:hAnsi="宋体" w:cs="宋体"/>
                <w:b/>
                <w:bCs/>
                <w:color w:val="000000"/>
                <w:sz w:val="36"/>
                <w:szCs w:val="36"/>
              </w:rPr>
            </w:pPr>
          </w:p>
        </w:tc>
      </w:tr>
      <w:tr>
        <w:tblPrEx>
          <w:tblCellMar>
            <w:top w:w="32" w:type="dxa"/>
            <w:left w:w="64" w:type="dxa"/>
            <w:bottom w:w="32" w:type="dxa"/>
            <w:right w:w="64" w:type="dxa"/>
          </w:tblCellMar>
        </w:tblPrEx>
        <w:trPr>
          <w:jc w:val="center"/>
        </w:trPr>
        <w:tc>
          <w:tcPr>
            <w:tcW w:w="13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2805"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245"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470"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65"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65"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290"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155"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2401"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trHeight w:val="1258" w:hRule="atLeast"/>
          <w:jc w:val="center"/>
        </w:trPr>
        <w:tc>
          <w:tcPr>
            <w:tcW w:w="53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填报单位（二级）：北京市西城区城市管理综合行政执法局</w:t>
            </w:r>
          </w:p>
        </w:tc>
        <w:tc>
          <w:tcPr>
            <w:tcW w:w="42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Style w:val="20"/>
                <w:rFonts w:hint="default"/>
                <w:lang w:bidi="ar"/>
              </w:rPr>
              <w:t>1、2024年度项目支出金额（万元）：1963.01</w:t>
            </w:r>
            <w:r>
              <w:rPr>
                <w:rStyle w:val="20"/>
                <w:rFonts w:hint="default"/>
                <w:lang w:bidi="ar"/>
              </w:rPr>
              <w:br w:type="textWrapping"/>
            </w:r>
            <w:r>
              <w:rPr>
                <w:rStyle w:val="20"/>
                <w:rFonts w:hint="default"/>
                <w:lang w:bidi="ar"/>
              </w:rPr>
              <w:t>2、选取自评项目金额（万元）：960.79</w:t>
            </w:r>
            <w:r>
              <w:rPr>
                <w:rStyle w:val="21"/>
                <w:rFonts w:hint="default"/>
                <w:lang w:bidi="ar"/>
              </w:rPr>
              <w:br w:type="textWrapping"/>
            </w:r>
            <w:r>
              <w:rPr>
                <w:rStyle w:val="21"/>
                <w:rFonts w:hint="default"/>
                <w:lang w:bidi="ar"/>
              </w:rPr>
              <w:t>3、2占1的比例：62%</w:t>
            </w:r>
          </w:p>
        </w:tc>
        <w:tc>
          <w:tcPr>
            <w:tcW w:w="48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1、202</w:t>
            </w:r>
            <w:r>
              <w:rPr>
                <w:rFonts w:hint="eastAsia" w:ascii="宋体" w:hAnsi="宋体" w:cs="宋体"/>
                <w:color w:val="000000"/>
                <w:kern w:val="0"/>
                <w:sz w:val="22"/>
                <w:szCs w:val="22"/>
                <w:lang w:val="en-US" w:eastAsia="zh-CN" w:bidi="ar"/>
              </w:rPr>
              <w:t>4</w:t>
            </w:r>
            <w:r>
              <w:rPr>
                <w:rFonts w:hint="eastAsia" w:ascii="宋体" w:hAnsi="宋体" w:cs="宋体"/>
                <w:color w:val="000000"/>
                <w:kern w:val="0"/>
                <w:sz w:val="22"/>
                <w:szCs w:val="22"/>
                <w:lang w:bidi="ar"/>
              </w:rPr>
              <w:t>年</w:t>
            </w:r>
            <w:bookmarkStart w:id="5" w:name="_GoBack"/>
            <w:bookmarkEnd w:id="5"/>
            <w:r>
              <w:rPr>
                <w:rFonts w:hint="eastAsia" w:ascii="宋体" w:hAnsi="宋体" w:cs="宋体"/>
                <w:color w:val="000000"/>
                <w:kern w:val="0"/>
                <w:sz w:val="22"/>
                <w:szCs w:val="22"/>
                <w:lang w:bidi="ar"/>
              </w:rPr>
              <w:t>度项目支出总数量：29</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2、选取自评项目支出总数量：18</w:t>
            </w: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trHeight w:val="1141" w:hRule="atLeast"/>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序号</w:t>
            </w:r>
          </w:p>
        </w:tc>
        <w:tc>
          <w:tcPr>
            <w:tcW w:w="28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项目名称</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预算金额（万元）</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预算执行得分</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产出指标得分</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效益指标得分</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满意度指标得分</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 xml:space="preserve"> 自评得分总计</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导致项目实际情况与绩效目标偏差的主要原因及改进措施</w:t>
            </w: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物业服务</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41.588438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运行管理服务</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81.6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50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城管法制宣传费</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17.19</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65</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微信公众号运维服务</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城管执法装备维修费</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聘请法制专务服务</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城管网络及软硬件运行维护服务</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47.58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8</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监控图像系统运行维护服务</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11.6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50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多媒体音视频设备升级改造运维服务</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32.3</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执法城管通运行维护费用</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202.6656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9.72</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49</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98.72</w:t>
            </w:r>
          </w:p>
        </w:tc>
        <w:tc>
          <w:tcPr>
            <w:tcW w:w="2401" w:type="dxa"/>
            <w:tcBorders>
              <w:top w:val="single" w:color="000000" w:sz="4" w:space="0"/>
              <w:left w:val="single" w:color="000000" w:sz="4" w:space="0"/>
              <w:bottom w:val="single" w:color="000000" w:sz="4" w:space="0"/>
              <w:right w:val="single" w:color="000000" w:sz="4" w:space="0"/>
            </w:tcBorders>
            <w:shd w:val="clear" w:color="auto" w:fill="auto"/>
          </w:tcPr>
          <w:p>
            <w:pPr>
              <w:keepNext/>
              <w:widowControl/>
              <w:snapToGrid w:val="0"/>
              <w:jc w:val="left"/>
              <w:textAlignment w:val="top"/>
              <w:rPr>
                <w:rFonts w:ascii="宋体" w:hAnsi="宋体" w:cs="宋体"/>
                <w:color w:val="000000"/>
                <w:sz w:val="18"/>
                <w:szCs w:val="18"/>
              </w:rPr>
            </w:pPr>
            <w:r>
              <w:rPr>
                <w:rFonts w:hint="eastAsia" w:ascii="宋体" w:hAnsi="宋体" w:cs="宋体"/>
                <w:color w:val="000000"/>
                <w:kern w:val="0"/>
                <w:sz w:val="18"/>
                <w:szCs w:val="18"/>
                <w:lang w:bidi="ar"/>
              </w:rPr>
              <w:t xml:space="preserve"> 因每月存在人员调出调入，需对执法城管通运行维护费用进行调整。</w:t>
            </w: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11</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2024年专职安全员经费</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2.841</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50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12</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一分队、二分队食堂设备维护服务</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6.945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50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trHeight w:val="1121" w:hRule="atLeast"/>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执法工作费</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8.89</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50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98.89</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tcPr>
          <w:p>
            <w:pPr>
              <w:widowControl/>
              <w:jc w:val="left"/>
              <w:textAlignment w:val="top"/>
              <w:rPr>
                <w:rFonts w:ascii="宋体" w:hAnsi="宋体" w:cs="宋体"/>
                <w:color w:val="000000"/>
                <w:sz w:val="22"/>
                <w:szCs w:val="22"/>
              </w:rPr>
            </w:pPr>
            <w:r>
              <w:rPr>
                <w:rFonts w:hint="eastAsia" w:ascii="宋体" w:hAnsi="宋体" w:cs="宋体"/>
                <w:color w:val="000000"/>
                <w:kern w:val="0"/>
                <w:sz w:val="18"/>
                <w:szCs w:val="18"/>
                <w:lang w:bidi="ar"/>
              </w:rPr>
              <w:t>因印刷执法手册的费用由于部分法律法规的调整和废止，编制手册的页数少于预期，导致执行率为88.89%。</w:t>
            </w: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14</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接诉即办辅助人员专项经费</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89.3144</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2024年办公设备购置费</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0.4995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50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16</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指挥调度及601会议室多媒体设备升级改造项目</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95.617798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17</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京财公用指[2023]1784号2024年城管以奖促治转移支付资金</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289.8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49</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99</w:t>
            </w:r>
          </w:p>
        </w:tc>
        <w:tc>
          <w:tcPr>
            <w:tcW w:w="2401" w:type="dxa"/>
            <w:tcBorders>
              <w:top w:val="single" w:color="000000" w:sz="4" w:space="0"/>
              <w:left w:val="single" w:color="000000" w:sz="4" w:space="0"/>
              <w:bottom w:val="single" w:color="000000" w:sz="4" w:space="0"/>
              <w:right w:val="single" w:color="000000" w:sz="4" w:space="0"/>
            </w:tcBorders>
            <w:shd w:val="clear" w:color="auto" w:fill="auto"/>
          </w:tcPr>
          <w:p>
            <w:pPr>
              <w:keepNext/>
              <w:widowControl/>
              <w:snapToGrid w:val="0"/>
              <w:jc w:val="left"/>
              <w:textAlignment w:val="top"/>
              <w:rPr>
                <w:rFonts w:ascii="宋体" w:hAnsi="宋体" w:cs="宋体"/>
                <w:color w:val="000000"/>
                <w:sz w:val="18"/>
                <w:szCs w:val="18"/>
              </w:rPr>
            </w:pPr>
            <w:r>
              <w:rPr>
                <w:rFonts w:hint="eastAsia" w:ascii="宋体" w:hAnsi="宋体" w:cs="宋体"/>
                <w:color w:val="000000"/>
                <w:kern w:val="0"/>
                <w:sz w:val="18"/>
                <w:szCs w:val="18"/>
                <w:lang w:bidi="ar"/>
              </w:rPr>
              <w:t xml:space="preserve">   按照实际中标金额执行。</w:t>
            </w: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r>
        <w:tblPrEx>
          <w:tblCellMar>
            <w:top w:w="32" w:type="dxa"/>
            <w:left w:w="64" w:type="dxa"/>
            <w:bottom w:w="32" w:type="dxa"/>
            <w:right w:w="64" w:type="dxa"/>
          </w:tblCellMar>
        </w:tblPrEx>
        <w:trPr>
          <w:jc w:val="center"/>
        </w:trPr>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18</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widowControl/>
              <w:snapToGrid w:val="0"/>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二分队办公区维修</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4.071656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widowControl/>
              <w:snapToGrid w:val="0"/>
              <w:jc w:val="right"/>
              <w:textAlignment w:val="center"/>
              <w:rPr>
                <w:rFonts w:ascii="宋体" w:hAnsi="宋体" w:cs="宋体"/>
                <w:color w:val="000000"/>
                <w:sz w:val="22"/>
                <w:szCs w:val="22"/>
              </w:rPr>
            </w:pPr>
            <w:r>
              <w:rPr>
                <w:rFonts w:hint="eastAsia" w:ascii="宋体" w:hAnsi="宋体" w:cs="宋体"/>
                <w:color w:val="000000"/>
                <w:kern w:val="0"/>
                <w:sz w:val="22"/>
                <w:szCs w:val="22"/>
                <w:lang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c>
          <w:tcPr>
            <w:tcW w:w="134" w:type="dxa"/>
            <w:tcBorders>
              <w:top w:val="nil"/>
              <w:left w:val="nil"/>
              <w:bottom w:val="nil"/>
              <w:right w:val="nil"/>
            </w:tcBorders>
            <w:shd w:val="clear" w:color="auto" w:fill="auto"/>
            <w:noWrap/>
            <w:vAlign w:val="center"/>
          </w:tcPr>
          <w:p>
            <w:pPr>
              <w:keepNext/>
              <w:snapToGrid w:val="0"/>
              <w:rPr>
                <w:rFonts w:ascii="宋体" w:hAnsi="宋体" w:cs="宋体"/>
                <w:color w:val="000000"/>
                <w:sz w:val="22"/>
                <w:szCs w:val="22"/>
              </w:rPr>
            </w:pPr>
          </w:p>
        </w:tc>
      </w:tr>
    </w:tbl>
    <w:p>
      <w:pPr>
        <w:pStyle w:val="2"/>
      </w:pPr>
    </w:p>
    <w:p>
      <w:pPr>
        <w:spacing w:line="480" w:lineRule="exact"/>
        <w:rPr>
          <w:rFonts w:ascii="仿宋_GB2312" w:hAnsi="仿宋_GB2312" w:eastAsia="仿宋_GB2312" w:cs="仿宋_GB2312"/>
          <w:sz w:val="32"/>
          <w:szCs w:val="32"/>
        </w:rPr>
      </w:pP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10</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7108FC"/>
    <w:multiLevelType w:val="singleLevel"/>
    <w:tmpl w:val="F27108F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D7534"/>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3876"/>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461F"/>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6276"/>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76CA7"/>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6620BC5"/>
    <w:rsid w:val="079004AC"/>
    <w:rsid w:val="0946657C"/>
    <w:rsid w:val="0BA148CA"/>
    <w:rsid w:val="0C1165C4"/>
    <w:rsid w:val="0D6D544B"/>
    <w:rsid w:val="0DD136FE"/>
    <w:rsid w:val="0F8E2C57"/>
    <w:rsid w:val="0FD77F2D"/>
    <w:rsid w:val="1059665E"/>
    <w:rsid w:val="10AC13BA"/>
    <w:rsid w:val="145A6C1B"/>
    <w:rsid w:val="14B73493"/>
    <w:rsid w:val="15842905"/>
    <w:rsid w:val="167A2FF9"/>
    <w:rsid w:val="18057602"/>
    <w:rsid w:val="18581C69"/>
    <w:rsid w:val="1AEC0734"/>
    <w:rsid w:val="1DEF20B0"/>
    <w:rsid w:val="1E2527AC"/>
    <w:rsid w:val="214243FA"/>
    <w:rsid w:val="21AD613C"/>
    <w:rsid w:val="22467189"/>
    <w:rsid w:val="2292144C"/>
    <w:rsid w:val="257A14F5"/>
    <w:rsid w:val="27196C26"/>
    <w:rsid w:val="27957DCA"/>
    <w:rsid w:val="292518B2"/>
    <w:rsid w:val="298F31CF"/>
    <w:rsid w:val="29EF086F"/>
    <w:rsid w:val="2E821554"/>
    <w:rsid w:val="2EFFE297"/>
    <w:rsid w:val="2FE80A7F"/>
    <w:rsid w:val="301437CA"/>
    <w:rsid w:val="30202DD3"/>
    <w:rsid w:val="349D1F0A"/>
    <w:rsid w:val="34DD0473"/>
    <w:rsid w:val="38367638"/>
    <w:rsid w:val="3C684897"/>
    <w:rsid w:val="433E495C"/>
    <w:rsid w:val="46F56910"/>
    <w:rsid w:val="475333E8"/>
    <w:rsid w:val="48657AC5"/>
    <w:rsid w:val="489F2FD7"/>
    <w:rsid w:val="4AC27CB3"/>
    <w:rsid w:val="4BF72BEF"/>
    <w:rsid w:val="4E5B79A0"/>
    <w:rsid w:val="4FA90297"/>
    <w:rsid w:val="4FC41A43"/>
    <w:rsid w:val="51DB3C59"/>
    <w:rsid w:val="53FD6E04"/>
    <w:rsid w:val="550C0952"/>
    <w:rsid w:val="55762E42"/>
    <w:rsid w:val="57A7B272"/>
    <w:rsid w:val="58470068"/>
    <w:rsid w:val="58747CAC"/>
    <w:rsid w:val="5A1720F9"/>
    <w:rsid w:val="5B9C37C2"/>
    <w:rsid w:val="5BA7C654"/>
    <w:rsid w:val="5CEE19DF"/>
    <w:rsid w:val="5F814D8D"/>
    <w:rsid w:val="60A54109"/>
    <w:rsid w:val="61074DE9"/>
    <w:rsid w:val="613B24D6"/>
    <w:rsid w:val="61D01CDF"/>
    <w:rsid w:val="63147CC6"/>
    <w:rsid w:val="64C0607C"/>
    <w:rsid w:val="65756C86"/>
    <w:rsid w:val="674D385B"/>
    <w:rsid w:val="676F09E1"/>
    <w:rsid w:val="68923B67"/>
    <w:rsid w:val="68DC5C0A"/>
    <w:rsid w:val="6CCC336A"/>
    <w:rsid w:val="71793A80"/>
    <w:rsid w:val="7357290B"/>
    <w:rsid w:val="77903967"/>
    <w:rsid w:val="798524E4"/>
    <w:rsid w:val="7A7F1C49"/>
    <w:rsid w:val="7B242D44"/>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 w:type="character" w:customStyle="1" w:styleId="20">
    <w:name w:val="font21"/>
    <w:basedOn w:val="11"/>
    <w:qFormat/>
    <w:uiPriority w:val="0"/>
    <w:rPr>
      <w:rFonts w:hint="eastAsia" w:ascii="宋体" w:hAnsi="宋体" w:eastAsia="宋体" w:cs="宋体"/>
      <w:color w:val="000000"/>
      <w:sz w:val="22"/>
      <w:szCs w:val="22"/>
      <w:u w:val="none"/>
    </w:rPr>
  </w:style>
  <w:style w:type="character" w:customStyle="1" w:styleId="21">
    <w:name w:val="font01"/>
    <w:basedOn w:val="1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5428.91</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3465.9</c:v>
                </c:pt>
                <c:pt idx="1">
                  <c:v>1963.01</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837</Words>
  <Characters>4772</Characters>
  <Lines>39</Lines>
  <Paragraphs>11</Paragraphs>
  <TotalTime>12</TotalTime>
  <ScaleCrop>false</ScaleCrop>
  <LinksUpToDate>false</LinksUpToDate>
  <CharactersWithSpaces>5598</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admin</cp:lastModifiedBy>
  <cp:lastPrinted>2020-08-07T11:39:00Z</cp:lastPrinted>
  <dcterms:modified xsi:type="dcterms:W3CDTF">2025-09-15T08:04:45Z</dcterms:modified>
  <dc:title>北京市财政局关于做好向市人大常委会报送2015年度市级部门决算（草案）</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419B83E380264D6B91F1247209E8E8B2</vt:lpwstr>
  </property>
  <property fmtid="{D5CDD505-2E9C-101B-9397-08002B2CF9AE}" pid="4" name="KSOTemplateDocerSaveRecord">
    <vt:lpwstr>eyJoZGlkIjoiZTg2MzM2Y2ZlMTQwODE2NGFlYzJhMDViZGVkMjI1MjIiLCJ1c2VySWQiOiI0NzAzMzUxOTQifQ==</vt:lpwstr>
  </property>
</Properties>
</file>