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D6D77">
      <w:pPr>
        <w:spacing w:line="560" w:lineRule="exact"/>
        <w:jc w:val="center"/>
        <w:rPr>
          <w:rFonts w:hint="eastAsia" w:ascii="方正小标宋简体" w:hAnsi="宋体" w:eastAsia="方正小标宋简体"/>
          <w:kern w:val="0"/>
          <w:sz w:val="44"/>
          <w:szCs w:val="32"/>
        </w:rPr>
      </w:pPr>
      <w:r>
        <w:rPr>
          <w:rFonts w:hint="eastAsia" w:ascii="方正小标宋简体" w:hAnsi="宋体" w:eastAsia="方正小标宋简体"/>
          <w:kern w:val="0"/>
          <w:sz w:val="44"/>
          <w:szCs w:val="32"/>
        </w:rPr>
        <w:t>北京金融街服务局</w:t>
      </w:r>
    </w:p>
    <w:p w14:paraId="664FC98B">
      <w:pPr>
        <w:spacing w:line="560" w:lineRule="exact"/>
        <w:jc w:val="center"/>
        <w:rPr>
          <w:rFonts w:ascii="方正小标宋简体" w:hAnsi="宋体" w:eastAsia="方正小标宋简体"/>
          <w:kern w:val="0"/>
          <w:sz w:val="44"/>
          <w:szCs w:val="32"/>
        </w:rPr>
      </w:pPr>
      <w:r>
        <w:rPr>
          <w:rFonts w:hint="eastAsia" w:ascii="方正小标宋简体" w:hAnsi="宋体" w:eastAsia="方正小标宋简体"/>
          <w:kern w:val="0"/>
          <w:sz w:val="44"/>
          <w:szCs w:val="32"/>
        </w:rPr>
        <w:t>2019工作总结和2020年工作计划</w:t>
      </w:r>
    </w:p>
    <w:p w14:paraId="6F7688F5">
      <w:pPr>
        <w:spacing w:line="560" w:lineRule="exact"/>
        <w:jc w:val="center"/>
        <w:rPr>
          <w:rFonts w:ascii="方正小标宋简体" w:hAnsi="宋体" w:eastAsia="方正小标宋简体"/>
          <w:kern w:val="0"/>
          <w:sz w:val="44"/>
          <w:szCs w:val="32"/>
        </w:rPr>
      </w:pPr>
    </w:p>
    <w:p w14:paraId="5F07A0F8">
      <w:pPr>
        <w:spacing w:line="560" w:lineRule="exact"/>
        <w:ind w:firstLine="640" w:firstLineChars="200"/>
        <w:rPr>
          <w:rFonts w:hint="eastAsia" w:ascii="仿宋_GB2312" w:hAnsi="Calibri" w:eastAsia="仿宋_GB2312" w:cs="Times New Roman"/>
          <w:color w:val="000000" w:themeColor="text1"/>
          <w:sz w:val="32"/>
          <w:szCs w:val="32"/>
        </w:rPr>
      </w:pPr>
      <w:r>
        <w:rPr>
          <w:rFonts w:hint="eastAsia" w:ascii="仿宋_GB2312" w:hAnsi="Calibri" w:eastAsia="仿宋_GB2312" w:cs="Times New Roman"/>
          <w:color w:val="000000" w:themeColor="text1"/>
          <w:sz w:val="32"/>
          <w:szCs w:val="32"/>
        </w:rPr>
        <w:t>2019年，北京金融街服务局在区委区政府的坚强领导下，深入贯彻落实党的十九大和十九届二中、三中、四中全会精神，立足首都城市战略定位，按照提升国家金融管理中心服务能级要求，深入推进金融街“四位一体”服务体制改革，积极承接国家金融改革开放任务，持续优化营商环境，有效防控金融风险，有效巩固国家金融管理中心地位，有力支撑首都高精尖经济发展。</w:t>
      </w:r>
    </w:p>
    <w:p w14:paraId="12C591AA">
      <w:pPr>
        <w:spacing w:line="56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一、2019年工作总结</w:t>
      </w:r>
    </w:p>
    <w:p w14:paraId="537CA0F2">
      <w:pPr>
        <w:pStyle w:val="2"/>
        <w:spacing w:beforeLines="10" w:afterLines="10" w:line="240" w:lineRule="auto"/>
        <w:ind w:firstLine="643" w:firstLineChars="200"/>
        <w:rPr>
          <w:rFonts w:ascii="仿宋_GB2312" w:hAnsi="仿宋" w:eastAsia="仿宋_GB2312" w:cs="仿宋"/>
          <w:bCs w:val="0"/>
        </w:rPr>
      </w:pPr>
      <w:r>
        <w:rPr>
          <w:rFonts w:hint="eastAsia" w:ascii="仿宋_GB2312" w:hAnsi="仿宋" w:eastAsia="仿宋_GB2312" w:cs="仿宋"/>
          <w:bCs w:val="0"/>
        </w:rPr>
        <w:t>（一）深入推进金融街服务体制改革提升服务能力</w:t>
      </w:r>
    </w:p>
    <w:p w14:paraId="297862B6">
      <w:pPr>
        <w:spacing w:line="560" w:lineRule="exact"/>
        <w:ind w:firstLine="660"/>
        <w:rPr>
          <w:rFonts w:ascii="仿宋_GB2312" w:hAnsi="仿宋" w:eastAsia="仿宋_GB2312" w:cs="仿宋"/>
          <w:sz w:val="32"/>
          <w:szCs w:val="32"/>
        </w:rPr>
      </w:pPr>
      <w:r>
        <w:rPr>
          <w:rFonts w:hint="eastAsia" w:ascii="仿宋_GB2312" w:hAnsi="仿宋" w:eastAsia="仿宋_GB2312" w:cs="仿宋"/>
          <w:sz w:val="32"/>
          <w:szCs w:val="32"/>
        </w:rPr>
        <w:t>基本建成北京金融街合作发展理事会+金融街服务局+金融街服务中心有限公司+金融街论坛的“四位一体”服务支持体系，初步形成政府治理和社会共治格局。北京金融街合作发展理事会揭牌成立，十二届全国政协副主席陈元同志担任理事会主席，成功召开第一届一次理事大会，组建</w:t>
      </w:r>
      <w:r>
        <w:rPr>
          <w:rFonts w:hint="eastAsia" w:ascii="仿宋_GB2312" w:hAnsi="仿宋_GB2312" w:eastAsia="仿宋_GB2312" w:cs="宋体"/>
          <w:sz w:val="32"/>
          <w:szCs w:val="32"/>
        </w:rPr>
        <w:t>资产管理、国际合作、金融科技三个专业委员会</w:t>
      </w:r>
      <w:r>
        <w:rPr>
          <w:rFonts w:hint="eastAsia" w:ascii="仿宋_GB2312" w:eastAsia="仿宋_GB2312"/>
          <w:sz w:val="32"/>
          <w:szCs w:val="32"/>
        </w:rPr>
        <w:t>。</w:t>
      </w:r>
      <w:r>
        <w:rPr>
          <w:rFonts w:hint="eastAsia" w:ascii="仿宋_GB2312" w:hAnsi="仿宋" w:eastAsia="仿宋_GB2312" w:cs="仿宋"/>
          <w:sz w:val="32"/>
          <w:szCs w:val="32"/>
        </w:rPr>
        <w:t>金融街服务局加快“四个”转变，持续深化“6R”服务体系，建成金融街I客厅，并举办各类活动30余次，刊发《金融街观察》共12期，专业研究和支持服务能力不断提升。</w:t>
      </w:r>
      <w:r>
        <w:rPr>
          <w:rFonts w:hint="eastAsia" w:ascii="仿宋_GB2312" w:hAnsi="仿宋_GB2312" w:eastAsia="仿宋_GB2312" w:cs="宋体"/>
          <w:sz w:val="32"/>
          <w:szCs w:val="32"/>
        </w:rPr>
        <w:t>加快推进北京金融街服务中心有限公司实质化运行，基本完成公司</w:t>
      </w:r>
      <w:r>
        <w:rPr>
          <w:rFonts w:hint="eastAsia" w:ascii="仿宋_GB2312" w:eastAsia="仿宋_GB2312"/>
          <w:sz w:val="32"/>
          <w:szCs w:val="32"/>
        </w:rPr>
        <w:t>管理体制和制度建设、薪酬体系</w:t>
      </w:r>
      <w:r>
        <w:rPr>
          <w:rFonts w:hint="eastAsia" w:ascii="仿宋_GB2312" w:hAnsi="仿宋_GB2312" w:eastAsia="仿宋_GB2312" w:cs="宋体"/>
          <w:sz w:val="32"/>
          <w:szCs w:val="32"/>
        </w:rPr>
        <w:t>，组织人员招聘，重点推进</w:t>
      </w:r>
      <w:r>
        <w:rPr>
          <w:rFonts w:ascii="仿宋_GB2312" w:hAnsi="仿宋_GB2312" w:eastAsia="仿宋_GB2312" w:cs="仿宋_GB2312"/>
          <w:sz w:val="32"/>
          <w:szCs w:val="32"/>
          <w:lang w:val="zh-TW" w:eastAsia="zh-TW"/>
        </w:rPr>
        <w:t>金融人才服务支持计划</w:t>
      </w:r>
      <w:r>
        <w:rPr>
          <w:rFonts w:hint="eastAsia" w:ascii="仿宋_GB2312" w:hAnsi="仿宋_GB2312" w:eastAsia="仿宋_GB2312" w:cs="仿宋_GB2312"/>
          <w:sz w:val="32"/>
          <w:szCs w:val="32"/>
          <w:lang w:val="zh-TW"/>
        </w:rPr>
        <w:t>实施，搭建</w:t>
      </w:r>
      <w:r>
        <w:rPr>
          <w:rFonts w:hint="eastAsia" w:ascii="仿宋_GB2312" w:hAnsi="仿宋_GB2312" w:eastAsia="仿宋_GB2312"/>
          <w:sz w:val="32"/>
          <w:szCs w:val="32"/>
        </w:rPr>
        <w:t>服务兑现平台</w:t>
      </w:r>
      <w:r>
        <w:rPr>
          <w:rFonts w:hint="eastAsia" w:ascii="仿宋_GB2312" w:hAnsi="仿宋_GB2312" w:eastAsia="仿宋_GB2312" w:cs="宋体"/>
          <w:sz w:val="32"/>
          <w:szCs w:val="32"/>
        </w:rPr>
        <w:t>。</w:t>
      </w:r>
      <w:r>
        <w:rPr>
          <w:rFonts w:hint="eastAsia" w:ascii="仿宋_GB2312" w:hAnsi="仿宋" w:eastAsia="仿宋_GB2312" w:cs="仿宋"/>
          <w:sz w:val="32"/>
          <w:szCs w:val="32"/>
        </w:rPr>
        <w:t>高质量举办2019年金融街论坛年会</w:t>
      </w:r>
      <w:r>
        <w:rPr>
          <w:rFonts w:hint="eastAsia" w:ascii="仿宋_GB2312" w:hAnsi="仿宋_GB2312" w:eastAsia="仿宋_GB2312" w:cs="宋体"/>
          <w:sz w:val="32"/>
          <w:szCs w:val="32"/>
        </w:rPr>
        <w:t>及</w:t>
      </w:r>
      <w:r>
        <w:rPr>
          <w:rFonts w:hint="eastAsia" w:ascii="仿宋_GB2312" w:hAnsi="仿宋" w:eastAsia="仿宋_GB2312" w:cs="仿宋"/>
          <w:sz w:val="32"/>
          <w:szCs w:val="32"/>
        </w:rPr>
        <w:t>26场论坛系列活动，金融街论坛作为国家金融管理中心常设交流机构和对话平台的作用不断增强。区委副书记、区长孙硕同志带队赴伦敦金融城以“走进北京金融街—2019”主题举办对话交流活动，中国驻英国使馆、伦敦金融城、中国人民银行、高盛等来自中英政金企学界代表出席，走访调研伦交所、汇丰、毕马威、德勤、IF英国金融创新协会等20余场次，有效增进双方金融合作发展，金融街国际影响力和吸引力显著增加。</w:t>
      </w:r>
    </w:p>
    <w:p w14:paraId="1C86A628">
      <w:pPr>
        <w:pStyle w:val="2"/>
        <w:spacing w:beforeLines="10" w:afterLines="10" w:line="240" w:lineRule="auto"/>
        <w:ind w:firstLine="643" w:firstLineChars="200"/>
        <w:rPr>
          <w:rFonts w:ascii="仿宋_GB2312" w:hAnsi="仿宋" w:eastAsia="仿宋_GB2312" w:cs="仿宋"/>
          <w:bCs w:val="0"/>
        </w:rPr>
      </w:pPr>
      <w:r>
        <w:rPr>
          <w:rFonts w:hint="eastAsia" w:ascii="仿宋_GB2312" w:hAnsi="仿宋" w:eastAsia="仿宋_GB2312" w:cs="仿宋"/>
          <w:bCs w:val="0"/>
        </w:rPr>
        <w:t>（二）全力对接重点机构落地强化金融集聚功能</w:t>
      </w:r>
    </w:p>
    <w:p w14:paraId="6E94B9CD">
      <w:pPr>
        <w:pStyle w:val="12"/>
        <w:adjustRightInd w:val="0"/>
        <w:spacing w:line="560" w:lineRule="exact"/>
        <w:ind w:firstLine="736" w:firstLineChars="230"/>
        <w:rPr>
          <w:rFonts w:ascii="仿宋_GB2312" w:hAnsi="宋体" w:eastAsia="仿宋_GB2312" w:cs="宋体"/>
          <w:kern w:val="0"/>
          <w:szCs w:val="32"/>
        </w:rPr>
      </w:pPr>
      <w:r>
        <w:rPr>
          <w:rFonts w:hint="eastAsia" w:ascii="仿宋_GB2312" w:hAnsi="仿宋_GB2312" w:eastAsia="仿宋_GB2312"/>
          <w:szCs w:val="32"/>
        </w:rPr>
        <w:t>聚焦金融供给侧结构性改革，全方位支持多元化金融机构落地。今年以来，新引进工银理财、中银理财、中邮理财、存款保险基金管理有限责任公司等金融机构54家，</w:t>
      </w:r>
      <w:r>
        <w:rPr>
          <w:rFonts w:hint="eastAsia" w:ascii="仿宋_GB2312" w:hAnsi="宋体" w:eastAsia="仿宋_GB2312" w:cs="宋体"/>
          <w:kern w:val="0"/>
          <w:szCs w:val="32"/>
        </w:rPr>
        <w:t>基本形成以具有行业领导力的金融机构为骨干、多种金融机构协同发展的多元化金融机构体系。</w:t>
      </w:r>
    </w:p>
    <w:p w14:paraId="77D864A3">
      <w:pPr>
        <w:pStyle w:val="2"/>
        <w:spacing w:beforeLines="10" w:afterLines="10" w:line="240" w:lineRule="auto"/>
        <w:ind w:firstLine="643" w:firstLineChars="200"/>
        <w:rPr>
          <w:rFonts w:ascii="仿宋_GB2312" w:hAnsi="仿宋" w:eastAsia="仿宋_GB2312" w:cs="仿宋"/>
          <w:bCs w:val="0"/>
        </w:rPr>
      </w:pPr>
      <w:r>
        <w:rPr>
          <w:rFonts w:hint="eastAsia" w:ascii="仿宋_GB2312" w:hAnsi="仿宋" w:eastAsia="仿宋_GB2312" w:cs="仿宋"/>
          <w:bCs w:val="0"/>
        </w:rPr>
        <w:t>（三）持续优化区域营商环境推进金融产业高质量发展</w:t>
      </w:r>
    </w:p>
    <w:p w14:paraId="02418674">
      <w:pPr>
        <w:pStyle w:val="12"/>
        <w:adjustRightInd w:val="0"/>
        <w:spacing w:line="560" w:lineRule="exact"/>
        <w:ind w:firstLine="736" w:firstLineChars="230"/>
        <w:rPr>
          <w:rFonts w:ascii="仿宋_GB2312" w:hAnsi="仿宋_GB2312" w:eastAsia="仿宋_GB2312"/>
          <w:szCs w:val="32"/>
        </w:rPr>
      </w:pPr>
      <w:r>
        <w:rPr>
          <w:rFonts w:hint="eastAsia" w:ascii="仿宋_GB2312" w:hAnsi="仿宋_GB2312" w:eastAsia="仿宋_GB2312" w:cs="宋体"/>
          <w:szCs w:val="32"/>
        </w:rPr>
        <w:t>出台《西城区关于促进金融人才发展的奖励办法》</w:t>
      </w:r>
      <w:r>
        <w:rPr>
          <w:rFonts w:hint="eastAsia" w:ascii="仿宋_GB2312" w:hAnsi="仿宋_GB2312" w:eastAsia="仿宋_GB2312"/>
          <w:bCs/>
          <w:snapToGrid w:val="0"/>
          <w:szCs w:val="32"/>
        </w:rPr>
        <w:t>，设立年度优秀杰出金融人才服务支持计划，进一步提升区域政策竞争力，加快人才金融街建设。落实“金服十条”、人才奖励政策。创新亲清会服务模式，与驻区机构建立新型、亲清的政</w:t>
      </w:r>
      <w:r>
        <w:rPr>
          <w:rFonts w:hint="eastAsia" w:ascii="仿宋_GB2312" w:eastAsia="仿宋_GB2312"/>
          <w:szCs w:val="32"/>
        </w:rPr>
        <w:t>商关系。</w:t>
      </w:r>
      <w:r>
        <w:rPr>
          <w:rFonts w:hint="eastAsia" w:ascii="仿宋_GB2312" w:hAnsi="仿宋_GB2312" w:eastAsia="仿宋_GB2312"/>
          <w:bCs/>
          <w:snapToGrid w:val="0"/>
          <w:szCs w:val="32"/>
        </w:rPr>
        <w:t>落实管家式服务模式，组建选址、营商、政策落实、人才、业务发展等专项服务团队，为重点机构提供全生命周期、全业务流程的专业服务。</w:t>
      </w:r>
    </w:p>
    <w:p w14:paraId="042BB6BB">
      <w:pPr>
        <w:pStyle w:val="2"/>
        <w:spacing w:beforeLines="10" w:afterLines="10" w:line="240" w:lineRule="auto"/>
        <w:ind w:firstLine="643" w:firstLineChars="200"/>
        <w:rPr>
          <w:rFonts w:ascii="仿宋_GB2312" w:hAnsi="仿宋" w:eastAsia="仿宋_GB2312" w:cs="仿宋"/>
          <w:bCs w:val="0"/>
        </w:rPr>
      </w:pPr>
      <w:r>
        <w:rPr>
          <w:rFonts w:hint="eastAsia" w:ascii="仿宋_GB2312" w:hAnsi="仿宋" w:eastAsia="仿宋_GB2312" w:cs="仿宋"/>
          <w:bCs w:val="0"/>
        </w:rPr>
        <w:t>（四）多举措促进企业上市挂牌服务实体经济</w:t>
      </w:r>
    </w:p>
    <w:p w14:paraId="651CBE3B">
      <w:pPr>
        <w:pStyle w:val="12"/>
        <w:adjustRightInd w:val="0"/>
        <w:spacing w:line="560" w:lineRule="exact"/>
        <w:ind w:firstLine="736" w:firstLineChars="230"/>
        <w:rPr>
          <w:rFonts w:ascii="仿宋_GB2312" w:hAnsi="仿宋_GB2312" w:eastAsia="仿宋_GB2312"/>
          <w:szCs w:val="32"/>
        </w:rPr>
      </w:pPr>
      <w:r>
        <w:rPr>
          <w:rFonts w:hint="eastAsia" w:ascii="仿宋_GB2312" w:hAnsi="仿宋_GB2312" w:eastAsia="仿宋_GB2312"/>
          <w:szCs w:val="32"/>
        </w:rPr>
        <w:t>加强服务协调，推动</w:t>
      </w:r>
      <w:r>
        <w:rPr>
          <w:rFonts w:ascii="仿宋_GB2312" w:eastAsia="仿宋_GB2312"/>
          <w:szCs w:val="32"/>
        </w:rPr>
        <w:t>西城区首家科创板上市企业北京安博通科技股份有限公司在上海证券交易所鸣锣开市，成为全国科创板第一家网络安全</w:t>
      </w:r>
      <w:r>
        <w:rPr>
          <w:rFonts w:ascii="仿宋_GB2312" w:hAnsi="仿宋_GB2312" w:eastAsia="仿宋_GB2312" w:cs="仿宋_GB2312"/>
          <w:szCs w:val="32"/>
          <w:lang w:val="zh-CN"/>
        </w:rPr>
        <w:t>公司。</w:t>
      </w:r>
      <w:r>
        <w:rPr>
          <w:rFonts w:hint="eastAsia" w:ascii="仿宋_GB2312" w:hAnsi="仿宋_GB2312" w:eastAsia="仿宋_GB2312"/>
          <w:szCs w:val="32"/>
        </w:rPr>
        <w:t>加强上市企业培育工作，全年走访调研20余家企业，对接企业上市挂牌及融资等协调服务。我区上市公司整体呈现高质量高市值特点。</w:t>
      </w:r>
    </w:p>
    <w:p w14:paraId="7C100C71">
      <w:pPr>
        <w:pStyle w:val="2"/>
        <w:spacing w:beforeLines="10" w:afterLines="10" w:line="240" w:lineRule="auto"/>
        <w:ind w:firstLine="643" w:firstLineChars="200"/>
        <w:rPr>
          <w:rFonts w:ascii="仿宋_GB2312" w:hAnsi="仿宋" w:eastAsia="仿宋_GB2312" w:cs="仿宋"/>
          <w:bCs w:val="0"/>
        </w:rPr>
      </w:pPr>
      <w:r>
        <w:rPr>
          <w:rFonts w:hint="eastAsia" w:ascii="仿宋_GB2312" w:hAnsi="仿宋" w:eastAsia="仿宋_GB2312" w:cs="仿宋"/>
          <w:bCs w:val="0"/>
        </w:rPr>
        <w:t>（五）精准落实北京市服务业扩大开放综合试点工作任务</w:t>
      </w:r>
    </w:p>
    <w:p w14:paraId="1AF04760">
      <w:pPr>
        <w:adjustRightInd w:val="0"/>
        <w:spacing w:line="560" w:lineRule="exact"/>
        <w:ind w:firstLine="645"/>
        <w:rPr>
          <w:rFonts w:ascii="仿宋_GB2312" w:hAnsi="仿宋_GB2312" w:eastAsia="仿宋_GB2312"/>
          <w:bCs/>
          <w:snapToGrid w:val="0"/>
          <w:sz w:val="32"/>
          <w:szCs w:val="32"/>
        </w:rPr>
      </w:pPr>
      <w:r>
        <w:rPr>
          <w:rFonts w:hint="eastAsia" w:ascii="仿宋_GB2312" w:hAnsi="仿宋_GB2312" w:eastAsia="仿宋_GB2312"/>
          <w:bCs/>
          <w:snapToGrid w:val="0"/>
          <w:sz w:val="32"/>
          <w:szCs w:val="32"/>
        </w:rPr>
        <w:t>金融业是服务业扩大开放的重要组成部分。我局根据服务业扩大开放综合试点要求，聚焦外资机构市场准入、牌照申请、业务先行先试和投资便利化等重点领域，积极承接国家金融改革开放任务，制定金融街服务金融扩大开放工作方案，梳理形成3类18条举措28个具体项目，目前已完成其中13项任务（其余17项任务为持续推进项目，均在有序推进）</w:t>
      </w:r>
      <w:r>
        <w:rPr>
          <w:rFonts w:hint="eastAsia" w:ascii="仿宋_GB2312" w:hAnsi="仿宋_GB2312" w:eastAsia="仿宋_GB2312" w:cs="宋体"/>
          <w:kern w:val="0"/>
          <w:sz w:val="32"/>
          <w:szCs w:val="32"/>
        </w:rPr>
        <w:t>，服务国家金融扩大开放</w:t>
      </w:r>
      <w:r>
        <w:rPr>
          <w:rFonts w:hint="eastAsia" w:ascii="仿宋_GB2312" w:hAnsi="宋体" w:eastAsia="仿宋_GB2312"/>
          <w:sz w:val="32"/>
          <w:szCs w:val="32"/>
        </w:rPr>
        <w:t>。</w:t>
      </w:r>
    </w:p>
    <w:p w14:paraId="78658348">
      <w:pPr>
        <w:pStyle w:val="2"/>
        <w:spacing w:beforeLines="10" w:afterLines="10" w:line="240" w:lineRule="auto"/>
        <w:ind w:firstLine="643" w:firstLineChars="200"/>
        <w:rPr>
          <w:rFonts w:ascii="仿宋_GB2312" w:hAnsi="仿宋" w:eastAsia="仿宋_GB2312" w:cs="仿宋"/>
          <w:bCs w:val="0"/>
        </w:rPr>
      </w:pPr>
      <w:r>
        <w:rPr>
          <w:rFonts w:hint="eastAsia" w:ascii="仿宋_GB2312" w:hAnsi="仿宋" w:eastAsia="仿宋_GB2312" w:cs="仿宋"/>
          <w:bCs w:val="0"/>
        </w:rPr>
        <w:t>（六）有效防控金融风险维护金融稳定</w:t>
      </w:r>
    </w:p>
    <w:p w14:paraId="03986458">
      <w:pPr>
        <w:adjustRightInd w:val="0"/>
        <w:snapToGrid w:val="0"/>
        <w:spacing w:line="560" w:lineRule="exact"/>
        <w:ind w:firstLine="646"/>
        <w:rPr>
          <w:rFonts w:ascii="仿宋_GB2312" w:hAnsi="仿宋_GB2312" w:eastAsia="仿宋_GB2312"/>
          <w:bCs/>
          <w:snapToGrid w:val="0"/>
          <w:sz w:val="32"/>
          <w:szCs w:val="32"/>
        </w:rPr>
      </w:pPr>
      <w:r>
        <w:rPr>
          <w:rFonts w:hint="eastAsia" w:ascii="仿宋_GB2312" w:hAnsi="仿宋_GB2312" w:eastAsia="仿宋_GB2312"/>
          <w:bCs/>
          <w:snapToGrid w:val="0"/>
          <w:sz w:val="32"/>
          <w:szCs w:val="32"/>
        </w:rPr>
        <w:t>加强风险稳控和处置，设立专门接待场所，完善法律帮助制度，稳妥做好投资人电话解答和现场接访，最大限度减少涉众型经济案件对社会形成的涉稳隐患，在重要时间节点、重大活动期间，未发现一例集体访和越级访事件，有效维护属地金融安全稳定。稳步推进P2P平台整治和风险化解，总结提炼“四不准”“五不能”试点准则，在全市获得推广应用。</w:t>
      </w:r>
    </w:p>
    <w:p w14:paraId="605F404F">
      <w:pPr>
        <w:spacing w:line="56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二、2020年工作计划</w:t>
      </w:r>
    </w:p>
    <w:p w14:paraId="763849DA">
      <w:pPr>
        <w:spacing w:line="560" w:lineRule="exact"/>
        <w:ind w:firstLine="640" w:firstLineChars="200"/>
        <w:rPr>
          <w:rFonts w:ascii="仿宋_GB2312" w:hAnsi="仿宋_GB2312" w:eastAsia="仿宋_GB2312"/>
          <w:bCs/>
          <w:snapToGrid w:val="0"/>
          <w:sz w:val="32"/>
          <w:szCs w:val="32"/>
        </w:rPr>
      </w:pPr>
      <w:r>
        <w:rPr>
          <w:rFonts w:hint="eastAsia" w:ascii="仿宋_GB2312" w:eastAsia="仿宋_GB2312"/>
          <w:sz w:val="32"/>
          <w:szCs w:val="32"/>
        </w:rPr>
        <w:t>继续</w:t>
      </w:r>
      <w:r>
        <w:rPr>
          <w:rFonts w:hint="eastAsia" w:ascii="仿宋_GB2312" w:hAnsi="仿宋_GB2312" w:eastAsia="仿宋_GB2312"/>
          <w:bCs/>
          <w:snapToGrid w:val="0"/>
          <w:sz w:val="32"/>
          <w:szCs w:val="32"/>
        </w:rPr>
        <w:t>聚焦服务好国家金融管理中心建设这一中心任务，依托北京市“四个中心”功能定位，发挥好金融街“四位一体”服务体制优势，进一步提升服务能力和水平，深入推进金融街服务配套专项行动，持续优化营商环境，更好服务国家金融管理部门和金融机构发展，不断强化金融街国家金融管理中心功能。</w:t>
      </w:r>
    </w:p>
    <w:p w14:paraId="04A7C54E">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（一）聚焦国家金融管理中心功能，提升专业服务能级</w:t>
      </w:r>
    </w:p>
    <w:p w14:paraId="16674D54">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服务国际金融交往中心建设。</w:t>
      </w:r>
      <w:r>
        <w:rPr>
          <w:rFonts w:hint="eastAsia" w:ascii="仿宋_GB2312" w:hAnsi="仿宋_GB2312" w:eastAsia="仿宋_GB2312"/>
          <w:sz w:val="32"/>
          <w:szCs w:val="32"/>
        </w:rPr>
        <w:t>提升金融街区域配套设施国际化水平，支持国家金融管理部门主办国际金融活动，把金融街建设成中国金融国际交往的主场地。</w:t>
      </w:r>
      <w:r>
        <w:rPr>
          <w:rFonts w:hint="eastAsia" w:ascii="仿宋_GB2312" w:hAnsi="仿宋_GB2312" w:eastAsia="仿宋_GB2312"/>
          <w:b/>
          <w:sz w:val="32"/>
          <w:szCs w:val="32"/>
        </w:rPr>
        <w:t>服务国家金融</w:t>
      </w:r>
      <w:bookmarkStart w:id="0" w:name="_GoBack"/>
      <w:r>
        <w:rPr>
          <w:rFonts w:hint="eastAsia" w:ascii="仿宋_GB2312" w:hAnsi="仿宋_GB2312" w:eastAsia="仿宋_GB2312"/>
          <w:b/>
          <w:sz w:val="32"/>
          <w:szCs w:val="32"/>
        </w:rPr>
        <w:t>基础设施建设</w:t>
      </w:r>
      <w:bookmarkEnd w:id="0"/>
      <w:r>
        <w:rPr>
          <w:rFonts w:hint="eastAsia" w:ascii="仿宋_GB2312" w:hAnsi="仿宋_GB2312" w:eastAsia="仿宋_GB2312"/>
          <w:b/>
          <w:sz w:val="32"/>
          <w:szCs w:val="32"/>
        </w:rPr>
        <w:t>。</w:t>
      </w:r>
      <w:r>
        <w:rPr>
          <w:rFonts w:hint="eastAsia" w:ascii="仿宋_GB2312" w:hAnsi="仿宋_GB2312" w:eastAsia="仿宋_GB2312"/>
          <w:sz w:val="32"/>
          <w:szCs w:val="32"/>
        </w:rPr>
        <w:t>服务人民币国际化和金融基础设施互联互通，着力培育和完善运行高效、服务规范、种类齐全的中介机构组织体系，发挥知名信息发布机构和专业媒体作用，打造“金融街发布”、“金融街对话”等有影响力的品牌栏目，提升信息发布力、信息服务力和信息影响力。</w:t>
      </w:r>
      <w:r>
        <w:rPr>
          <w:rFonts w:hint="eastAsia" w:ascii="仿宋_GB2312" w:hAnsi="仿宋_GB2312" w:eastAsia="仿宋_GB2312"/>
          <w:b/>
          <w:sz w:val="32"/>
          <w:szCs w:val="32"/>
        </w:rPr>
        <w:t>服务国家金融管理中心智库研究高地建设</w:t>
      </w:r>
      <w:r>
        <w:rPr>
          <w:rFonts w:hint="eastAsia" w:ascii="仿宋_GB2312" w:hAnsi="仿宋_GB2312" w:eastAsia="仿宋_GB2312"/>
          <w:sz w:val="32"/>
          <w:szCs w:val="32"/>
        </w:rPr>
        <w:t>。实体化运营金融街研究院，搭建沟通交流平台，发挥区域机构研究资源智库优势，探索成立金融街智库联盟，构建多层次智库体系，定期举办沙龙、读书会、政策信息发布会、论坛等活动，提升专业研究交流水平。</w:t>
      </w:r>
      <w:r>
        <w:rPr>
          <w:rFonts w:hint="eastAsia" w:ascii="仿宋_GB2312" w:hAnsi="仿宋_GB2312" w:eastAsia="仿宋_GB2312"/>
          <w:b/>
          <w:sz w:val="32"/>
          <w:szCs w:val="32"/>
        </w:rPr>
        <w:t>服务世界优秀杰出金融人才集聚区建设。</w:t>
      </w:r>
      <w:r>
        <w:rPr>
          <w:rFonts w:hint="eastAsia" w:ascii="仿宋_GB2312" w:hAnsi="仿宋_GB2312" w:eastAsia="仿宋_GB2312"/>
          <w:sz w:val="32"/>
          <w:szCs w:val="32"/>
        </w:rPr>
        <w:t>积极落实金融人才奖励办法等相关激励政策，整合区域优质资源，健全人才服务功能。</w:t>
      </w:r>
    </w:p>
    <w:p w14:paraId="4B78F6DF">
      <w:pPr>
        <w:spacing w:line="560" w:lineRule="exact"/>
        <w:ind w:firstLine="640" w:firstLineChars="200"/>
        <w:rPr>
          <w:rFonts w:ascii="仿宋_GB2312" w:hAnsi="仿宋_GB2312" w:eastAsia="仿宋_GB2312"/>
          <w:bCs/>
          <w:snapToGrid w:val="0"/>
          <w:sz w:val="32"/>
          <w:szCs w:val="32"/>
        </w:rPr>
      </w:pPr>
      <w:r>
        <w:rPr>
          <w:rFonts w:hint="eastAsia" w:ascii="仿宋_GB2312" w:hAnsi="仿宋_GB2312" w:eastAsia="仿宋_GB2312"/>
          <w:bCs/>
          <w:snapToGrid w:val="0"/>
          <w:sz w:val="32"/>
          <w:szCs w:val="32"/>
        </w:rPr>
        <w:t>（二）</w:t>
      </w:r>
      <w:r>
        <w:rPr>
          <w:rFonts w:hint="eastAsia" w:ascii="楷体" w:hAnsi="楷体" w:eastAsia="楷体" w:cs="仿宋"/>
          <w:sz w:val="32"/>
          <w:szCs w:val="32"/>
        </w:rPr>
        <w:t>发挥“四位一体”服务体制优势，加强服务保障能力</w:t>
      </w:r>
    </w:p>
    <w:p w14:paraId="0D663B0C">
      <w:pPr>
        <w:spacing w:line="560" w:lineRule="exact"/>
        <w:ind w:firstLine="646"/>
        <w:rPr>
          <w:rFonts w:ascii="仿宋_GB2312" w:hAnsi="仿宋_GB2312" w:eastAsia="仿宋_GB2312"/>
          <w:bCs/>
          <w:snapToGrid w:val="0"/>
          <w:sz w:val="32"/>
          <w:szCs w:val="32"/>
        </w:rPr>
      </w:pPr>
      <w:r>
        <w:rPr>
          <w:rFonts w:hint="eastAsia" w:ascii="仿宋_GB2312" w:hAnsi="仿宋_GB2312" w:eastAsia="仿宋_GB2312"/>
          <w:b/>
          <w:sz w:val="32"/>
          <w:szCs w:val="32"/>
        </w:rPr>
        <w:t>发挥金融街合作发展理事会交流平台作用。</w:t>
      </w:r>
      <w:r>
        <w:rPr>
          <w:rFonts w:hint="eastAsia" w:ascii="仿宋_GB2312" w:hAnsi="仿宋_GB2312" w:eastAsia="仿宋_GB2312"/>
          <w:sz w:val="32"/>
          <w:szCs w:val="32"/>
        </w:rPr>
        <w:t>加强与“一行两会”等国家金融管理部门沟通联系，落实共商共建共治共享发展理念，充分发挥资产管理、金融科技和国际合作专委会作用，逐步做实理事会各项职能。</w:t>
      </w:r>
      <w:r>
        <w:rPr>
          <w:rFonts w:hint="eastAsia" w:ascii="仿宋_GB2312" w:hAnsi="仿宋_GB2312" w:eastAsia="仿宋_GB2312"/>
          <w:b/>
          <w:sz w:val="32"/>
          <w:szCs w:val="32"/>
        </w:rPr>
        <w:t>持续优化营商环境。</w:t>
      </w:r>
      <w:r>
        <w:rPr>
          <w:rFonts w:hint="eastAsia" w:ascii="仿宋_GB2312" w:hAnsi="仿宋_GB2312" w:eastAsia="仿宋_GB2312"/>
          <w:kern w:val="0"/>
          <w:sz w:val="32"/>
          <w:szCs w:val="32"/>
        </w:rPr>
        <w:t>深入推进金融街街区配套提升专项行动。高标准服务机构运行和人才发展，持续优化区域营商环境，全面贯彻管家式服务理念，制定标准化服务流程，为机构、人才提高更加优质高效服务。</w:t>
      </w:r>
      <w:r>
        <w:rPr>
          <w:rFonts w:hint="eastAsia" w:ascii="仿宋_GB2312" w:hAnsi="仿宋_GB2312" w:eastAsia="仿宋_GB2312"/>
          <w:b/>
          <w:sz w:val="32"/>
          <w:szCs w:val="32"/>
        </w:rPr>
        <w:t>不断完善市场化服务。</w:t>
      </w:r>
      <w:r>
        <w:rPr>
          <w:rFonts w:hint="eastAsia" w:ascii="仿宋_GB2312" w:hAnsi="仿宋_GB2312" w:eastAsia="仿宋_GB2312"/>
          <w:sz w:val="32"/>
          <w:szCs w:val="32"/>
        </w:rPr>
        <w:t>加快推进金融街服务中心公司实质化运行，实现对驻区机构、人才的高端化、精准化、优质化服务。</w:t>
      </w:r>
      <w:r>
        <w:rPr>
          <w:rFonts w:hint="eastAsia" w:ascii="仿宋_GB2312" w:hAnsi="仿宋_GB2312" w:eastAsia="仿宋_GB2312"/>
          <w:b/>
          <w:sz w:val="32"/>
          <w:szCs w:val="32"/>
        </w:rPr>
        <w:t>进一步提升金融街年会影响力。</w:t>
      </w:r>
      <w:r>
        <w:rPr>
          <w:rFonts w:hint="eastAsia" w:ascii="仿宋_GB2312" w:hAnsi="仿宋_GB2312" w:eastAsia="仿宋_GB2312"/>
          <w:kern w:val="0"/>
          <w:sz w:val="32"/>
          <w:szCs w:val="32"/>
        </w:rPr>
        <w:t>推进金融街论坛实体化运行，优化金融街论坛年会举办模式、采取市场化运行模式办好分论坛及系列活动。</w:t>
      </w:r>
    </w:p>
    <w:p w14:paraId="690C0F8A">
      <w:pPr>
        <w:spacing w:line="560" w:lineRule="exact"/>
        <w:ind w:firstLine="643" w:firstLineChars="200"/>
        <w:rPr>
          <w:rFonts w:ascii="楷体" w:hAnsi="楷体" w:eastAsia="楷体" w:cs="仿宋"/>
          <w:sz w:val="32"/>
          <w:szCs w:val="32"/>
        </w:rPr>
      </w:pPr>
      <w:r>
        <w:rPr>
          <w:rFonts w:hint="eastAsia" w:ascii="仿宋_GB2312" w:hAnsi="仿宋_GB2312" w:eastAsia="仿宋_GB2312"/>
          <w:b/>
          <w:kern w:val="0"/>
          <w:sz w:val="32"/>
          <w:szCs w:val="32"/>
        </w:rPr>
        <w:t>（三）</w:t>
      </w:r>
      <w:r>
        <w:rPr>
          <w:rFonts w:hint="eastAsia" w:ascii="楷体" w:hAnsi="楷体" w:eastAsia="楷体" w:cs="仿宋"/>
          <w:sz w:val="32"/>
          <w:szCs w:val="32"/>
        </w:rPr>
        <w:t>发挥国家金融管理中心优势，促进首都金融业高质量发展</w:t>
      </w:r>
    </w:p>
    <w:p w14:paraId="21071A96">
      <w:pPr>
        <w:spacing w:line="560" w:lineRule="exact"/>
        <w:ind w:firstLine="643" w:firstLineChars="200"/>
        <w:rPr>
          <w:rFonts w:ascii="仿宋_GB2312" w:hAnsi="仿宋_GB2312" w:eastAsia="仿宋_GB2312"/>
          <w:bCs/>
          <w:snapToGrid w:val="0"/>
          <w:sz w:val="32"/>
          <w:szCs w:val="32"/>
        </w:rPr>
      </w:pPr>
      <w:r>
        <w:rPr>
          <w:rFonts w:hint="eastAsia" w:ascii="仿宋_GB2312" w:hAnsi="仿宋_GB2312" w:eastAsia="仿宋_GB2312"/>
          <w:b/>
          <w:kern w:val="0"/>
          <w:sz w:val="32"/>
          <w:szCs w:val="32"/>
        </w:rPr>
        <w:t>积极培育发展新兴金融产业。</w:t>
      </w:r>
      <w:r>
        <w:rPr>
          <w:rFonts w:hint="eastAsia" w:ascii="仿宋_GB2312" w:hAnsi="仿宋_GB2312" w:eastAsia="仿宋_GB2312"/>
          <w:kern w:val="0"/>
          <w:sz w:val="32"/>
          <w:szCs w:val="32"/>
        </w:rPr>
        <w:t>抓住资产管理、金融科技、金融对外开放的重大机遇，促进金融业创新发展。</w:t>
      </w:r>
      <w:r>
        <w:rPr>
          <w:rFonts w:hint="eastAsia" w:ascii="仿宋_GB2312" w:hAnsi="仿宋_GB2312" w:eastAsia="仿宋_GB2312"/>
          <w:sz w:val="32"/>
          <w:szCs w:val="32"/>
        </w:rPr>
        <w:t>围绕国家金融改革发展方向和资产管理产业发展规律，进一步优化完善资产管理产业链条，培育多元化资产管理机构</w:t>
      </w:r>
      <w:r>
        <w:rPr>
          <w:rFonts w:hint="eastAsia" w:ascii="仿宋_GB2312" w:hAnsi="仿宋_GB2312" w:eastAsia="仿宋_GB2312"/>
          <w:kern w:val="0"/>
          <w:sz w:val="32"/>
          <w:szCs w:val="32"/>
        </w:rPr>
        <w:t>。</w:t>
      </w:r>
      <w:r>
        <w:rPr>
          <w:rFonts w:hint="eastAsia" w:ascii="仿宋_GB2312" w:hAnsi="仿宋_GB2312" w:eastAsia="仿宋_GB2312"/>
          <w:sz w:val="32"/>
          <w:szCs w:val="32"/>
        </w:rPr>
        <w:t>抓住国家金融对外开放和人民币国际化契机，支持外资金融机构按照国家金融开放部署积极参与设立、投资入股驻区相关金融机构,建设国际金融机构聚集地。鼓励驻区外资、外向型金融机构全面参与北京服务业扩大开放综合试点，支持其在人民币国际投贷基金、合格境内有限合伙人境外投资，外汇管理便利化等方面申请先行先试</w:t>
      </w:r>
      <w:r>
        <w:rPr>
          <w:rFonts w:hint="eastAsia" w:ascii="仿宋_GB2312" w:hAnsi="仿宋_GB2312" w:eastAsia="仿宋_GB2312"/>
          <w:kern w:val="0"/>
          <w:sz w:val="32"/>
          <w:szCs w:val="32"/>
        </w:rPr>
        <w:t>政策。鼓励驻区国内外银行业金融机构大力发展绿色信贷，发行绿色债券和绿色资产证券化产品，支持国内及“一带一路”共建国家各类绿色企业及绿色项目持续健康发展。</w:t>
      </w:r>
      <w:r>
        <w:rPr>
          <w:rFonts w:hint="eastAsia" w:ascii="仿宋_GB2312" w:hAnsi="仿宋_GB2312" w:eastAsia="仿宋_GB2312"/>
          <w:b/>
          <w:kern w:val="0"/>
          <w:sz w:val="32"/>
          <w:szCs w:val="32"/>
        </w:rPr>
        <w:t>加强区域联动发展提升金融街辐射带动能力。</w:t>
      </w:r>
      <w:r>
        <w:rPr>
          <w:rFonts w:hint="eastAsia" w:ascii="仿宋_GB2312" w:hAnsi="仿宋_GB2312" w:eastAsia="仿宋_GB2312"/>
          <w:kern w:val="0"/>
          <w:sz w:val="32"/>
          <w:szCs w:val="32"/>
        </w:rPr>
        <w:t>做好金融街优化提升总体规划和十四五规划编制工作，发挥金融街辐射带动和衍生产业溢出效应，深入挖掘空间资源，优化相关楼宇品质，引导金融机构入驻发展，形成多点辐射发展态势。</w:t>
      </w:r>
    </w:p>
    <w:p w14:paraId="3C99D022">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（四）加强风险监测预警与防范，坚决维护区域安全稳定</w:t>
      </w:r>
    </w:p>
    <w:p w14:paraId="2C421189">
      <w:pPr>
        <w:adjustRightInd w:val="0"/>
        <w:snapToGrid w:val="0"/>
        <w:spacing w:line="560" w:lineRule="exact"/>
        <w:ind w:firstLine="645"/>
        <w:rPr>
          <w:rFonts w:ascii="仿宋_GB2312" w:eastAsia="仿宋_GB2312"/>
          <w:sz w:val="32"/>
          <w:szCs w:val="36"/>
        </w:rPr>
      </w:pPr>
      <w:r>
        <w:rPr>
          <w:rFonts w:hint="eastAsia" w:ascii="仿宋_GB2312" w:hAnsi="仿宋_GB2312" w:eastAsia="仿宋_GB2312"/>
          <w:kern w:val="0"/>
          <w:sz w:val="32"/>
          <w:szCs w:val="32"/>
        </w:rPr>
        <w:t>配合金融管理部门开展地方监管职责范围内的相关监管及风险处置工作，加强风险监测预警与防范，按照市级统一部署，做好P2P风险化解工作，严格落实“三降”，协调配合相关部门化解高风险平台存量,进一步做好高风险企业排查清退工作，按照“五步法”分阶段有效化解存量、限制增量,为国家金融管理部门运行、区域金融产业发展提供稳定发展环境。加强监管专业力量储备，做好小贷、融担、交易场所、典当、融资租赁、保理等行业的监管工作，促进其健康发展。</w:t>
      </w:r>
    </w:p>
    <w:p w14:paraId="26BF1224">
      <w:pPr>
        <w:adjustRightInd w:val="0"/>
        <w:snapToGrid w:val="0"/>
        <w:spacing w:line="560" w:lineRule="exact"/>
        <w:ind w:firstLine="645"/>
        <w:rPr>
          <w:rFonts w:ascii="仿宋_GB2312" w:eastAsia="仿宋_GB2312"/>
          <w:sz w:val="32"/>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9350FD7-4377-4D7F-A96C-8C159C6996DD}"/>
  </w:font>
  <w:font w:name="仿宋">
    <w:panose1 w:val="02010609060101010101"/>
    <w:charset w:val="86"/>
    <w:family w:val="modern"/>
    <w:pitch w:val="default"/>
    <w:sig w:usb0="800002BF" w:usb1="38CF7CFA" w:usb2="00000016" w:usb3="00000000" w:csb0="00040001" w:csb1="00000000"/>
    <w:embedRegular r:id="rId2" w:fontKey="{A5F4B3A2-4699-47E3-9CEF-FFCFCAE710E6}"/>
  </w:font>
  <w:font w:name="方正小标宋简体">
    <w:panose1 w:val="02000000000000000000"/>
    <w:charset w:val="86"/>
    <w:family w:val="script"/>
    <w:pitch w:val="default"/>
    <w:sig w:usb0="A00002BF" w:usb1="184F6CFA" w:usb2="00000012" w:usb3="00000000" w:csb0="00040001" w:csb1="00000000"/>
    <w:embedRegular r:id="rId3" w:fontKey="{F59932DE-3FAD-468F-94CB-CA1E92866EF9}"/>
  </w:font>
  <w:font w:name="仿宋_GB2312">
    <w:panose1 w:val="02010609030101010101"/>
    <w:charset w:val="86"/>
    <w:family w:val="modern"/>
    <w:pitch w:val="default"/>
    <w:sig w:usb0="00000001" w:usb1="080E0000" w:usb2="00000000" w:usb3="00000000" w:csb0="00040000" w:csb1="00000000"/>
    <w:embedRegular r:id="rId4" w:fontKey="{BA60C47B-1A81-4597-A91C-A91B1AA89BB2}"/>
  </w:font>
  <w:font w:name="楷体">
    <w:panose1 w:val="02010609060101010101"/>
    <w:charset w:val="86"/>
    <w:family w:val="modern"/>
    <w:pitch w:val="default"/>
    <w:sig w:usb0="800002BF" w:usb1="38CF7CFA" w:usb2="00000016" w:usb3="00000000" w:csb0="00040001" w:csb1="00000000"/>
    <w:embedRegular r:id="rId5" w:fontKey="{C91C91E0-325A-4F71-AF7A-CDF3FF3D18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92404"/>
    </w:sdtPr>
    <w:sdtEndPr>
      <w:rPr>
        <w:sz w:val="21"/>
        <w:szCs w:val="21"/>
      </w:rPr>
    </w:sdtEndPr>
    <w:sdtContent>
      <w:p w14:paraId="51CCFDC3">
        <w:pPr>
          <w:pStyle w:val="4"/>
          <w:jc w:val="center"/>
        </w:pPr>
        <w:r>
          <w:rPr>
            <w:rFonts w:hint="eastAsia"/>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r>
          <w:rPr>
            <w:rFonts w:hint="eastAsia"/>
            <w:sz w:val="21"/>
            <w:szCs w:val="21"/>
          </w:rPr>
          <w:t>—</w:t>
        </w:r>
      </w:p>
    </w:sdtContent>
  </w:sdt>
  <w:p w14:paraId="0E845DA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65E0"/>
    <w:rsid w:val="000027E6"/>
    <w:rsid w:val="00032D5E"/>
    <w:rsid w:val="001948D3"/>
    <w:rsid w:val="001B6032"/>
    <w:rsid w:val="00232668"/>
    <w:rsid w:val="00261A58"/>
    <w:rsid w:val="0029563E"/>
    <w:rsid w:val="0032588C"/>
    <w:rsid w:val="003B1FDB"/>
    <w:rsid w:val="004606A7"/>
    <w:rsid w:val="00583621"/>
    <w:rsid w:val="006F02B2"/>
    <w:rsid w:val="00700950"/>
    <w:rsid w:val="00846366"/>
    <w:rsid w:val="00887A02"/>
    <w:rsid w:val="008C2522"/>
    <w:rsid w:val="008E6CA6"/>
    <w:rsid w:val="00957FAF"/>
    <w:rsid w:val="00A649F7"/>
    <w:rsid w:val="00A665E0"/>
    <w:rsid w:val="00B261A8"/>
    <w:rsid w:val="00B47599"/>
    <w:rsid w:val="00C3124C"/>
    <w:rsid w:val="00C50633"/>
    <w:rsid w:val="00C8513A"/>
    <w:rsid w:val="00D26A8C"/>
    <w:rsid w:val="00D3317E"/>
    <w:rsid w:val="00D876C7"/>
    <w:rsid w:val="00DC7FCF"/>
    <w:rsid w:val="161E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4"/>
    <w:unhideWhenUsed/>
    <w:qFormat/>
    <w:uiPriority w:val="99"/>
    <w:pPr>
      <w:snapToGrid w:val="0"/>
      <w:jc w:val="left"/>
    </w:pPr>
    <w:rPr>
      <w:sz w:val="18"/>
      <w:szCs w:val="18"/>
    </w:rPr>
  </w:style>
  <w:style w:type="character" w:styleId="9">
    <w:name w:val="footnote reference"/>
    <w:basedOn w:val="8"/>
    <w:unhideWhenUsed/>
    <w:qFormat/>
    <w:uiPriority w:val="99"/>
    <w:rPr>
      <w:vertAlign w:val="superscript"/>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0"/>
    <w:pPr>
      <w:ind w:firstLine="420" w:firstLineChars="200"/>
    </w:pPr>
    <w:rPr>
      <w:rFonts w:ascii="仿宋" w:hAnsi="仿宋" w:eastAsia="宋体" w:cs="Times New Roman"/>
      <w:sz w:val="32"/>
    </w:rPr>
  </w:style>
  <w:style w:type="character" w:customStyle="1" w:styleId="13">
    <w:name w:val="批注框文本 Char"/>
    <w:basedOn w:val="8"/>
    <w:link w:val="3"/>
    <w:semiHidden/>
    <w:qFormat/>
    <w:uiPriority w:val="99"/>
    <w:rPr>
      <w:sz w:val="18"/>
      <w:szCs w:val="18"/>
    </w:rPr>
  </w:style>
  <w:style w:type="character" w:customStyle="1" w:styleId="14">
    <w:name w:val="脚注文本 Char"/>
    <w:basedOn w:val="8"/>
    <w:link w:val="6"/>
    <w:semiHidden/>
    <w:qFormat/>
    <w:uiPriority w:val="99"/>
    <w:rPr>
      <w:sz w:val="18"/>
      <w:szCs w:val="18"/>
    </w:rPr>
  </w:style>
  <w:style w:type="character" w:customStyle="1" w:styleId="15">
    <w:name w:val="标题 3 Char"/>
    <w:basedOn w:val="8"/>
    <w:link w:val="2"/>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3102</Words>
  <Characters>3139</Characters>
  <Lines>22</Lines>
  <Paragraphs>6</Paragraphs>
  <TotalTime>32</TotalTime>
  <ScaleCrop>false</ScaleCrop>
  <LinksUpToDate>false</LinksUpToDate>
  <CharactersWithSpaces>3139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2020-01-03T08:34:00Z</dcterms:created>
  <dc:creator>PC</dc:creator>
  <cp:lastModifiedBy>褚雯雯</cp:lastModifiedBy>
  <cp:lastPrinted>2020-01-03T08:34:00Z</cp:lastPrinted>
  <dcterms:modified xsi:type="dcterms:W3CDTF">2025-10-13T01:34:08Z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eyJoZGlkIjoiYzhiMjllYjJjNzU0MWU5NDM1M2Y2MjdiNjcwMjg2MGUiLCJ1c2VySWQiOiIxNTY4NzUyODk2In0=</vt:lpwstr>
  </property>
  <property fmtid="{D5CDD505-2E9C-101B-9397-08002B2CF9AE}" pid="4" name="ICV">
    <vt:lpwstr>3BD3A038009D4CD297530ADFBEB1ACDE_12</vt:lpwstr>
  </property>
</Properties>
</file>