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7506D">
      <w:pPr>
        <w:pStyle w:val="6"/>
        <w:spacing w:line="520"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626558E9">
      <w:pPr>
        <w:pStyle w:val="6"/>
        <w:spacing w:line="520" w:lineRule="exact"/>
        <w:jc w:val="left"/>
        <w:rPr>
          <w:rFonts w:hint="eastAsia" w:ascii="黑体" w:hAnsi="黑体" w:eastAsia="黑体" w:cs="黑体"/>
          <w:sz w:val="32"/>
          <w:szCs w:val="32"/>
        </w:rPr>
      </w:pPr>
    </w:p>
    <w:p w14:paraId="6510D176">
      <w:pPr>
        <w:pStyle w:val="6"/>
        <w:spacing w:after="0"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关于加快现代金融产业高质量发展 促进金融领域“两区”建设的暂行措施</w:t>
      </w:r>
    </w:p>
    <w:p w14:paraId="34A7E79F">
      <w:pPr>
        <w:pStyle w:val="6"/>
        <w:spacing w:after="0"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14:paraId="58707268">
      <w:pPr>
        <w:adjustRightInd w:val="0"/>
        <w:spacing w:after="0" w:line="560" w:lineRule="exact"/>
        <w:ind w:firstLine="640" w:firstLineChars="200"/>
        <w:rPr>
          <w:rFonts w:hint="eastAsia" w:ascii="仿宋_GB2312" w:hAnsi="仿宋_GB2312" w:cs="仿宋_GB2312"/>
        </w:rPr>
      </w:pPr>
    </w:p>
    <w:p w14:paraId="286D82CC">
      <w:pPr>
        <w:adjustRightInd w:val="0"/>
        <w:spacing w:after="0" w:line="560" w:lineRule="exact"/>
        <w:ind w:firstLine="640" w:firstLineChars="200"/>
        <w:rPr>
          <w:rFonts w:ascii="仿宋_GB2312"/>
        </w:rPr>
      </w:pPr>
      <w:r>
        <w:rPr>
          <w:rFonts w:hint="eastAsia" w:ascii="仿宋_GB2312" w:hAnsi="仿宋_GB2312" w:cs="仿宋_GB2312"/>
        </w:rPr>
        <w:t>为全面贯彻落实党的二十大、二十届三中全会和中央金融工作会议精神，深入学习贯彻习近平总书记关于金融工作的系列重要论述和视察北京系列重要讲话精神，立足国家金融管理中心功能定位，服务加快推进西城区现代金融产业高质量发展，促进各类金融机构积极参与北京“两区”建设，制定以下措施。</w:t>
      </w:r>
    </w:p>
    <w:p w14:paraId="0C3FA341">
      <w:pPr>
        <w:adjustRightInd w:val="0"/>
        <w:spacing w:after="0" w:line="560" w:lineRule="exact"/>
        <w:ind w:firstLine="643" w:firstLineChars="200"/>
        <w:rPr>
          <w:rFonts w:ascii="仿宋_GB2312"/>
        </w:rPr>
      </w:pPr>
      <w:r>
        <w:rPr>
          <w:rFonts w:hint="eastAsia" w:ascii="仿宋_GB2312" w:hAnsi="黑体" w:cs="黑体"/>
          <w:b/>
        </w:rPr>
        <w:t>一、全力打造符合高质量发展要求的现代金融业态。</w:t>
      </w:r>
      <w:r>
        <w:rPr>
          <w:rFonts w:hint="eastAsia" w:ascii="仿宋_GB2312"/>
        </w:rPr>
        <w:t>鼓励引导金融机构深入践行服务实体经济的根本宗旨，紧扣首都经济社会高质量发展需要，优化金融资源配置，创新业务发展模式。积极支持经国家金融管理部门及其派出机构批准设立、体现国家金融管理中心功能、符合北京“两区”建设项目认定条件的金融机构发展。进一步强化金融产业根基，激发金融主体活力，提升金融服务质效，有力有效服务培育和发展新质生产力。</w:t>
      </w:r>
    </w:p>
    <w:p w14:paraId="0066B19C">
      <w:pPr>
        <w:adjustRightInd w:val="0"/>
        <w:spacing w:after="0" w:line="560" w:lineRule="exact"/>
        <w:ind w:firstLine="643" w:firstLineChars="200"/>
        <w:rPr>
          <w:rFonts w:ascii="仿宋_GB2312"/>
        </w:rPr>
      </w:pPr>
      <w:r>
        <w:rPr>
          <w:rFonts w:hint="eastAsia" w:ascii="仿宋_GB2312" w:hAnsi="黑体" w:cs="黑体"/>
          <w:b/>
        </w:rPr>
        <w:t>二、持续优化金融机构体系。</w:t>
      </w:r>
      <w:r>
        <w:rPr>
          <w:rFonts w:hint="eastAsia" w:ascii="仿宋_GB2312"/>
        </w:rPr>
        <w:t>聚焦首都金融高质量发展，围绕高标准推进“两区”建设，进一步引导鼓励金融机构集聚，积极挖掘和培育金融产业新的增长点。对符合《北京市西城区培育和服务重点企业发展的若干措施》要求的金融机构，经认定，给予最高不超过5000万元投资奖励，注册在西城满一年，以三年为期分期兑现。</w:t>
      </w:r>
      <w:bookmarkStart w:id="0" w:name="OLE_LINK2"/>
      <w:r>
        <w:rPr>
          <w:rFonts w:hint="eastAsia" w:ascii="仿宋_GB2312"/>
        </w:rPr>
        <w:t>支持符合第一条要求的金融机构衍生的一级分支金融机构和专营机构发展，经认定，给予最高不超过500万元奖励。</w:t>
      </w:r>
      <w:bookmarkEnd w:id="0"/>
      <w:r>
        <w:rPr>
          <w:rFonts w:ascii="仿宋_GB2312"/>
        </w:rPr>
        <w:t>进一步</w:t>
      </w:r>
      <w:r>
        <w:rPr>
          <w:rFonts w:hint="eastAsia" w:ascii="仿宋_GB2312"/>
          <w:lang w:val="en-US" w:eastAsia="zh-CN"/>
        </w:rPr>
        <w:t>推动</w:t>
      </w:r>
      <w:r>
        <w:rPr>
          <w:rFonts w:ascii="仿宋_GB2312"/>
        </w:rPr>
        <w:t>产业链</w:t>
      </w:r>
      <w:r>
        <w:rPr>
          <w:rFonts w:hint="eastAsia" w:ascii="仿宋_GB2312"/>
          <w:lang w:val="en-US" w:eastAsia="zh-CN"/>
        </w:rPr>
        <w:t>供应链升级优化</w:t>
      </w:r>
      <w:r>
        <w:rPr>
          <w:rFonts w:hint="eastAsia" w:ascii="仿宋_GB2312"/>
        </w:rPr>
        <w:t>，</w:t>
      </w:r>
      <w:r>
        <w:rPr>
          <w:rFonts w:hint="eastAsia" w:ascii="仿宋_GB2312"/>
          <w:lang w:val="en-US" w:eastAsia="zh-CN"/>
        </w:rPr>
        <w:t>促进金融产业高质量发展，</w:t>
      </w:r>
      <w:r>
        <w:rPr>
          <w:rFonts w:hint="eastAsia" w:ascii="仿宋_GB2312"/>
        </w:rPr>
        <w:t>经认定，给予相关企业最高不超过500万元奖励。</w:t>
      </w:r>
    </w:p>
    <w:p w14:paraId="7EB85B99">
      <w:pPr>
        <w:adjustRightInd w:val="0"/>
        <w:spacing w:after="0" w:line="560" w:lineRule="exact"/>
        <w:ind w:firstLine="643" w:firstLineChars="200"/>
        <w:rPr>
          <w:rFonts w:ascii="仿宋_GB2312"/>
          <w:color w:val="000000" w:themeColor="text1"/>
          <w14:textFill>
            <w14:solidFill>
              <w14:schemeClr w14:val="tx1"/>
            </w14:solidFill>
          </w14:textFill>
        </w:rPr>
      </w:pPr>
      <w:r>
        <w:rPr>
          <w:rFonts w:hint="eastAsia" w:ascii="仿宋_GB2312" w:hAnsi="黑体" w:cs="黑体"/>
          <w:b/>
        </w:rPr>
        <w:t>三、加快推进资产管理高地建设。</w:t>
      </w:r>
      <w:r>
        <w:rPr>
          <w:rFonts w:hint="eastAsia" w:ascii="仿宋_GB2312"/>
        </w:rPr>
        <w:t>支持专</w:t>
      </w:r>
      <w:r>
        <w:rPr>
          <w:rFonts w:hint="eastAsia" w:ascii="仿宋_GB2312"/>
          <w:color w:val="000000" w:themeColor="text1"/>
          <w14:textFill>
            <w14:solidFill>
              <w14:schemeClr w14:val="tx1"/>
            </w14:solidFill>
          </w14:textFill>
        </w:rPr>
        <w:t>业资产管理机构高质量发展，鼓励专业资产管理机构持续扩大管理规模，经认定，</w:t>
      </w:r>
      <w:r>
        <w:rPr>
          <w:rFonts w:ascii="仿宋_GB2312"/>
          <w:color w:val="000000" w:themeColor="text1"/>
          <w14:textFill>
            <w14:solidFill>
              <w14:schemeClr w14:val="tx1"/>
            </w14:solidFill>
          </w14:textFill>
        </w:rPr>
        <w:t>以</w:t>
      </w:r>
      <w:r>
        <w:rPr>
          <w:rFonts w:hint="eastAsia" w:ascii="仿宋_GB2312"/>
          <w:color w:val="000000" w:themeColor="text1"/>
          <w14:textFill>
            <w14:solidFill>
              <w14:schemeClr w14:val="tx1"/>
            </w14:solidFill>
          </w14:textFill>
        </w:rPr>
        <w:t>上一年末资产</w:t>
      </w:r>
      <w:r>
        <w:rPr>
          <w:rFonts w:ascii="仿宋_GB2312"/>
          <w:color w:val="000000" w:themeColor="text1"/>
          <w14:textFill>
            <w14:solidFill>
              <w14:schemeClr w14:val="tx1"/>
            </w14:solidFill>
          </w14:textFill>
        </w:rPr>
        <w:t>管理规模为基数，</w:t>
      </w:r>
      <w:r>
        <w:rPr>
          <w:rFonts w:hint="eastAsia" w:ascii="仿宋_GB2312"/>
          <w:color w:val="000000" w:themeColor="text1"/>
          <w14:textFill>
            <w14:solidFill>
              <w14:schemeClr w14:val="tx1"/>
            </w14:solidFill>
          </w14:textFill>
        </w:rPr>
        <w:t>按新增管理规模万分之一的比例给予奖励支持。单个机构每年度获得支持奖励资金总和不超过1000万元。支持资金</w:t>
      </w:r>
      <w:bookmarkStart w:id="1" w:name="OLE_LINK1"/>
      <w:r>
        <w:rPr>
          <w:rFonts w:hint="eastAsia" w:ascii="仿宋_GB2312"/>
          <w:color w:val="000000" w:themeColor="text1"/>
          <w14:textFill>
            <w14:solidFill>
              <w14:schemeClr w14:val="tx1"/>
            </w14:solidFill>
          </w14:textFill>
        </w:rPr>
        <w:t>应当专项用于</w:t>
      </w:r>
      <w:bookmarkEnd w:id="1"/>
      <w:r>
        <w:rPr>
          <w:rFonts w:hint="eastAsia" w:ascii="仿宋_GB2312"/>
          <w:color w:val="000000" w:themeColor="text1"/>
          <w14:textFill>
            <w14:solidFill>
              <w14:schemeClr w14:val="tx1"/>
            </w14:solidFill>
          </w14:textFill>
        </w:rPr>
        <w:t>科技赋能转型、ESG产品研发、创新业务发展、跨境业务拓展以及其他重点发展</w:t>
      </w:r>
      <w:r>
        <w:rPr>
          <w:rFonts w:hint="eastAsia" w:ascii="仿宋_GB2312"/>
        </w:rPr>
        <w:t>领域。</w:t>
      </w:r>
    </w:p>
    <w:p w14:paraId="019F0A0D">
      <w:pPr>
        <w:adjustRightInd w:val="0"/>
        <w:spacing w:after="0" w:line="560" w:lineRule="exact"/>
        <w:ind w:firstLine="643" w:firstLineChars="200"/>
        <w:rPr>
          <w:rFonts w:hint="eastAsia" w:ascii="仿宋_GB2312" w:hAnsi="黑体" w:cs="黑体"/>
          <w:b/>
        </w:rPr>
      </w:pPr>
      <w:r>
        <w:rPr>
          <w:rFonts w:hint="eastAsia" w:ascii="仿宋_GB2312" w:hAnsi="黑体" w:cs="黑体"/>
          <w:b/>
        </w:rPr>
        <w:t>四、服务私募基金行业健康发展。</w:t>
      </w:r>
    </w:p>
    <w:p w14:paraId="4D515430">
      <w:pPr>
        <w:adjustRightInd w:val="0"/>
        <w:spacing w:after="0" w:line="560" w:lineRule="exact"/>
        <w:ind w:firstLine="640" w:firstLineChars="200"/>
        <w:rPr>
          <w:rFonts w:ascii="仿宋_GB2312"/>
        </w:rPr>
      </w:pPr>
      <w:r>
        <w:rPr>
          <w:rFonts w:hint="eastAsia" w:ascii="仿宋_GB2312"/>
        </w:rPr>
        <w:t>（一）支持私募证券投资基金稳健发展。服务推动中长期资金入市，经认定，对私募基金管理人给予高质量发展奖励。在管基金规模超过50亿（含）的，给予300万元奖励；在管基金规模超过100亿的（含），再给予300万奖励。合计奖励不超过600万元。</w:t>
      </w:r>
    </w:p>
    <w:p w14:paraId="44178982">
      <w:pPr>
        <w:adjustRightInd w:val="0"/>
        <w:spacing w:after="0" w:line="560" w:lineRule="exact"/>
        <w:ind w:firstLine="640" w:firstLineChars="200"/>
        <w:rPr>
          <w:rFonts w:ascii="仿宋_GB2312"/>
        </w:rPr>
      </w:pPr>
      <w:r>
        <w:rPr>
          <w:rFonts w:hint="eastAsia" w:ascii="仿宋_GB2312"/>
        </w:rPr>
        <w:t>（二）引导私募股权、创投基金围绕投早、投小、投长期、投硬科技，加强金融服务。支持金融资产投资公司直接股权投资试点，更大力度吸引社会资本参与，进一步发展壮大耐心资本。支持优质境外投资机构参与北京市QDLP试点和QFLP试点。服务北京国际科技创新中心建设，支持新质生产力发展，促进私募股权、创投基金“募投管退”良性循环。支持私募股权二级市场基金（S基金）发展。鼓励符合国家战略和首都经济高质量发展要求的基金设立，多渠道拓宽私募股权、创投基金资金来源，经认定，对基金募集主体（私募基金管理人或基金）给予募资奖励，基金规模超过50亿元（含）的，按实际募集金额的万分之二给予奖励。推动私募基金着眼新技术、新领域、新赛道布局，经认定，对基金投资管理主体（私募基金管理人或基金）给予投资激励，单只基金累计投资达到50亿元（含），给予200万元激励；累计投资达到100亿元（含），再给予300万元激励；累计投资达到200亿元（含），再给予500万元激励；累计投资达到500亿元（含），再给予1000万元激励。</w:t>
      </w:r>
    </w:p>
    <w:p w14:paraId="56031DE3">
      <w:pPr>
        <w:adjustRightInd w:val="0"/>
        <w:spacing w:after="0" w:line="560" w:lineRule="exact"/>
        <w:ind w:firstLine="643" w:firstLineChars="200"/>
        <w:rPr>
          <w:rFonts w:ascii="仿宋_GB2312"/>
        </w:rPr>
      </w:pPr>
      <w:r>
        <w:rPr>
          <w:rFonts w:hint="eastAsia" w:ascii="仿宋_GB2312" w:hAnsi="黑体" w:cs="黑体"/>
          <w:b/>
        </w:rPr>
        <w:t>五、</w:t>
      </w:r>
      <w:bookmarkStart w:id="2" w:name="_Hlk195625498"/>
      <w:r>
        <w:rPr>
          <w:rFonts w:hint="eastAsia" w:ascii="仿宋_GB2312" w:hAnsi="黑体" w:cs="黑体"/>
          <w:b/>
        </w:rPr>
        <w:t>打造金融街资本市场生态圈</w:t>
      </w:r>
      <w:bookmarkEnd w:id="2"/>
      <w:r>
        <w:rPr>
          <w:rFonts w:hint="eastAsia" w:ascii="仿宋_GB2312" w:hAnsi="黑体" w:cs="黑体"/>
          <w:b/>
        </w:rPr>
        <w:t>。</w:t>
      </w:r>
      <w:r>
        <w:rPr>
          <w:rFonts w:hint="eastAsia" w:ascii="仿宋_GB2312"/>
        </w:rPr>
        <w:t>积极发挥资本市场功能，提升服务实体经济质效，围绕资本市场服务科技企业高水平发展，加强对科技型企业全链条的金融服务。支持北京证券交易所金融街服务基地为企业提供上市、投融资、知识产权保护等服务，打造中小企业服务联盟，从企业上市融资、并购重组、债券发行、私募投资等方面全方位支持北京证券交易所发展壮大，提升资本市场服务普惠金融效能。支持更多资管机构、证券公司、基金公司等围绕北京证券交易所展业兴业。引导科技型企业合理用好境内外资本市场，支持新产业、新业态、新技术领域突破关键核心技术的科技型企业、优质未盈利科技型企业发行上市。加快培育和引进国际一流的会计审计、法律服务、信用评级、资产评估、投资研究等专业服务机构。根据促进专业服务业高质量发展专项支持政策，对符合条件的专业服务机构，经认定，</w:t>
      </w:r>
      <w:r>
        <w:rPr>
          <w:rFonts w:hint="eastAsia" w:ascii="仿宋_GB2312" w:hAnsi="仿宋_GB2312" w:cs="仿宋_GB2312"/>
        </w:rPr>
        <w:t>给予最高不超过500万元</w:t>
      </w:r>
      <w:r>
        <w:rPr>
          <w:rFonts w:hint="eastAsia" w:ascii="仿宋_GB2312"/>
        </w:rPr>
        <w:t>奖励。</w:t>
      </w:r>
    </w:p>
    <w:p w14:paraId="509E6940">
      <w:pPr>
        <w:adjustRightInd w:val="0"/>
        <w:spacing w:after="0" w:line="560" w:lineRule="exact"/>
        <w:ind w:firstLine="643" w:firstLineChars="200"/>
        <w:rPr>
          <w:rFonts w:ascii="仿宋_GB2312"/>
        </w:rPr>
      </w:pPr>
      <w:r>
        <w:rPr>
          <w:rFonts w:hint="eastAsia" w:ascii="仿宋_GB2312" w:hAnsi="黑体" w:cs="黑体"/>
          <w:b/>
        </w:rPr>
        <w:t>六、支持金融机构塑造“守正创新”文化理念，打造富有社会责任的骨干团队。</w:t>
      </w:r>
      <w:r>
        <w:rPr>
          <w:rFonts w:hint="eastAsia" w:ascii="仿宋_GB2312"/>
        </w:rPr>
        <w:t>支持金融机构持续加强资源投入和人才建设，在市场化、法治化原则下，创新产品服务，高质量做好金融“五篇大文章”，因地制宜发展新质生产力。支持金融机构以市场需求为导向，丰富科技金融产品和服务，助力北京加快建设国际科创中心，加强国家战略科技力量建设，服务高精尖产业、</w:t>
      </w:r>
      <w:bookmarkStart w:id="4" w:name="_GoBack"/>
      <w:r>
        <w:rPr>
          <w:rFonts w:hint="eastAsia" w:ascii="仿宋_GB2312"/>
        </w:rPr>
        <w:t>专精</w:t>
      </w:r>
      <w:bookmarkEnd w:id="4"/>
      <w:r>
        <w:rPr>
          <w:rFonts w:hint="eastAsia" w:ascii="仿宋_GB2312"/>
        </w:rPr>
        <w:t>特新中小企业等；深耕绿色金融，加强环境、社会、治理（ESG）产品研发，助推低碳转型发展；不断提高普惠金融供给能力和水平；有针对性加强养老金融产品创新，提高养老金融市场的活跃度和覆盖面；深化机构自身数字化转型，依托人工智能等技术提升金融服务效率。鼓励金融机构在开放发展方面先行先试，积极为国际贸易、跨境投资、人民币国际化等提供优质金融服务，积极促进国际间金融机构交流合作。鼓励引导金融机构扎实做好重点领域风险化解工作。对于在上述领域取得突出成绩的金融机构，由机构申请，经评选认定，给予最高不超过1000万元奖励，年度奖励总额不超过3亿元。</w:t>
      </w:r>
      <w:bookmarkStart w:id="3" w:name="OLE_LINK3"/>
      <w:r>
        <w:rPr>
          <w:rFonts w:hint="eastAsia" w:ascii="仿宋_GB2312"/>
        </w:rPr>
        <w:t>奖励资金应当专项用于金融人才队伍建设。</w:t>
      </w:r>
    </w:p>
    <w:bookmarkEnd w:id="3"/>
    <w:p w14:paraId="6838A9A5">
      <w:pPr>
        <w:adjustRightInd w:val="0"/>
        <w:spacing w:after="0" w:line="560" w:lineRule="exact"/>
        <w:ind w:firstLine="643" w:firstLineChars="200"/>
        <w:rPr>
          <w:rFonts w:ascii="仿宋_GB2312"/>
        </w:rPr>
      </w:pPr>
      <w:r>
        <w:rPr>
          <w:rFonts w:hint="eastAsia" w:ascii="仿宋_GB2312" w:hAnsi="黑体" w:cs="黑体"/>
          <w:b/>
        </w:rPr>
        <w:t>七、创新完善金融骨干人才服务机制，为人才提供更多优质服务。</w:t>
      </w:r>
      <w:r>
        <w:rPr>
          <w:rFonts w:hint="eastAsia" w:ascii="仿宋_GB2312"/>
        </w:rPr>
        <w:t>创造宜居宜业便利条件，激励人才为机构高质量发展做出更多贡献。鼓励金融机构将获得的各类奖励资金用于骨干人才激励，可依托西城区服务资源合作创设人才服务项目，为人才提供疗养服务、医疗保障、人才公寓、健康管理、教育培训、文化体育、日常出行、家政与生活代办等各类保障性服务。</w:t>
      </w:r>
    </w:p>
    <w:p w14:paraId="60D10046">
      <w:pPr>
        <w:adjustRightInd w:val="0"/>
        <w:spacing w:after="0" w:line="560" w:lineRule="exact"/>
        <w:ind w:firstLine="643" w:firstLineChars="200"/>
        <w:rPr>
          <w:rFonts w:ascii="仿宋_GB2312"/>
        </w:rPr>
      </w:pPr>
      <w:r>
        <w:rPr>
          <w:rFonts w:hint="eastAsia" w:ascii="仿宋_GB2312" w:hAnsi="黑体" w:cs="黑体"/>
          <w:b/>
        </w:rPr>
        <w:t>八、鼓励打造特色“两区”建设服务楼宇。</w:t>
      </w:r>
      <w:r>
        <w:rPr>
          <w:rFonts w:hint="eastAsia" w:ascii="仿宋_GB2312"/>
        </w:rPr>
        <w:t>支持各类主体打造建设“国际化、专业化、绿色化”的金融特色楼宇。支持楼宇聚力推进金融产业延链、补链、强链，持续提升服务“两区”建设质效。每年开展一次金融街特色楼宇评选活动，对年度表现突出的楼宇，按照评选等级，分别给予实际运营主体50万元、30万元、20万元奖励。奖励资金应当专项用于支持低效楼宇改造提升和亮化。</w:t>
      </w:r>
    </w:p>
    <w:p w14:paraId="4D045565">
      <w:pPr>
        <w:adjustRightInd w:val="0"/>
        <w:spacing w:after="0" w:line="560" w:lineRule="exact"/>
        <w:ind w:firstLine="643" w:firstLineChars="200"/>
        <w:rPr>
          <w:rFonts w:ascii="仿宋_GB2312"/>
        </w:rPr>
      </w:pPr>
      <w:r>
        <w:rPr>
          <w:rFonts w:hint="eastAsia" w:ascii="仿宋_GB2312" w:hAnsi="黑体" w:cs="黑体"/>
          <w:b/>
        </w:rPr>
        <w:t>九、加强对重大贡献和重要战略机构的支持。</w:t>
      </w:r>
      <w:r>
        <w:rPr>
          <w:rFonts w:hint="eastAsia" w:ascii="仿宋_GB2312"/>
        </w:rPr>
        <w:t>对促进首都金融发展具有重大贡献和重要战略意义的金融机构，经西城区政府同意，根据其发展需要给予专项政策奖励。</w:t>
      </w:r>
    </w:p>
    <w:p w14:paraId="3A4CE6F9">
      <w:pPr>
        <w:adjustRightInd w:val="0"/>
        <w:spacing w:after="0" w:line="560" w:lineRule="exact"/>
        <w:ind w:firstLine="643" w:firstLineChars="200"/>
        <w:rPr>
          <w:rFonts w:ascii="仿宋_GB2312"/>
        </w:rPr>
      </w:pPr>
      <w:r>
        <w:rPr>
          <w:rFonts w:hint="eastAsia" w:ascii="仿宋_GB2312" w:hAnsi="黑体" w:cs="黑体"/>
          <w:b/>
        </w:rPr>
        <w:t>十、构建一流的营商环境和产业发展环境。</w:t>
      </w:r>
      <w:r>
        <w:rPr>
          <w:rFonts w:hint="eastAsia" w:ascii="仿宋_GB2312"/>
        </w:rPr>
        <w:t>优化提升服务生态链，创新服务内容和服务模式，提升“政府+企业”双管家服务水平。</w:t>
      </w:r>
    </w:p>
    <w:p w14:paraId="3345ABC9">
      <w:pPr>
        <w:adjustRightInd w:val="0"/>
        <w:spacing w:after="0" w:line="560" w:lineRule="exact"/>
        <w:ind w:firstLine="640" w:firstLineChars="200"/>
        <w:rPr>
          <w:rFonts w:ascii="仿宋_GB2312"/>
        </w:rPr>
      </w:pPr>
      <w:r>
        <w:rPr>
          <w:rFonts w:hint="eastAsia" w:ascii="仿宋_GB2312"/>
        </w:rPr>
        <w:t>（一）持续提升服务金融机构水平。深化共商、共建、共治、共享发展理念，发挥北京金融街合作发展理事会、金融街论坛、北京金融街服务局、北京金融街服务中心有限公司四位一体服务支持体系作用,持续推进“双管家”服务机制，多角度拓展服务形态,对区域重点机构实行专员服务。</w:t>
      </w:r>
    </w:p>
    <w:p w14:paraId="12DC02E2">
      <w:pPr>
        <w:adjustRightInd w:val="0"/>
        <w:spacing w:after="0" w:line="560" w:lineRule="exact"/>
        <w:ind w:firstLine="640" w:firstLineChars="200"/>
        <w:rPr>
          <w:rFonts w:ascii="仿宋_GB2312"/>
        </w:rPr>
      </w:pPr>
      <w:r>
        <w:rPr>
          <w:rFonts w:hint="eastAsia" w:ascii="仿宋_GB2312"/>
        </w:rPr>
        <w:t>（二）大力推动更高水平的金融开放合作。全面落实“两区”建设政策及创新制度，积极开展先行先试，为金融扩大开放相关措施在金融街率先落地做好服务保障。吸引国际金融机构聚集发展，加强与国际金融机构的交流合作。</w:t>
      </w:r>
    </w:p>
    <w:p w14:paraId="1D6748CF">
      <w:pPr>
        <w:adjustRightInd w:val="0"/>
        <w:spacing w:after="0" w:line="560" w:lineRule="exact"/>
        <w:ind w:firstLine="640" w:firstLineChars="200"/>
        <w:rPr>
          <w:rFonts w:ascii="仿宋_GB2312"/>
        </w:rPr>
      </w:pPr>
      <w:r>
        <w:rPr>
          <w:rFonts w:hint="eastAsia" w:ascii="仿宋_GB2312"/>
        </w:rPr>
        <w:t>（三）推动提升金融资源与实体经济发展的契合度。充分利用金融街资源禀赋，发挥好金融在优化资源配置方面的引领作用，畅通金融机构与实体经济高效对接。</w:t>
      </w:r>
    </w:p>
    <w:p w14:paraId="1E60E33A">
      <w:pPr>
        <w:adjustRightInd w:val="0"/>
        <w:spacing w:after="0" w:line="560" w:lineRule="exact"/>
        <w:ind w:firstLine="640" w:firstLineChars="200"/>
        <w:rPr>
          <w:rFonts w:ascii="仿宋_GB2312"/>
        </w:rPr>
      </w:pPr>
      <w:r>
        <w:rPr>
          <w:rFonts w:hint="eastAsia" w:ascii="仿宋_GB2312"/>
        </w:rPr>
        <w:t>（四）营造良好金融法治环境。健全全国人大常委会法治工作委员会北京金融街服务局基层立法联系点工作机制,支持北京金融法院服务保障国家金融战略实施、促进经济健康发展、提升金融法治水平。提高金融法治专业服务质量，护航金融市场稳健发展。</w:t>
      </w:r>
    </w:p>
    <w:p w14:paraId="05F9DA20">
      <w:pPr>
        <w:adjustRightInd w:val="0"/>
        <w:spacing w:after="0" w:line="560" w:lineRule="exact"/>
        <w:ind w:firstLine="643" w:firstLineChars="200"/>
        <w:rPr>
          <w:rFonts w:ascii="仿宋_GB2312"/>
        </w:rPr>
      </w:pPr>
      <w:r>
        <w:rPr>
          <w:rFonts w:hint="eastAsia" w:ascii="仿宋_GB2312" w:hAnsi="黑体" w:cs="黑体"/>
          <w:b/>
        </w:rPr>
        <w:t>十一、本措施与其他同类型优惠政策不可重复享受。</w:t>
      </w:r>
      <w:r>
        <w:rPr>
          <w:rFonts w:hint="eastAsia" w:ascii="仿宋_GB2312" w:hAnsi="黑体" w:cs="黑体"/>
          <w:bCs/>
        </w:rPr>
        <w:t>本措施涉及奖励可以提供资金和服务两种形式进行兑现。</w:t>
      </w:r>
      <w:r>
        <w:rPr>
          <w:rFonts w:hint="eastAsia" w:ascii="仿宋_GB2312"/>
          <w:bCs/>
        </w:rPr>
        <w:t>凡申请相应资</w:t>
      </w:r>
      <w:r>
        <w:rPr>
          <w:rFonts w:hint="eastAsia" w:ascii="仿宋_GB2312"/>
        </w:rPr>
        <w:t>金奖励的机构，涉及提供虚假材料、违反相应承诺、套取政策补贴的，将依法追究相关人员的法律责任，并追回所发放的奖励资金，纳入企业不良信用信息记录。对机构或实际控制人存在重大风险可能导致经营重大不确定性的，暂缓政策兑现。对在安全、环保、社会稳定等方面发生重大责任事故的机构，视情节轻重和给西城区造成的负面影响程度，暂缓或取消政策兑现申请资格。</w:t>
      </w:r>
    </w:p>
    <w:p w14:paraId="5D31BDFD">
      <w:pPr>
        <w:adjustRightInd w:val="0"/>
        <w:spacing w:after="0" w:line="560" w:lineRule="exact"/>
        <w:ind w:firstLine="640" w:firstLineChars="200"/>
        <w:rPr>
          <w:rFonts w:ascii="仿宋_GB2312"/>
        </w:rPr>
      </w:pPr>
      <w:r>
        <w:rPr>
          <w:rFonts w:hint="eastAsia" w:ascii="仿宋_GB2312"/>
        </w:rPr>
        <w:t>本措施由北京金融街服务局负责解释，自印发之日起实施，有效期三年。原政策《北京市西城区人民政府北京金融街服务局关于印发北京市西城区加快现代金融产业发展的若干措施的通知》（西行规发〔2023〕4号）同时废止。</w:t>
      </w:r>
    </w:p>
    <w:sectPr>
      <w:footerReference r:id="rId5" w:type="default"/>
      <w:footerReference r:id="rId6" w:type="even"/>
      <w:type w:val="continuous"/>
      <w:pgSz w:w="11907" w:h="16840"/>
      <w:pgMar w:top="2098" w:right="1474" w:bottom="1985" w:left="1588" w:header="1417" w:footer="1417" w:gutter="0"/>
      <w:pgNumType w:start="1" w:chapSep="emDash"/>
      <w:cols w:space="720" w:num="1"/>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0B9FE8-5D77-4C68-9BE5-C8E69AF660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F88E3D1-3CF1-4630-A134-A551549EB09C}"/>
  </w:font>
  <w:font w:name="方正小标宋简体">
    <w:panose1 w:val="02000000000000000000"/>
    <w:charset w:val="86"/>
    <w:family w:val="script"/>
    <w:pitch w:val="default"/>
    <w:sig w:usb0="A00002BF" w:usb1="184F6CFA" w:usb2="00000012" w:usb3="00000000" w:csb0="00040001" w:csb1="00000000"/>
    <w:embedRegular r:id="rId3" w:fontKey="{16964C16-9242-46C9-9FCC-4A2830AA37B3}"/>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4621">
    <w:pPr>
      <w:pStyle w:val="9"/>
      <w:ind w:right="360" w:firstLine="360"/>
      <w:jc w:val="center"/>
      <w:rPr>
        <w:rFonts w:hint="eastAsia" w:ascii="宋体" w:hAnsi="宋体" w:eastAsia="宋体"/>
        <w:sz w:val="28"/>
        <w:szCs w:val="28"/>
      </w:rPr>
    </w:pPr>
    <w:r>
      <w:rPr>
        <w:rStyle w:val="15"/>
        <w:rFonts w:ascii="宋体" w:hAnsi="宋体" w:eastAsia="宋体"/>
        <w:sz w:val="28"/>
        <w:szCs w:val="28"/>
      </w:rPr>
      <w:fldChar w:fldCharType="begin"/>
    </w:r>
    <w:r>
      <w:rPr>
        <w:rStyle w:val="15"/>
        <w:rFonts w:ascii="宋体" w:hAnsi="宋体" w:eastAsia="宋体"/>
        <w:sz w:val="28"/>
        <w:szCs w:val="28"/>
      </w:rPr>
      <w:instrText xml:space="preserve">PAGE   \* MERGEFORMAT</w:instrText>
    </w:r>
    <w:r>
      <w:rPr>
        <w:rStyle w:val="15"/>
        <w:rFonts w:ascii="宋体" w:hAnsi="宋体" w:eastAsia="宋体"/>
        <w:sz w:val="28"/>
        <w:szCs w:val="28"/>
      </w:rPr>
      <w:fldChar w:fldCharType="separate"/>
    </w:r>
    <w:r>
      <w:rPr>
        <w:rStyle w:val="15"/>
        <w:rFonts w:ascii="宋体" w:hAnsi="宋体" w:eastAsia="宋体"/>
        <w:sz w:val="28"/>
        <w:szCs w:val="28"/>
        <w:lang w:val="zh-CN"/>
      </w:rPr>
      <w:t>7</w:t>
    </w:r>
    <w:r>
      <w:rPr>
        <w:rStyle w:val="15"/>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1246">
    <w:pPr>
      <w:pStyle w:val="9"/>
      <w:ind w:right="360" w:firstLine="360"/>
      <w:jc w:val="center"/>
    </w:pPr>
    <w:r>
      <w:rPr>
        <w:rStyle w:val="15"/>
        <w:rFonts w:ascii="宋体" w:hAnsi="宋体" w:eastAsia="宋体"/>
        <w:sz w:val="28"/>
        <w:szCs w:val="28"/>
      </w:rPr>
      <w:fldChar w:fldCharType="begin"/>
    </w:r>
    <w:r>
      <w:rPr>
        <w:rStyle w:val="15"/>
        <w:rFonts w:ascii="宋体" w:hAnsi="宋体" w:eastAsia="宋体"/>
        <w:sz w:val="28"/>
        <w:szCs w:val="28"/>
      </w:rPr>
      <w:instrText xml:space="preserve">PAGE   \* MERGEFORMAT</w:instrText>
    </w:r>
    <w:r>
      <w:rPr>
        <w:rStyle w:val="15"/>
        <w:rFonts w:ascii="宋体" w:hAnsi="宋体" w:eastAsia="宋体"/>
        <w:sz w:val="28"/>
        <w:szCs w:val="28"/>
      </w:rPr>
      <w:fldChar w:fldCharType="separate"/>
    </w:r>
    <w:r>
      <w:rPr>
        <w:rStyle w:val="15"/>
        <w:rFonts w:ascii="宋体" w:hAnsi="宋体" w:eastAsia="宋体"/>
        <w:sz w:val="28"/>
        <w:szCs w:val="28"/>
        <w:lang w:val="zh-CN"/>
      </w:rPr>
      <w:t>6</w:t>
    </w:r>
    <w:r>
      <w:rPr>
        <w:rStyle w:val="15"/>
        <w:rFonts w:ascii="宋体" w:hAnsi="宋体" w:eastAsia="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4B"/>
    <w:rsid w:val="000004E0"/>
    <w:rsid w:val="00000C08"/>
    <w:rsid w:val="000026E6"/>
    <w:rsid w:val="00005AE7"/>
    <w:rsid w:val="00006B9A"/>
    <w:rsid w:val="00006C75"/>
    <w:rsid w:val="00007370"/>
    <w:rsid w:val="0000798D"/>
    <w:rsid w:val="00007C23"/>
    <w:rsid w:val="0001083D"/>
    <w:rsid w:val="0002450A"/>
    <w:rsid w:val="00026968"/>
    <w:rsid w:val="00026A3D"/>
    <w:rsid w:val="00027E54"/>
    <w:rsid w:val="000302E9"/>
    <w:rsid w:val="00033117"/>
    <w:rsid w:val="00043334"/>
    <w:rsid w:val="000439E1"/>
    <w:rsid w:val="00043F03"/>
    <w:rsid w:val="000517F1"/>
    <w:rsid w:val="000550F5"/>
    <w:rsid w:val="00055A75"/>
    <w:rsid w:val="000569F8"/>
    <w:rsid w:val="000611CF"/>
    <w:rsid w:val="00061906"/>
    <w:rsid w:val="00062B47"/>
    <w:rsid w:val="000638CC"/>
    <w:rsid w:val="00071663"/>
    <w:rsid w:val="00073623"/>
    <w:rsid w:val="0007363A"/>
    <w:rsid w:val="00075159"/>
    <w:rsid w:val="00075E0E"/>
    <w:rsid w:val="00080499"/>
    <w:rsid w:val="000806FF"/>
    <w:rsid w:val="00083711"/>
    <w:rsid w:val="0008681F"/>
    <w:rsid w:val="0008726A"/>
    <w:rsid w:val="000878D1"/>
    <w:rsid w:val="00092BE5"/>
    <w:rsid w:val="00094B53"/>
    <w:rsid w:val="000A12AA"/>
    <w:rsid w:val="000A3515"/>
    <w:rsid w:val="000B136A"/>
    <w:rsid w:val="000B51DB"/>
    <w:rsid w:val="000B6730"/>
    <w:rsid w:val="000C5E6E"/>
    <w:rsid w:val="000C63DF"/>
    <w:rsid w:val="000C7502"/>
    <w:rsid w:val="000D0748"/>
    <w:rsid w:val="000D0B94"/>
    <w:rsid w:val="000D0E7B"/>
    <w:rsid w:val="000D560B"/>
    <w:rsid w:val="000D6396"/>
    <w:rsid w:val="000D7032"/>
    <w:rsid w:val="000E0F3F"/>
    <w:rsid w:val="000E3FEC"/>
    <w:rsid w:val="000E5CDF"/>
    <w:rsid w:val="000F6884"/>
    <w:rsid w:val="001026BE"/>
    <w:rsid w:val="00102C60"/>
    <w:rsid w:val="00105D7B"/>
    <w:rsid w:val="001066F0"/>
    <w:rsid w:val="00106C18"/>
    <w:rsid w:val="0011020B"/>
    <w:rsid w:val="001130F7"/>
    <w:rsid w:val="001134B3"/>
    <w:rsid w:val="00113B6C"/>
    <w:rsid w:val="001149D6"/>
    <w:rsid w:val="00115B58"/>
    <w:rsid w:val="00115F3D"/>
    <w:rsid w:val="00116022"/>
    <w:rsid w:val="00123D38"/>
    <w:rsid w:val="00125033"/>
    <w:rsid w:val="00125744"/>
    <w:rsid w:val="001275E8"/>
    <w:rsid w:val="0013109D"/>
    <w:rsid w:val="00132F3B"/>
    <w:rsid w:val="0013348C"/>
    <w:rsid w:val="00140765"/>
    <w:rsid w:val="00141FF8"/>
    <w:rsid w:val="00142286"/>
    <w:rsid w:val="00151650"/>
    <w:rsid w:val="001533B2"/>
    <w:rsid w:val="00162B34"/>
    <w:rsid w:val="0016766E"/>
    <w:rsid w:val="00167C27"/>
    <w:rsid w:val="00170D93"/>
    <w:rsid w:val="00175A12"/>
    <w:rsid w:val="00177DA6"/>
    <w:rsid w:val="0018118B"/>
    <w:rsid w:val="00184E5D"/>
    <w:rsid w:val="001854FB"/>
    <w:rsid w:val="001902AC"/>
    <w:rsid w:val="001926F6"/>
    <w:rsid w:val="001A129F"/>
    <w:rsid w:val="001A1D77"/>
    <w:rsid w:val="001A5308"/>
    <w:rsid w:val="001A6261"/>
    <w:rsid w:val="001B1D42"/>
    <w:rsid w:val="001B3787"/>
    <w:rsid w:val="001B3CD8"/>
    <w:rsid w:val="001C3A32"/>
    <w:rsid w:val="001C41DA"/>
    <w:rsid w:val="001D5AAC"/>
    <w:rsid w:val="001D702F"/>
    <w:rsid w:val="001E1AF7"/>
    <w:rsid w:val="001E3574"/>
    <w:rsid w:val="001E40B1"/>
    <w:rsid w:val="001E69CA"/>
    <w:rsid w:val="001E7C25"/>
    <w:rsid w:val="001F0E0B"/>
    <w:rsid w:val="001F21ED"/>
    <w:rsid w:val="001F5343"/>
    <w:rsid w:val="00200D9B"/>
    <w:rsid w:val="0020504A"/>
    <w:rsid w:val="00205F8A"/>
    <w:rsid w:val="002132CB"/>
    <w:rsid w:val="00213B5F"/>
    <w:rsid w:val="00213EAA"/>
    <w:rsid w:val="002142CD"/>
    <w:rsid w:val="00215D86"/>
    <w:rsid w:val="00220AD5"/>
    <w:rsid w:val="00224612"/>
    <w:rsid w:val="00226C24"/>
    <w:rsid w:val="00226EC7"/>
    <w:rsid w:val="00231F1F"/>
    <w:rsid w:val="00234A84"/>
    <w:rsid w:val="002363E6"/>
    <w:rsid w:val="002372D3"/>
    <w:rsid w:val="00242130"/>
    <w:rsid w:val="0024669F"/>
    <w:rsid w:val="0025013F"/>
    <w:rsid w:val="002529DB"/>
    <w:rsid w:val="0025493C"/>
    <w:rsid w:val="00254DEC"/>
    <w:rsid w:val="00255D7F"/>
    <w:rsid w:val="002563F1"/>
    <w:rsid w:val="00262A4C"/>
    <w:rsid w:val="00262DF6"/>
    <w:rsid w:val="0026344A"/>
    <w:rsid w:val="00263457"/>
    <w:rsid w:val="002658E4"/>
    <w:rsid w:val="00266E53"/>
    <w:rsid w:val="00267F8C"/>
    <w:rsid w:val="00270E88"/>
    <w:rsid w:val="00271D66"/>
    <w:rsid w:val="002727C8"/>
    <w:rsid w:val="00280D26"/>
    <w:rsid w:val="00281100"/>
    <w:rsid w:val="00286635"/>
    <w:rsid w:val="0028727D"/>
    <w:rsid w:val="002902D4"/>
    <w:rsid w:val="002A0B2A"/>
    <w:rsid w:val="002A0F51"/>
    <w:rsid w:val="002A1095"/>
    <w:rsid w:val="002A1A2A"/>
    <w:rsid w:val="002A1C4C"/>
    <w:rsid w:val="002A333D"/>
    <w:rsid w:val="002A7FC3"/>
    <w:rsid w:val="002B05F4"/>
    <w:rsid w:val="002B06B8"/>
    <w:rsid w:val="002C441E"/>
    <w:rsid w:val="002D7DA0"/>
    <w:rsid w:val="002E43EC"/>
    <w:rsid w:val="002E4947"/>
    <w:rsid w:val="002E5847"/>
    <w:rsid w:val="002F2CF2"/>
    <w:rsid w:val="002F39B0"/>
    <w:rsid w:val="002F4920"/>
    <w:rsid w:val="002F494E"/>
    <w:rsid w:val="00300A11"/>
    <w:rsid w:val="00301132"/>
    <w:rsid w:val="00303128"/>
    <w:rsid w:val="0030345C"/>
    <w:rsid w:val="00305126"/>
    <w:rsid w:val="00307C27"/>
    <w:rsid w:val="003120B1"/>
    <w:rsid w:val="003161B6"/>
    <w:rsid w:val="003210D6"/>
    <w:rsid w:val="003261DA"/>
    <w:rsid w:val="003320BB"/>
    <w:rsid w:val="0033234F"/>
    <w:rsid w:val="00336F1C"/>
    <w:rsid w:val="00342BE7"/>
    <w:rsid w:val="00345510"/>
    <w:rsid w:val="00350D34"/>
    <w:rsid w:val="00350EBE"/>
    <w:rsid w:val="00352297"/>
    <w:rsid w:val="0036108B"/>
    <w:rsid w:val="00361B85"/>
    <w:rsid w:val="00362CE3"/>
    <w:rsid w:val="003652C7"/>
    <w:rsid w:val="003714D0"/>
    <w:rsid w:val="00371DAF"/>
    <w:rsid w:val="0037400F"/>
    <w:rsid w:val="00375BC1"/>
    <w:rsid w:val="0038047F"/>
    <w:rsid w:val="003856E2"/>
    <w:rsid w:val="00390020"/>
    <w:rsid w:val="003A0E6E"/>
    <w:rsid w:val="003A470E"/>
    <w:rsid w:val="003A4AED"/>
    <w:rsid w:val="003A5C9B"/>
    <w:rsid w:val="003A6FF0"/>
    <w:rsid w:val="003B5A95"/>
    <w:rsid w:val="003B78BA"/>
    <w:rsid w:val="003C4220"/>
    <w:rsid w:val="003C5931"/>
    <w:rsid w:val="003C62FE"/>
    <w:rsid w:val="003D0324"/>
    <w:rsid w:val="003E0A13"/>
    <w:rsid w:val="003E5C5F"/>
    <w:rsid w:val="003E7229"/>
    <w:rsid w:val="003E76C0"/>
    <w:rsid w:val="003F31A2"/>
    <w:rsid w:val="003F332A"/>
    <w:rsid w:val="00400FE8"/>
    <w:rsid w:val="0040397B"/>
    <w:rsid w:val="0040793B"/>
    <w:rsid w:val="00412D5B"/>
    <w:rsid w:val="0041582F"/>
    <w:rsid w:val="0041620A"/>
    <w:rsid w:val="00423490"/>
    <w:rsid w:val="0042559A"/>
    <w:rsid w:val="0042694E"/>
    <w:rsid w:val="00426962"/>
    <w:rsid w:val="0042768B"/>
    <w:rsid w:val="00427C64"/>
    <w:rsid w:val="00431966"/>
    <w:rsid w:val="00433142"/>
    <w:rsid w:val="00433732"/>
    <w:rsid w:val="00433873"/>
    <w:rsid w:val="00434445"/>
    <w:rsid w:val="004367AC"/>
    <w:rsid w:val="00443D8D"/>
    <w:rsid w:val="004451AB"/>
    <w:rsid w:val="00446D13"/>
    <w:rsid w:val="0045015D"/>
    <w:rsid w:val="004519A9"/>
    <w:rsid w:val="00453BBB"/>
    <w:rsid w:val="00455547"/>
    <w:rsid w:val="0045633F"/>
    <w:rsid w:val="00457219"/>
    <w:rsid w:val="00461031"/>
    <w:rsid w:val="0046792B"/>
    <w:rsid w:val="00473FE0"/>
    <w:rsid w:val="004742AD"/>
    <w:rsid w:val="00474397"/>
    <w:rsid w:val="00476067"/>
    <w:rsid w:val="004768E9"/>
    <w:rsid w:val="0047729C"/>
    <w:rsid w:val="004774EA"/>
    <w:rsid w:val="00484BDB"/>
    <w:rsid w:val="00492062"/>
    <w:rsid w:val="00492DF3"/>
    <w:rsid w:val="004958E0"/>
    <w:rsid w:val="004A0BDC"/>
    <w:rsid w:val="004A1DEA"/>
    <w:rsid w:val="004A6B10"/>
    <w:rsid w:val="004B11F4"/>
    <w:rsid w:val="004B30FF"/>
    <w:rsid w:val="004B792F"/>
    <w:rsid w:val="004C10C8"/>
    <w:rsid w:val="004C10F6"/>
    <w:rsid w:val="004C5EBA"/>
    <w:rsid w:val="004C7367"/>
    <w:rsid w:val="004D0B17"/>
    <w:rsid w:val="004E4C6C"/>
    <w:rsid w:val="004E5062"/>
    <w:rsid w:val="004E57EA"/>
    <w:rsid w:val="004E6E43"/>
    <w:rsid w:val="004F194A"/>
    <w:rsid w:val="004F3C96"/>
    <w:rsid w:val="004F4CD7"/>
    <w:rsid w:val="004F605E"/>
    <w:rsid w:val="004F6F66"/>
    <w:rsid w:val="004F7497"/>
    <w:rsid w:val="0050093B"/>
    <w:rsid w:val="00501918"/>
    <w:rsid w:val="00505583"/>
    <w:rsid w:val="00512AB4"/>
    <w:rsid w:val="00515251"/>
    <w:rsid w:val="00517E08"/>
    <w:rsid w:val="0052684C"/>
    <w:rsid w:val="00530C93"/>
    <w:rsid w:val="005326D2"/>
    <w:rsid w:val="00534C8B"/>
    <w:rsid w:val="00535B56"/>
    <w:rsid w:val="005361E3"/>
    <w:rsid w:val="00541771"/>
    <w:rsid w:val="005419D1"/>
    <w:rsid w:val="0054243C"/>
    <w:rsid w:val="00543380"/>
    <w:rsid w:val="0054340E"/>
    <w:rsid w:val="00544185"/>
    <w:rsid w:val="00544B97"/>
    <w:rsid w:val="00545927"/>
    <w:rsid w:val="00546755"/>
    <w:rsid w:val="0054711D"/>
    <w:rsid w:val="0055005A"/>
    <w:rsid w:val="0055044B"/>
    <w:rsid w:val="0055135F"/>
    <w:rsid w:val="0055337C"/>
    <w:rsid w:val="00553C78"/>
    <w:rsid w:val="00553D26"/>
    <w:rsid w:val="00554541"/>
    <w:rsid w:val="00554546"/>
    <w:rsid w:val="00557104"/>
    <w:rsid w:val="00563D3B"/>
    <w:rsid w:val="0056772A"/>
    <w:rsid w:val="00571FC1"/>
    <w:rsid w:val="005721FE"/>
    <w:rsid w:val="005731D8"/>
    <w:rsid w:val="0057720D"/>
    <w:rsid w:val="00583DE3"/>
    <w:rsid w:val="00587A64"/>
    <w:rsid w:val="005906E4"/>
    <w:rsid w:val="005909BA"/>
    <w:rsid w:val="00590BDD"/>
    <w:rsid w:val="00593048"/>
    <w:rsid w:val="00595E6C"/>
    <w:rsid w:val="00596B89"/>
    <w:rsid w:val="005976F6"/>
    <w:rsid w:val="005A0A1B"/>
    <w:rsid w:val="005A1821"/>
    <w:rsid w:val="005A268E"/>
    <w:rsid w:val="005A3991"/>
    <w:rsid w:val="005A60F2"/>
    <w:rsid w:val="005A6D63"/>
    <w:rsid w:val="005A6FB7"/>
    <w:rsid w:val="005B2CA5"/>
    <w:rsid w:val="005C5CFE"/>
    <w:rsid w:val="005C6EF0"/>
    <w:rsid w:val="005C71F6"/>
    <w:rsid w:val="005D1E70"/>
    <w:rsid w:val="005D3300"/>
    <w:rsid w:val="005D61D5"/>
    <w:rsid w:val="005E128C"/>
    <w:rsid w:val="005E474A"/>
    <w:rsid w:val="005E588C"/>
    <w:rsid w:val="005F33AB"/>
    <w:rsid w:val="005F596A"/>
    <w:rsid w:val="005F7CCA"/>
    <w:rsid w:val="006006CE"/>
    <w:rsid w:val="006137ED"/>
    <w:rsid w:val="006138CE"/>
    <w:rsid w:val="006246FA"/>
    <w:rsid w:val="00626B4A"/>
    <w:rsid w:val="00632DC4"/>
    <w:rsid w:val="0063785E"/>
    <w:rsid w:val="00641113"/>
    <w:rsid w:val="00641533"/>
    <w:rsid w:val="006453D7"/>
    <w:rsid w:val="00661590"/>
    <w:rsid w:val="006656F3"/>
    <w:rsid w:val="0066664E"/>
    <w:rsid w:val="006721FF"/>
    <w:rsid w:val="00672B2E"/>
    <w:rsid w:val="00672FCF"/>
    <w:rsid w:val="006732EA"/>
    <w:rsid w:val="0067391D"/>
    <w:rsid w:val="006740D1"/>
    <w:rsid w:val="00675F35"/>
    <w:rsid w:val="00676429"/>
    <w:rsid w:val="00676C38"/>
    <w:rsid w:val="00677545"/>
    <w:rsid w:val="00695F67"/>
    <w:rsid w:val="006A0052"/>
    <w:rsid w:val="006A0F89"/>
    <w:rsid w:val="006A2FEB"/>
    <w:rsid w:val="006A6107"/>
    <w:rsid w:val="006A7B92"/>
    <w:rsid w:val="006B12B0"/>
    <w:rsid w:val="006B5453"/>
    <w:rsid w:val="006C0D5A"/>
    <w:rsid w:val="006C2972"/>
    <w:rsid w:val="006C7B30"/>
    <w:rsid w:val="006D0105"/>
    <w:rsid w:val="006D12D3"/>
    <w:rsid w:val="006D1663"/>
    <w:rsid w:val="006D1919"/>
    <w:rsid w:val="006D6200"/>
    <w:rsid w:val="006E2B64"/>
    <w:rsid w:val="006E3D0B"/>
    <w:rsid w:val="006E6CA5"/>
    <w:rsid w:val="006F08FF"/>
    <w:rsid w:val="006F1E67"/>
    <w:rsid w:val="006F53AB"/>
    <w:rsid w:val="006F6732"/>
    <w:rsid w:val="006F7251"/>
    <w:rsid w:val="0070568E"/>
    <w:rsid w:val="00705E25"/>
    <w:rsid w:val="00710422"/>
    <w:rsid w:val="007121E9"/>
    <w:rsid w:val="00713684"/>
    <w:rsid w:val="00714F14"/>
    <w:rsid w:val="00715977"/>
    <w:rsid w:val="007211A3"/>
    <w:rsid w:val="00721899"/>
    <w:rsid w:val="00721AE5"/>
    <w:rsid w:val="00726618"/>
    <w:rsid w:val="007270D0"/>
    <w:rsid w:val="00727815"/>
    <w:rsid w:val="00732317"/>
    <w:rsid w:val="00732C6E"/>
    <w:rsid w:val="00734175"/>
    <w:rsid w:val="007354FA"/>
    <w:rsid w:val="00736A45"/>
    <w:rsid w:val="00740091"/>
    <w:rsid w:val="007445DC"/>
    <w:rsid w:val="00747C87"/>
    <w:rsid w:val="00752675"/>
    <w:rsid w:val="00756ADA"/>
    <w:rsid w:val="00757559"/>
    <w:rsid w:val="007631CC"/>
    <w:rsid w:val="00770A26"/>
    <w:rsid w:val="007718F1"/>
    <w:rsid w:val="00773193"/>
    <w:rsid w:val="00773476"/>
    <w:rsid w:val="00773837"/>
    <w:rsid w:val="00786172"/>
    <w:rsid w:val="00787104"/>
    <w:rsid w:val="007914D3"/>
    <w:rsid w:val="007953C3"/>
    <w:rsid w:val="007A05B0"/>
    <w:rsid w:val="007A1A8D"/>
    <w:rsid w:val="007A287C"/>
    <w:rsid w:val="007A47C3"/>
    <w:rsid w:val="007A51E0"/>
    <w:rsid w:val="007B2EB4"/>
    <w:rsid w:val="007B2EE4"/>
    <w:rsid w:val="007C1A38"/>
    <w:rsid w:val="007C385B"/>
    <w:rsid w:val="007C5117"/>
    <w:rsid w:val="007D2A54"/>
    <w:rsid w:val="007D41F4"/>
    <w:rsid w:val="007D43D2"/>
    <w:rsid w:val="007D6C90"/>
    <w:rsid w:val="007E0EE3"/>
    <w:rsid w:val="007E7189"/>
    <w:rsid w:val="007F0361"/>
    <w:rsid w:val="007F243A"/>
    <w:rsid w:val="007F37DC"/>
    <w:rsid w:val="007F5320"/>
    <w:rsid w:val="007F5D4C"/>
    <w:rsid w:val="008050AA"/>
    <w:rsid w:val="008073C7"/>
    <w:rsid w:val="00811133"/>
    <w:rsid w:val="008126EB"/>
    <w:rsid w:val="0081440A"/>
    <w:rsid w:val="0081764D"/>
    <w:rsid w:val="00822535"/>
    <w:rsid w:val="00822CF1"/>
    <w:rsid w:val="00823337"/>
    <w:rsid w:val="0083034F"/>
    <w:rsid w:val="00835A68"/>
    <w:rsid w:val="00840716"/>
    <w:rsid w:val="00843419"/>
    <w:rsid w:val="00851AF5"/>
    <w:rsid w:val="00855F0A"/>
    <w:rsid w:val="00863F90"/>
    <w:rsid w:val="008647DA"/>
    <w:rsid w:val="008650C9"/>
    <w:rsid w:val="00865A6E"/>
    <w:rsid w:val="008660A5"/>
    <w:rsid w:val="00872315"/>
    <w:rsid w:val="0087304A"/>
    <w:rsid w:val="00875411"/>
    <w:rsid w:val="00875593"/>
    <w:rsid w:val="00876110"/>
    <w:rsid w:val="00876AAA"/>
    <w:rsid w:val="00880BAF"/>
    <w:rsid w:val="008833C4"/>
    <w:rsid w:val="00883C43"/>
    <w:rsid w:val="008840E5"/>
    <w:rsid w:val="00884C88"/>
    <w:rsid w:val="00887AAB"/>
    <w:rsid w:val="00892AE4"/>
    <w:rsid w:val="00893FAD"/>
    <w:rsid w:val="008940BE"/>
    <w:rsid w:val="00895C56"/>
    <w:rsid w:val="008A1239"/>
    <w:rsid w:val="008A2858"/>
    <w:rsid w:val="008A37C3"/>
    <w:rsid w:val="008A726D"/>
    <w:rsid w:val="008B3B41"/>
    <w:rsid w:val="008B409B"/>
    <w:rsid w:val="008B505C"/>
    <w:rsid w:val="008C3BCF"/>
    <w:rsid w:val="008C5ADD"/>
    <w:rsid w:val="008C664D"/>
    <w:rsid w:val="008D7AD0"/>
    <w:rsid w:val="008E0252"/>
    <w:rsid w:val="008F010B"/>
    <w:rsid w:val="008F4040"/>
    <w:rsid w:val="008F6867"/>
    <w:rsid w:val="00903CDF"/>
    <w:rsid w:val="00912FF7"/>
    <w:rsid w:val="00913D12"/>
    <w:rsid w:val="00920EC8"/>
    <w:rsid w:val="009247E2"/>
    <w:rsid w:val="00926A28"/>
    <w:rsid w:val="00942991"/>
    <w:rsid w:val="00942D20"/>
    <w:rsid w:val="00950B19"/>
    <w:rsid w:val="00956348"/>
    <w:rsid w:val="00957323"/>
    <w:rsid w:val="00957D6A"/>
    <w:rsid w:val="00960175"/>
    <w:rsid w:val="0096187D"/>
    <w:rsid w:val="009637B3"/>
    <w:rsid w:val="00964F73"/>
    <w:rsid w:val="00966974"/>
    <w:rsid w:val="0097319B"/>
    <w:rsid w:val="00973F40"/>
    <w:rsid w:val="00976CE4"/>
    <w:rsid w:val="00983C9E"/>
    <w:rsid w:val="009874F5"/>
    <w:rsid w:val="00992801"/>
    <w:rsid w:val="00993533"/>
    <w:rsid w:val="0099513E"/>
    <w:rsid w:val="009A0DE1"/>
    <w:rsid w:val="009A5896"/>
    <w:rsid w:val="009A5AB7"/>
    <w:rsid w:val="009B0E93"/>
    <w:rsid w:val="009B3539"/>
    <w:rsid w:val="009B5BAD"/>
    <w:rsid w:val="009C094D"/>
    <w:rsid w:val="009C27BA"/>
    <w:rsid w:val="009E71B9"/>
    <w:rsid w:val="009F0D2B"/>
    <w:rsid w:val="009F0DEB"/>
    <w:rsid w:val="009F1D6C"/>
    <w:rsid w:val="009F248E"/>
    <w:rsid w:val="009F3AB7"/>
    <w:rsid w:val="009F74C1"/>
    <w:rsid w:val="00A00431"/>
    <w:rsid w:val="00A02FAB"/>
    <w:rsid w:val="00A074A9"/>
    <w:rsid w:val="00A172AB"/>
    <w:rsid w:val="00A21632"/>
    <w:rsid w:val="00A226AF"/>
    <w:rsid w:val="00A23F95"/>
    <w:rsid w:val="00A2748D"/>
    <w:rsid w:val="00A31D40"/>
    <w:rsid w:val="00A325A6"/>
    <w:rsid w:val="00A328DE"/>
    <w:rsid w:val="00A34464"/>
    <w:rsid w:val="00A37AB3"/>
    <w:rsid w:val="00A41A17"/>
    <w:rsid w:val="00A432E2"/>
    <w:rsid w:val="00A4492A"/>
    <w:rsid w:val="00A45B27"/>
    <w:rsid w:val="00A45CF6"/>
    <w:rsid w:val="00A4716E"/>
    <w:rsid w:val="00A50658"/>
    <w:rsid w:val="00A523AB"/>
    <w:rsid w:val="00A54982"/>
    <w:rsid w:val="00A54EB1"/>
    <w:rsid w:val="00A567C7"/>
    <w:rsid w:val="00A574CA"/>
    <w:rsid w:val="00A6141E"/>
    <w:rsid w:val="00A635E1"/>
    <w:rsid w:val="00A6441D"/>
    <w:rsid w:val="00A751E5"/>
    <w:rsid w:val="00A75DE5"/>
    <w:rsid w:val="00A82A84"/>
    <w:rsid w:val="00A8537F"/>
    <w:rsid w:val="00A87176"/>
    <w:rsid w:val="00A9043C"/>
    <w:rsid w:val="00A915CB"/>
    <w:rsid w:val="00A956F6"/>
    <w:rsid w:val="00AA12E0"/>
    <w:rsid w:val="00AA44F1"/>
    <w:rsid w:val="00AA7E48"/>
    <w:rsid w:val="00AB16B2"/>
    <w:rsid w:val="00AB229A"/>
    <w:rsid w:val="00AB6316"/>
    <w:rsid w:val="00AB702E"/>
    <w:rsid w:val="00AC31C6"/>
    <w:rsid w:val="00AC3B4E"/>
    <w:rsid w:val="00AC54E6"/>
    <w:rsid w:val="00AC5755"/>
    <w:rsid w:val="00AC6322"/>
    <w:rsid w:val="00AD194B"/>
    <w:rsid w:val="00AD3634"/>
    <w:rsid w:val="00AD3C0C"/>
    <w:rsid w:val="00AE24AF"/>
    <w:rsid w:val="00AE54D7"/>
    <w:rsid w:val="00AE730A"/>
    <w:rsid w:val="00AF17DC"/>
    <w:rsid w:val="00AF2A7D"/>
    <w:rsid w:val="00B014BE"/>
    <w:rsid w:val="00B032B5"/>
    <w:rsid w:val="00B05799"/>
    <w:rsid w:val="00B0653E"/>
    <w:rsid w:val="00B06D3D"/>
    <w:rsid w:val="00B22757"/>
    <w:rsid w:val="00B23ABA"/>
    <w:rsid w:val="00B26DB5"/>
    <w:rsid w:val="00B33F81"/>
    <w:rsid w:val="00B341B4"/>
    <w:rsid w:val="00B508EE"/>
    <w:rsid w:val="00B5487D"/>
    <w:rsid w:val="00B6050C"/>
    <w:rsid w:val="00B60573"/>
    <w:rsid w:val="00B6266F"/>
    <w:rsid w:val="00B6512D"/>
    <w:rsid w:val="00B65591"/>
    <w:rsid w:val="00B6729B"/>
    <w:rsid w:val="00B74C01"/>
    <w:rsid w:val="00B76BB0"/>
    <w:rsid w:val="00B76C46"/>
    <w:rsid w:val="00B801F9"/>
    <w:rsid w:val="00B80E8C"/>
    <w:rsid w:val="00B80F0E"/>
    <w:rsid w:val="00B83898"/>
    <w:rsid w:val="00B8549E"/>
    <w:rsid w:val="00B8643A"/>
    <w:rsid w:val="00B913E9"/>
    <w:rsid w:val="00B91799"/>
    <w:rsid w:val="00B92892"/>
    <w:rsid w:val="00BA11B5"/>
    <w:rsid w:val="00BA3F17"/>
    <w:rsid w:val="00BA4287"/>
    <w:rsid w:val="00BB43FB"/>
    <w:rsid w:val="00BC01F9"/>
    <w:rsid w:val="00BC0A0F"/>
    <w:rsid w:val="00BC28F9"/>
    <w:rsid w:val="00BC33B2"/>
    <w:rsid w:val="00BC3AC5"/>
    <w:rsid w:val="00BC4FF2"/>
    <w:rsid w:val="00BE0551"/>
    <w:rsid w:val="00BE2355"/>
    <w:rsid w:val="00BE5010"/>
    <w:rsid w:val="00BF160F"/>
    <w:rsid w:val="00BF6637"/>
    <w:rsid w:val="00C04221"/>
    <w:rsid w:val="00C0471E"/>
    <w:rsid w:val="00C057E0"/>
    <w:rsid w:val="00C1293B"/>
    <w:rsid w:val="00C14B93"/>
    <w:rsid w:val="00C14FBE"/>
    <w:rsid w:val="00C16316"/>
    <w:rsid w:val="00C17430"/>
    <w:rsid w:val="00C25835"/>
    <w:rsid w:val="00C27580"/>
    <w:rsid w:val="00C32B24"/>
    <w:rsid w:val="00C36F80"/>
    <w:rsid w:val="00C42A22"/>
    <w:rsid w:val="00C46571"/>
    <w:rsid w:val="00C5201A"/>
    <w:rsid w:val="00C53A78"/>
    <w:rsid w:val="00C55FA0"/>
    <w:rsid w:val="00C61CCE"/>
    <w:rsid w:val="00C63A1A"/>
    <w:rsid w:val="00C65C97"/>
    <w:rsid w:val="00C72EF4"/>
    <w:rsid w:val="00C74C6B"/>
    <w:rsid w:val="00C759B6"/>
    <w:rsid w:val="00C763DC"/>
    <w:rsid w:val="00C8341C"/>
    <w:rsid w:val="00C83592"/>
    <w:rsid w:val="00C836D0"/>
    <w:rsid w:val="00C86775"/>
    <w:rsid w:val="00C91EFC"/>
    <w:rsid w:val="00C9307D"/>
    <w:rsid w:val="00C9593C"/>
    <w:rsid w:val="00C96300"/>
    <w:rsid w:val="00C9713D"/>
    <w:rsid w:val="00CA34BE"/>
    <w:rsid w:val="00CA7599"/>
    <w:rsid w:val="00CB04E9"/>
    <w:rsid w:val="00CB0984"/>
    <w:rsid w:val="00CB0D09"/>
    <w:rsid w:val="00CB3348"/>
    <w:rsid w:val="00CC186C"/>
    <w:rsid w:val="00CC1A57"/>
    <w:rsid w:val="00CC3009"/>
    <w:rsid w:val="00CC530B"/>
    <w:rsid w:val="00CC57A0"/>
    <w:rsid w:val="00CC7B0A"/>
    <w:rsid w:val="00CD1365"/>
    <w:rsid w:val="00CD28E3"/>
    <w:rsid w:val="00CD697D"/>
    <w:rsid w:val="00CE313A"/>
    <w:rsid w:val="00CF3DA8"/>
    <w:rsid w:val="00CF78AB"/>
    <w:rsid w:val="00D01C44"/>
    <w:rsid w:val="00D03A9F"/>
    <w:rsid w:val="00D03EC7"/>
    <w:rsid w:val="00D04D5B"/>
    <w:rsid w:val="00D053EC"/>
    <w:rsid w:val="00D06601"/>
    <w:rsid w:val="00D06835"/>
    <w:rsid w:val="00D12BC7"/>
    <w:rsid w:val="00D13F38"/>
    <w:rsid w:val="00D1548F"/>
    <w:rsid w:val="00D15E57"/>
    <w:rsid w:val="00D20CBD"/>
    <w:rsid w:val="00D22490"/>
    <w:rsid w:val="00D24861"/>
    <w:rsid w:val="00D24C6B"/>
    <w:rsid w:val="00D259E0"/>
    <w:rsid w:val="00D31014"/>
    <w:rsid w:val="00D37B16"/>
    <w:rsid w:val="00D4455F"/>
    <w:rsid w:val="00D47F2B"/>
    <w:rsid w:val="00D51013"/>
    <w:rsid w:val="00D5181D"/>
    <w:rsid w:val="00D52E80"/>
    <w:rsid w:val="00D537AE"/>
    <w:rsid w:val="00D53824"/>
    <w:rsid w:val="00D55AA8"/>
    <w:rsid w:val="00D66573"/>
    <w:rsid w:val="00D73608"/>
    <w:rsid w:val="00D74EFA"/>
    <w:rsid w:val="00D7541F"/>
    <w:rsid w:val="00D75432"/>
    <w:rsid w:val="00D75BAC"/>
    <w:rsid w:val="00D77DDD"/>
    <w:rsid w:val="00D84C41"/>
    <w:rsid w:val="00D851C7"/>
    <w:rsid w:val="00D8573C"/>
    <w:rsid w:val="00D90B36"/>
    <w:rsid w:val="00D92555"/>
    <w:rsid w:val="00D92A19"/>
    <w:rsid w:val="00DA0F66"/>
    <w:rsid w:val="00DA57FD"/>
    <w:rsid w:val="00DA71B4"/>
    <w:rsid w:val="00DB26BC"/>
    <w:rsid w:val="00DB38DC"/>
    <w:rsid w:val="00DB46A3"/>
    <w:rsid w:val="00DB7139"/>
    <w:rsid w:val="00DC3C67"/>
    <w:rsid w:val="00DC7C9D"/>
    <w:rsid w:val="00DD0817"/>
    <w:rsid w:val="00DD2982"/>
    <w:rsid w:val="00DD29A3"/>
    <w:rsid w:val="00DD6720"/>
    <w:rsid w:val="00DD75B6"/>
    <w:rsid w:val="00DE122E"/>
    <w:rsid w:val="00DF0914"/>
    <w:rsid w:val="00DF33A9"/>
    <w:rsid w:val="00DF457C"/>
    <w:rsid w:val="00DF6353"/>
    <w:rsid w:val="00DF71A5"/>
    <w:rsid w:val="00E0077B"/>
    <w:rsid w:val="00E0210E"/>
    <w:rsid w:val="00E10AF3"/>
    <w:rsid w:val="00E127B1"/>
    <w:rsid w:val="00E13B3E"/>
    <w:rsid w:val="00E14271"/>
    <w:rsid w:val="00E144F9"/>
    <w:rsid w:val="00E15520"/>
    <w:rsid w:val="00E2070A"/>
    <w:rsid w:val="00E21592"/>
    <w:rsid w:val="00E23C5D"/>
    <w:rsid w:val="00E269AA"/>
    <w:rsid w:val="00E32BE7"/>
    <w:rsid w:val="00E32F3D"/>
    <w:rsid w:val="00E34745"/>
    <w:rsid w:val="00E420AF"/>
    <w:rsid w:val="00E43250"/>
    <w:rsid w:val="00E455A0"/>
    <w:rsid w:val="00E4608B"/>
    <w:rsid w:val="00E5050B"/>
    <w:rsid w:val="00E53607"/>
    <w:rsid w:val="00E53906"/>
    <w:rsid w:val="00E65BCD"/>
    <w:rsid w:val="00E668EB"/>
    <w:rsid w:val="00E66FE8"/>
    <w:rsid w:val="00E71EDB"/>
    <w:rsid w:val="00E744B1"/>
    <w:rsid w:val="00E747A5"/>
    <w:rsid w:val="00E8179F"/>
    <w:rsid w:val="00E87A03"/>
    <w:rsid w:val="00E90982"/>
    <w:rsid w:val="00E90D4A"/>
    <w:rsid w:val="00E916E9"/>
    <w:rsid w:val="00E937A8"/>
    <w:rsid w:val="00E964B0"/>
    <w:rsid w:val="00EA224F"/>
    <w:rsid w:val="00EA3A77"/>
    <w:rsid w:val="00EA4A11"/>
    <w:rsid w:val="00EA4BE4"/>
    <w:rsid w:val="00EA5B74"/>
    <w:rsid w:val="00EB6CB1"/>
    <w:rsid w:val="00EB6D79"/>
    <w:rsid w:val="00EC0E42"/>
    <w:rsid w:val="00EC1017"/>
    <w:rsid w:val="00EC1420"/>
    <w:rsid w:val="00EC3D0A"/>
    <w:rsid w:val="00EC465A"/>
    <w:rsid w:val="00EC5361"/>
    <w:rsid w:val="00ED084D"/>
    <w:rsid w:val="00ED33D9"/>
    <w:rsid w:val="00EE10DE"/>
    <w:rsid w:val="00EE41D5"/>
    <w:rsid w:val="00EE45EF"/>
    <w:rsid w:val="00EF5054"/>
    <w:rsid w:val="00EF67B6"/>
    <w:rsid w:val="00F00A7D"/>
    <w:rsid w:val="00F07B43"/>
    <w:rsid w:val="00F12088"/>
    <w:rsid w:val="00F13111"/>
    <w:rsid w:val="00F14C65"/>
    <w:rsid w:val="00F15F00"/>
    <w:rsid w:val="00F1626B"/>
    <w:rsid w:val="00F210FC"/>
    <w:rsid w:val="00F23700"/>
    <w:rsid w:val="00F241ED"/>
    <w:rsid w:val="00F249F0"/>
    <w:rsid w:val="00F24F60"/>
    <w:rsid w:val="00F25220"/>
    <w:rsid w:val="00F25533"/>
    <w:rsid w:val="00F26B46"/>
    <w:rsid w:val="00F26DC4"/>
    <w:rsid w:val="00F31489"/>
    <w:rsid w:val="00F36A3B"/>
    <w:rsid w:val="00F45F2C"/>
    <w:rsid w:val="00F46DB4"/>
    <w:rsid w:val="00F50FDA"/>
    <w:rsid w:val="00F54E4C"/>
    <w:rsid w:val="00F662FD"/>
    <w:rsid w:val="00F67528"/>
    <w:rsid w:val="00F74449"/>
    <w:rsid w:val="00F77BF0"/>
    <w:rsid w:val="00F80071"/>
    <w:rsid w:val="00F90808"/>
    <w:rsid w:val="00F909F4"/>
    <w:rsid w:val="00F960DE"/>
    <w:rsid w:val="00F96E61"/>
    <w:rsid w:val="00FA050D"/>
    <w:rsid w:val="00FA19CB"/>
    <w:rsid w:val="00FA5B73"/>
    <w:rsid w:val="00FA5CF3"/>
    <w:rsid w:val="00FB133F"/>
    <w:rsid w:val="00FB14D9"/>
    <w:rsid w:val="00FB1FE8"/>
    <w:rsid w:val="00FB7C61"/>
    <w:rsid w:val="00FB7EF2"/>
    <w:rsid w:val="00FC1A84"/>
    <w:rsid w:val="00FC34CE"/>
    <w:rsid w:val="00FC43E8"/>
    <w:rsid w:val="00FC5BC4"/>
    <w:rsid w:val="00FC7E8B"/>
    <w:rsid w:val="00FD6212"/>
    <w:rsid w:val="00FE41B6"/>
    <w:rsid w:val="00FF2B5F"/>
    <w:rsid w:val="00FF52AD"/>
    <w:rsid w:val="00FF6FDC"/>
    <w:rsid w:val="09153A7C"/>
    <w:rsid w:val="0B8C4BAD"/>
    <w:rsid w:val="0F3D4955"/>
    <w:rsid w:val="16FF8716"/>
    <w:rsid w:val="21F71674"/>
    <w:rsid w:val="23616034"/>
    <w:rsid w:val="24CC0A08"/>
    <w:rsid w:val="26371F9D"/>
    <w:rsid w:val="26BC786B"/>
    <w:rsid w:val="2A163D17"/>
    <w:rsid w:val="2BDB04BD"/>
    <w:rsid w:val="33DA586A"/>
    <w:rsid w:val="39C16789"/>
    <w:rsid w:val="3F3259AB"/>
    <w:rsid w:val="427D7DBA"/>
    <w:rsid w:val="428E7167"/>
    <w:rsid w:val="44F1738C"/>
    <w:rsid w:val="45F34DBA"/>
    <w:rsid w:val="51314964"/>
    <w:rsid w:val="57A557E8"/>
    <w:rsid w:val="584D616C"/>
    <w:rsid w:val="5A0B73C6"/>
    <w:rsid w:val="5AFF0990"/>
    <w:rsid w:val="5DEF2920"/>
    <w:rsid w:val="5F990EC6"/>
    <w:rsid w:val="5FCF2D12"/>
    <w:rsid w:val="5FD5ADB0"/>
    <w:rsid w:val="630C48EC"/>
    <w:rsid w:val="64E41D2C"/>
    <w:rsid w:val="67CE5DA0"/>
    <w:rsid w:val="68D07C25"/>
    <w:rsid w:val="6FDE5C3D"/>
    <w:rsid w:val="73ED59C2"/>
    <w:rsid w:val="75EB90F8"/>
    <w:rsid w:val="775F31BF"/>
    <w:rsid w:val="79F7A794"/>
    <w:rsid w:val="7CA11913"/>
    <w:rsid w:val="7EEB7490"/>
    <w:rsid w:val="7F779EE1"/>
    <w:rsid w:val="7F7F7263"/>
    <w:rsid w:val="8E7BD5A7"/>
    <w:rsid w:val="97FCDBD4"/>
    <w:rsid w:val="9F2F9BEE"/>
    <w:rsid w:val="C1761D62"/>
    <w:rsid w:val="C7FE3EC7"/>
    <w:rsid w:val="E573F7D4"/>
    <w:rsid w:val="E5F38AC7"/>
    <w:rsid w:val="E93C5220"/>
    <w:rsid w:val="F57B28E6"/>
    <w:rsid w:val="FBD65246"/>
    <w:rsid w:val="FBEBB775"/>
    <w:rsid w:val="FD6A5DAC"/>
    <w:rsid w:val="FDFB8110"/>
    <w:rsid w:val="FEFD1CD3"/>
    <w:rsid w:val="FEFFB99F"/>
    <w:rsid w:val="FFFF39B5"/>
    <w:rsid w:val="FFFF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6"/>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line="520" w:lineRule="exact"/>
      <w:ind w:firstLine="600"/>
    </w:pPr>
    <w:rPr>
      <w:rFonts w:ascii="仿宋_GB2312"/>
      <w:sz w:val="30"/>
    </w:rPr>
  </w:style>
  <w:style w:type="paragraph" w:styleId="6">
    <w:name w:val="Plain Text"/>
    <w:basedOn w:val="1"/>
    <w:unhideWhenUsed/>
    <w:qFormat/>
    <w:uiPriority w:val="99"/>
    <w:rPr>
      <w:rFonts w:ascii="宋体" w:hAnsi="Courier New" w:eastAsia="宋体" w:cs="Courier New"/>
      <w:sz w:val="21"/>
      <w:szCs w:val="21"/>
    </w:rPr>
  </w:style>
  <w:style w:type="paragraph" w:styleId="7">
    <w:name w:val="Date"/>
    <w:basedOn w:val="1"/>
    <w:next w:val="1"/>
    <w:qFormat/>
    <w:uiPriority w:val="0"/>
    <w:pPr>
      <w:ind w:left="100" w:leftChars="2500"/>
    </w:pPr>
    <w:rPr>
      <w:rFonts w:ascii="仿宋_GB2312"/>
    </w:rPr>
  </w:style>
  <w:style w:type="paragraph" w:styleId="8">
    <w:name w:val="Balloon Text"/>
    <w:basedOn w:val="1"/>
    <w:semiHidden/>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paragraph" w:styleId="12">
    <w:name w:val="annotation subject"/>
    <w:basedOn w:val="3"/>
    <w:next w:val="3"/>
    <w:link w:val="27"/>
    <w:qFormat/>
    <w:uiPriority w:val="0"/>
    <w:rPr>
      <w:b/>
      <w:bCs/>
    </w:rPr>
  </w:style>
  <w:style w:type="character" w:styleId="15">
    <w:name w:val="page number"/>
    <w:basedOn w:val="14"/>
    <w:qFormat/>
    <w:uiPriority w:val="0"/>
  </w:style>
  <w:style w:type="character" w:styleId="16">
    <w:name w:val="annotation reference"/>
    <w:basedOn w:val="14"/>
    <w:qFormat/>
    <w:uiPriority w:val="0"/>
    <w:rPr>
      <w:sz w:val="21"/>
      <w:szCs w:val="21"/>
    </w:rPr>
  </w:style>
  <w:style w:type="paragraph" w:customStyle="1" w:styleId="17">
    <w:name w:val="Char Char Char Char Char Char Char Char Char Char Char Char Char1 Char"/>
    <w:basedOn w:val="1"/>
    <w:qFormat/>
    <w:uiPriority w:val="0"/>
    <w:rPr>
      <w:rFonts w:ascii="宋体" w:hAnsi="宋体" w:eastAsia="宋体" w:cs="Courier New"/>
    </w:rPr>
  </w:style>
  <w:style w:type="character" w:customStyle="1" w:styleId="18">
    <w:name w:val="自定样式1"/>
    <w:qFormat/>
    <w:uiPriority w:val="0"/>
    <w:rPr>
      <w:rFonts w:hint="eastAsia" w:ascii="宋体" w:hAnsi="宋体" w:eastAsia="方正小标宋简体" w:cs="Times New Roman"/>
      <w:color w:val="auto"/>
      <w:kern w:val="1"/>
      <w:sz w:val="32"/>
      <w:szCs w:val="24"/>
      <w:lang w:val="en-US" w:eastAsia="zh-CN" w:bidi="ar-SA"/>
    </w:rPr>
  </w:style>
  <w:style w:type="paragraph" w:customStyle="1" w:styleId="19">
    <w:name w:val="2"/>
    <w:basedOn w:val="1"/>
    <w:next w:val="4"/>
    <w:qFormat/>
    <w:uiPriority w:val="0"/>
    <w:rPr>
      <w:szCs w:val="24"/>
    </w:rPr>
  </w:style>
  <w:style w:type="paragraph" w:customStyle="1" w:styleId="20">
    <w:name w:val="1"/>
    <w:basedOn w:val="1"/>
    <w:next w:val="5"/>
    <w:qFormat/>
    <w:uiPriority w:val="0"/>
    <w:pPr>
      <w:tabs>
        <w:tab w:val="left" w:pos="8662"/>
      </w:tabs>
      <w:autoSpaceDE w:val="0"/>
      <w:autoSpaceDN w:val="0"/>
      <w:adjustRightInd w:val="0"/>
      <w:spacing w:line="300" w:lineRule="auto"/>
      <w:ind w:firstLine="614"/>
    </w:pPr>
    <w:rPr>
      <w:rFonts w:ascii="楷体_GB2312" w:hAnsi="宋体" w:eastAsia="楷体_GB2312"/>
      <w:kern w:val="10"/>
      <w:sz w:val="24"/>
      <w:szCs w:val="24"/>
      <w:lang w:val="zh-CN"/>
    </w:rPr>
  </w:style>
  <w:style w:type="paragraph" w:customStyle="1" w:styleId="21">
    <w:name w:val="WW-正文文本缩进 2"/>
    <w:basedOn w:val="1"/>
    <w:qFormat/>
    <w:uiPriority w:val="0"/>
    <w:pPr>
      <w:suppressAutoHyphens/>
      <w:overflowPunct w:val="0"/>
      <w:spacing w:line="580" w:lineRule="exact"/>
      <w:ind w:firstLine="640"/>
    </w:pPr>
    <w:rPr>
      <w:rFonts w:ascii="黑体" w:hAnsi="黑体" w:eastAsia="黑体"/>
      <w:szCs w:val="20"/>
    </w:rPr>
  </w:style>
  <w:style w:type="paragraph" w:customStyle="1" w:styleId="22">
    <w:name w:val="默认段落字体 Para Char Char Char Char Char Char Char"/>
    <w:basedOn w:val="2"/>
    <w:qFormat/>
    <w:uiPriority w:val="0"/>
    <w:pPr>
      <w:adjustRightInd w:val="0"/>
      <w:spacing w:line="436" w:lineRule="exact"/>
      <w:ind w:left="357"/>
      <w:jc w:val="left"/>
      <w:outlineLvl w:val="3"/>
    </w:pPr>
    <w:rPr>
      <w:rFonts w:ascii="Tahoma" w:hAnsi="Tahoma" w:eastAsia="宋体"/>
      <w:b/>
      <w:sz w:val="24"/>
      <w:szCs w:val="24"/>
    </w:rPr>
  </w:style>
  <w:style w:type="character" w:customStyle="1" w:styleId="23">
    <w:name w:val="页脚 字符"/>
    <w:basedOn w:val="14"/>
    <w:link w:val="9"/>
    <w:qFormat/>
    <w:uiPriority w:val="99"/>
    <w:rPr>
      <w:rFonts w:eastAsia="仿宋_GB2312"/>
      <w:kern w:val="2"/>
      <w:sz w:val="18"/>
      <w:szCs w:val="18"/>
    </w:rPr>
  </w:style>
  <w:style w:type="paragraph" w:customStyle="1" w:styleId="24">
    <w:name w:val="修订1"/>
    <w:hidden/>
    <w:unhideWhenUsed/>
    <w:qFormat/>
    <w:uiPriority w:val="99"/>
    <w:rPr>
      <w:rFonts w:ascii="Times New Roman" w:hAnsi="Times New Roman" w:eastAsia="仿宋_GB2312" w:cs="Times New Roman"/>
      <w:kern w:val="2"/>
      <w:sz w:val="32"/>
      <w:szCs w:val="32"/>
      <w:lang w:val="en-US" w:eastAsia="zh-CN" w:bidi="ar-SA"/>
    </w:rPr>
  </w:style>
  <w:style w:type="paragraph" w:customStyle="1" w:styleId="25">
    <w:name w:val="修订2"/>
    <w:hidden/>
    <w:unhideWhenUsed/>
    <w:qFormat/>
    <w:uiPriority w:val="99"/>
    <w:rPr>
      <w:rFonts w:ascii="Times New Roman" w:hAnsi="Times New Roman" w:eastAsia="仿宋_GB2312" w:cs="Times New Roman"/>
      <w:kern w:val="2"/>
      <w:sz w:val="32"/>
      <w:szCs w:val="32"/>
      <w:lang w:val="en-US" w:eastAsia="zh-CN" w:bidi="ar-SA"/>
    </w:rPr>
  </w:style>
  <w:style w:type="character" w:customStyle="1" w:styleId="26">
    <w:name w:val="批注文字 字符"/>
    <w:basedOn w:val="14"/>
    <w:link w:val="3"/>
    <w:qFormat/>
    <w:uiPriority w:val="0"/>
    <w:rPr>
      <w:rFonts w:eastAsia="仿宋_GB2312"/>
      <w:kern w:val="2"/>
      <w:sz w:val="32"/>
      <w:szCs w:val="32"/>
    </w:rPr>
  </w:style>
  <w:style w:type="character" w:customStyle="1" w:styleId="27">
    <w:name w:val="批注主题 字符"/>
    <w:basedOn w:val="26"/>
    <w:link w:val="12"/>
    <w:qFormat/>
    <w:uiPriority w:val="0"/>
    <w:rPr>
      <w:rFonts w:eastAsia="仿宋_GB2312"/>
      <w:b/>
      <w:bCs/>
      <w:kern w:val="2"/>
      <w:sz w:val="32"/>
      <w:szCs w:val="32"/>
    </w:rPr>
  </w:style>
  <w:style w:type="paragraph" w:customStyle="1" w:styleId="28">
    <w:name w:val="修订3"/>
    <w:hidden/>
    <w:unhideWhenUsed/>
    <w:qFormat/>
    <w:uiPriority w:val="99"/>
    <w:rPr>
      <w:rFonts w:ascii="Times New Roman" w:hAnsi="Times New Roman" w:eastAsia="仿宋_GB2312" w:cs="Times New Roman"/>
      <w:kern w:val="2"/>
      <w:sz w:val="32"/>
      <w:szCs w:val="32"/>
      <w:lang w:val="en-US" w:eastAsia="zh-CN" w:bidi="ar-SA"/>
    </w:rPr>
  </w:style>
  <w:style w:type="paragraph" w:customStyle="1" w:styleId="29">
    <w:name w:val="Revision"/>
    <w:hidden/>
    <w:unhideWhenUsed/>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8770-BADC-4068-B890-D043805401C6}">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7</Pages>
  <Words>3332</Words>
  <Characters>3389</Characters>
  <Lines>68</Lines>
  <Paragraphs>22</Paragraphs>
  <TotalTime>37</TotalTime>
  <ScaleCrop>false</ScaleCrop>
  <LinksUpToDate>false</LinksUpToDate>
  <CharactersWithSpaces>3390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2025-04-15T06:04:00Z</dcterms:created>
  <dc:creator>User</dc:creator>
  <cp:lastModifiedBy>褚雯雯</cp:lastModifiedBy>
  <cp:lastPrinted>2025-04-18T08:44:00Z</cp:lastPrinted>
  <dcterms:modified xsi:type="dcterms:W3CDTF">2025-10-13T01:37:02Z</dcterms:modified>
  <dc:title>西政办〔2006〕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C2CD272914FD40CD8F3726440560EA52</vt:lpwstr>
  </property>
  <property fmtid="{D5CDD505-2E9C-101B-9397-08002B2CF9AE}" pid="4" name="KSOTemplateDocerSaveRecord">
    <vt:lpwstr>eyJoZGlkIjoiYzhiMjllYjJjNzU0MWU5NDM1M2Y2MjdiNjcwMjg2MGUiLCJ1c2VySWQiOiIxNTY4NzUyODk2In0=</vt:lpwstr>
  </property>
</Properties>
</file>