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8F173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北京市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西城区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文化和旅游局</w:t>
      </w:r>
    </w:p>
    <w:p w14:paraId="5FE673F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行政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执法检查计划</w:t>
      </w:r>
    </w:p>
    <w:p w14:paraId="013960E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33E51764">
      <w:pPr>
        <w:pStyle w:val="5"/>
        <w:widowControl/>
        <w:spacing w:line="21" w:lineRule="atLeast"/>
        <w:ind w:firstLine="555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为贯彻市、区两级关于文化和旅游执法检查的工作要求，有序开展执法检查，落实市、区两级关于文旅场所治理的工作部署，结合西城区文旅行业实际，依据相关法律法规规章的规定，制定2024年度执法检查计划如下：</w:t>
      </w:r>
    </w:p>
    <w:p w14:paraId="3E9C8E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微软雅黑" w:hAnsi="微软雅黑" w:eastAsia="微软雅黑" w:cs="微软雅黑"/>
          <w:i w:val="0"/>
          <w:caps w:val="0"/>
          <w:color w:val="404040"/>
          <w:spacing w:val="0"/>
          <w:sz w:val="30"/>
          <w:szCs w:val="30"/>
          <w:shd w:val="clear" w:fill="FFFFFF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一、执法检查主体——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西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城区文化和旅游局</w:t>
      </w:r>
    </w:p>
    <w:p w14:paraId="1A5ACC44">
      <w:pPr>
        <w:pStyle w:val="5"/>
        <w:widowControl/>
        <w:spacing w:line="21" w:lineRule="atLeast"/>
        <w:ind w:firstLine="555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执法检查主体为北京市西城区文化和旅游局（北京市西城区文化市场综合执法大队）。</w:t>
      </w:r>
    </w:p>
    <w:p w14:paraId="1A44FD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检查方式</w:t>
      </w:r>
    </w:p>
    <w:p w14:paraId="5001D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2024年度执法检查工作，检查方式：采取行业和片区条块结合、现场检查和网络检查的方式，包括日常检查、联合执法检查、“双随机”抽查等方式开展行政执法检查工作。</w:t>
      </w:r>
    </w:p>
    <w:p w14:paraId="30C0395F">
      <w:pPr>
        <w:pStyle w:val="5"/>
        <w:widowControl/>
        <w:spacing w:line="21" w:lineRule="atLeast"/>
        <w:ind w:firstLine="555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（一）日常检查 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 </w:t>
      </w:r>
    </w:p>
    <w:p w14:paraId="37167206">
      <w:pPr>
        <w:pStyle w:val="5"/>
        <w:widowControl/>
        <w:spacing w:line="21" w:lineRule="atLeast"/>
        <w:ind w:firstLine="555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依法对辖区内文旅经营场所开展行政执法检查，开展文旅市场的分级管理，将检查中经常出现问题的场所加入“黑名单”，进行高频次高密度的执法检查，杜绝问题反复出现。此外，在重要时间节点、重大保障工作期间，在日常检查基础上，强化执法行为，对重点地区、重要场所加大检查频次和检查力度，确保市场稳定。</w:t>
      </w:r>
    </w:p>
    <w:p w14:paraId="7147B283">
      <w:pPr>
        <w:pStyle w:val="5"/>
        <w:widowControl/>
        <w:spacing w:line="21" w:lineRule="atLeast"/>
        <w:ind w:firstLine="555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（二）联合执法检查</w:t>
      </w:r>
    </w:p>
    <w:p w14:paraId="695064FB">
      <w:pPr>
        <w:pStyle w:val="5"/>
        <w:widowControl/>
        <w:spacing w:line="21" w:lineRule="atLeast"/>
        <w:ind w:firstLine="555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结合工作实际，在遇到有必要开展跨部门执法检查的案、事件中，联合其他有关部门进行执法检查，发挥多部门优势，弥补文化综合执法力量相对薄弱的状况，提升执法效能。</w:t>
      </w:r>
    </w:p>
    <w:p w14:paraId="344A7067">
      <w:pPr>
        <w:pStyle w:val="5"/>
        <w:widowControl/>
        <w:spacing w:line="21" w:lineRule="atLeast"/>
        <w:ind w:firstLine="555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（三）“双随机”抽查</w:t>
      </w:r>
    </w:p>
    <w:p w14:paraId="63674A59">
      <w:pPr>
        <w:pStyle w:val="5"/>
        <w:widowControl/>
        <w:spacing w:line="21" w:lineRule="atLeast"/>
        <w:ind w:firstLine="555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按照“双随机”检查工作方案中明确的工作原则、工作任务，结合各有关部门工作要求，依托北京市“双随机”监管平台，在被检查主体名录库中随机抽取检查对象、在执法人员库中随机抽取2名以上执法人员，根据市区两级公布的适合“双随机”抽查事项清单，依法开展“双随机”抽查工作，并在检查结束后，及时公布执法检查结果。</w:t>
      </w:r>
    </w:p>
    <w:p w14:paraId="339279D2">
      <w:pPr>
        <w:pStyle w:val="5"/>
        <w:widowControl/>
        <w:spacing w:line="21" w:lineRule="atLeast"/>
        <w:ind w:firstLine="555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具体计划： 本年度预计开展5批次“双随机”检查工作，每两个月开展一次。</w:t>
      </w:r>
    </w:p>
    <w:p w14:paraId="0759EC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、检查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项目</w:t>
      </w:r>
    </w:p>
    <w:p w14:paraId="2F5CA4DB">
      <w:pPr>
        <w:pStyle w:val="5"/>
        <w:widowControl/>
        <w:spacing w:line="21" w:lineRule="atLeast"/>
        <w:ind w:firstLine="555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（一）专项执法检查</w:t>
      </w:r>
    </w:p>
    <w:p w14:paraId="54C6C6D5">
      <w:pPr>
        <w:pStyle w:val="5"/>
        <w:widowControl/>
        <w:spacing w:line="21" w:lineRule="atLeast"/>
        <w:ind w:firstLine="555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检查项目：对无旅行社资质，擅自从事旅行社业务工作的检查；对未经许可通过互联网、微信等方式开展招徕旅游者等旅行社业务的检查。</w:t>
      </w:r>
    </w:p>
    <w:p w14:paraId="7BCFEDE0">
      <w:pPr>
        <w:pStyle w:val="5"/>
        <w:widowControl/>
        <w:spacing w:line="21" w:lineRule="atLeast"/>
        <w:ind w:firstLine="555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（二）日常执法检查</w:t>
      </w:r>
    </w:p>
    <w:p w14:paraId="7DFEFECE">
      <w:pPr>
        <w:pStyle w:val="5"/>
        <w:widowControl/>
        <w:spacing w:line="21" w:lineRule="atLeast"/>
        <w:ind w:firstLine="555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检查项目：对互联网视听节目服务单位取得许可证情况及经营情况的检查；对互联网文化单位取得许可证情况及经营情况的检查；对出版物发行单位经营情况的检查；对娱乐场所取得许可证情况及经营情况的检查；对不可移动文物保护情况的检查；对卫星地面接收设施单位取得许可证情况及使用情况的检查。</w:t>
      </w:r>
    </w:p>
    <w:p w14:paraId="5E308F52">
      <w:pPr>
        <w:pStyle w:val="5"/>
        <w:widowControl/>
        <w:spacing w:line="21" w:lineRule="atLeast"/>
        <w:ind w:firstLine="555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（三）“双随机”抽查</w:t>
      </w:r>
    </w:p>
    <w:p w14:paraId="72287192">
      <w:pPr>
        <w:pStyle w:val="5"/>
        <w:widowControl/>
        <w:spacing w:line="21" w:lineRule="atLeast"/>
        <w:ind w:firstLine="555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检查项目：对互联网上网服务营业场所经营情况的检查；对营业性演出经营活动从业单位取得许可证情况及经营情况的检查；对艺术品经营单位从事艺术品经营活动及备案情况的检查；对旅行社取得许可证情况及经营情况，对通过网络经营旅行社业务情况，对发布旅游经营信息网站的检查。</w:t>
      </w:r>
    </w:p>
    <w:p w14:paraId="2CA755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、管理对象基数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（检查对象范围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p w14:paraId="697A463B">
      <w:pPr>
        <w:pStyle w:val="5"/>
        <w:widowControl/>
        <w:spacing w:line="21" w:lineRule="atLeast"/>
        <w:ind w:firstLine="555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目前西城区共有歌厅27家，影院16家，营业性演出场所46家，网吧19家、游艺厅2家，印刷企业96家，出版物发行单位859家（其中实体书店155家），不可移动文物372处，卫星电视广播地面接收设施21处，艺术品经营单位363家，网络文化经营单位69家，旅行社151家，旅行社分支机构及网点182家，星级以上宾馆51家。以上各类监管对象合计2274家。</w:t>
      </w:r>
    </w:p>
    <w:p w14:paraId="17F2930C">
      <w:pPr>
        <w:pStyle w:val="5"/>
        <w:widowControl/>
        <w:spacing w:line="21" w:lineRule="atLeast"/>
        <w:ind w:firstLine="555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另有旅游重点点位3处（大栅栏、什刹海、德胜门），旅游重点街区3处（琉璃厂、大栅栏、西单）。</w:t>
      </w:r>
    </w:p>
    <w:p w14:paraId="4D04644D">
      <w:pPr>
        <w:pStyle w:val="5"/>
        <w:widowControl/>
        <w:spacing w:line="21" w:lineRule="atLeast"/>
        <w:ind w:firstLine="555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近年来建设有“扫黄打非”进基层示范点323处。</w:t>
      </w:r>
    </w:p>
    <w:p w14:paraId="630AE2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检查比例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及组织实施</w:t>
      </w:r>
    </w:p>
    <w:p w14:paraId="656D480A">
      <w:pPr>
        <w:pStyle w:val="5"/>
        <w:widowControl/>
        <w:spacing w:line="21" w:lineRule="atLeast"/>
        <w:ind w:firstLine="555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2024年度执法检查工作，计划完成检查量不低于6500家次，按自然季度划分为四个推进实施阶段，具体情况如下：</w:t>
      </w:r>
    </w:p>
    <w:p w14:paraId="34553001">
      <w:pPr>
        <w:pStyle w:val="5"/>
        <w:widowControl/>
        <w:spacing w:line="21" w:lineRule="atLeast"/>
        <w:ind w:firstLine="555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一季度（1—3月）：在春节、两会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等重点时期，各分队开展专项检查行动，大力推进所监管对象的安全生产、规范经营。全队检查量不低于1600家次，不低于全年计划检查量的25%。</w:t>
      </w:r>
    </w:p>
    <w:p w14:paraId="30B2249B">
      <w:pPr>
        <w:pStyle w:val="5"/>
        <w:widowControl/>
        <w:spacing w:line="21" w:lineRule="atLeast"/>
        <w:ind w:firstLine="555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二季度（4—6月）：重点结合“五一”、端午等节假日开展文化场所检查工作。全队检查量不低于1600家次，不低于全年计划检查量的25%。</w:t>
      </w:r>
    </w:p>
    <w:p w14:paraId="2B86DE53">
      <w:pPr>
        <w:pStyle w:val="5"/>
        <w:widowControl/>
        <w:spacing w:line="21" w:lineRule="atLeast"/>
        <w:ind w:firstLine="555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三季度（7—9月）：开展暑期文化场所专项整治行动，全面开展文化场所整治，高频次大力度检查所监管各类文化场所，包括旅游、景区相关检查，为国庆营造良好的文化市场环境，确保场所安全。全队检查量不低于1800家次，不低于全年计划检查量的27%。</w:t>
      </w:r>
    </w:p>
    <w:p w14:paraId="67D32FD6">
      <w:pPr>
        <w:pStyle w:val="5"/>
        <w:widowControl/>
        <w:spacing w:line="21" w:lineRule="atLeast"/>
        <w:ind w:firstLine="555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四季度（10—12月）：重点保障国庆期间西城文化市场安全。做好2025年元旦前，文化市场治理工作，四季度全队检查量不低于1500家次，不低于全年计划检查量的23%。</w:t>
      </w:r>
    </w:p>
    <w:p w14:paraId="04D7CC77">
      <w:pPr>
        <w:pStyle w:val="5"/>
        <w:widowControl/>
        <w:spacing w:line="21" w:lineRule="atLeast"/>
        <w:ind w:firstLine="555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对于日常检查，对辖区台账内监管对象的检查达到全覆盖，并在此基础上，对文化市场经营单位开展分级管理，将检查中经常出现问题的场所加入“黑名单”，进行高频次高密度的执法检查，杜绝问题反复出现。其中，“蓝色”企业每半年至少检查1次，“黄色”企业每季度至少检查1次，“红色”企业每月至少检查1次。</w:t>
      </w:r>
    </w:p>
    <w:p w14:paraId="604B177A">
      <w:pPr>
        <w:pStyle w:val="5"/>
        <w:widowControl/>
        <w:spacing w:line="21" w:lineRule="atLeast"/>
        <w:ind w:firstLine="555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对于“双随机”检查，结合分级分类监管管理办法，以信用风险等级较高企业占比50%、信用风险等级一般企业占比40%、信用风险等级较低企业占比10%的比例进行抽取，并开展检查。</w:t>
      </w:r>
    </w:p>
    <w:p w14:paraId="5AD1E89C">
      <w:pPr>
        <w:pStyle w:val="5"/>
        <w:widowControl/>
        <w:spacing w:line="21" w:lineRule="atLeast"/>
        <w:ind w:firstLine="555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7E8F0723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041" w:firstLineChars="1263"/>
        <w:jc w:val="center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北京市西城区文化和旅游局</w:t>
      </w:r>
    </w:p>
    <w:p w14:paraId="204D67C3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1300"/>
        <w:jc w:val="center"/>
        <w:textAlignment w:val="auto"/>
        <w:rPr>
          <w:rFonts w:hint="default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北京市西城区文化市场综合执法大队</w:t>
      </w:r>
    </w:p>
    <w:p w14:paraId="1FD75399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041" w:firstLineChars="1263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月10日</w:t>
      </w:r>
    </w:p>
    <w:p w14:paraId="11F0CC0F">
      <w:pPr>
        <w:rPr>
          <w:rFonts w:ascii="微软雅黑" w:hAnsi="微软雅黑" w:eastAsia="微软雅黑" w:cs="微软雅黑"/>
          <w:i w:val="0"/>
          <w:caps w:val="0"/>
          <w:color w:val="404040"/>
          <w:spacing w:val="0"/>
          <w:sz w:val="30"/>
          <w:szCs w:val="30"/>
          <w:shd w:val="clear" w:fill="FFFFFF"/>
        </w:rPr>
      </w:pPr>
    </w:p>
    <w:sectPr>
      <w:pgSz w:w="11906" w:h="16838"/>
      <w:pgMar w:top="1701" w:right="1701" w:bottom="1701" w:left="1701" w:header="1417" w:footer="14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lNGI5OTE0MzRkYTU2YWQ1YWU5OGZlNmMzZWZkZjkifQ=="/>
  </w:docVars>
  <w:rsids>
    <w:rsidRoot w:val="00000000"/>
    <w:rsid w:val="03297C92"/>
    <w:rsid w:val="04121542"/>
    <w:rsid w:val="04502D9D"/>
    <w:rsid w:val="05C313AC"/>
    <w:rsid w:val="0A4A0926"/>
    <w:rsid w:val="0B1F3400"/>
    <w:rsid w:val="11A402E3"/>
    <w:rsid w:val="1C9828F5"/>
    <w:rsid w:val="2A4F06B7"/>
    <w:rsid w:val="48F92D42"/>
    <w:rsid w:val="49033566"/>
    <w:rsid w:val="49D56585"/>
    <w:rsid w:val="4A73742F"/>
    <w:rsid w:val="556C4241"/>
    <w:rsid w:val="5BA65531"/>
    <w:rsid w:val="5EAA5DDA"/>
    <w:rsid w:val="6B5B46E4"/>
    <w:rsid w:val="6CE16A55"/>
    <w:rsid w:val="72C74D55"/>
    <w:rsid w:val="7423420D"/>
    <w:rsid w:val="7A6B18FD"/>
    <w:rsid w:val="7CD5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unhideWhenUsed/>
    <w:qFormat/>
    <w:uiPriority w:val="99"/>
    <w:pPr>
      <w:widowControl w:val="0"/>
      <w:jc w:val="both"/>
    </w:pPr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1918</Words>
  <Characters>1993</Characters>
  <Lines>0</Lines>
  <Paragraphs>0</Paragraphs>
  <TotalTime>32</TotalTime>
  <ScaleCrop>false</ScaleCrop>
  <LinksUpToDate>false</LinksUpToDate>
  <CharactersWithSpaces>2004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2024-09-03T13:24:00Z</dcterms:created>
  <dc:creator>Administrator</dc:creator>
  <cp:lastModifiedBy>user</cp:lastModifiedBy>
  <dcterms:modified xsi:type="dcterms:W3CDTF">2025-10-15T15:58:59Z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9F5318F3667A46229F8F196D64FD8D2A_13</vt:lpwstr>
  </property>
</Properties>
</file>