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notes.xml" ContentType="application/vnd.openxmlformats-officedocument.wordprocessingml.footnotes+xml"/>
  <Override PartName="/word/footer1.xml" ContentType="application/vnd.openxmlformats-officedocument.wordprocessingml.footer+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pBdr/>
        <w:spacing w:line="560" w:lineRule="exact"/>
        <w:ind/>
        <w:jc w:val="center"/>
        <w:rPr>
          <w:rFonts w:ascii="方正小标宋简体" w:hAnsi="仿宋" w:eastAsia="方正小标宋简体"/>
          <w:sz w:val="44"/>
          <w:szCs w:val="44"/>
        </w:rPr>
      </w:pPr>
      <w:r>
        <w:rPr>
          <w:rFonts w:hint="eastAsia" w:ascii="方正小标宋简体" w:hAnsi="仿宋" w:eastAsia="方正小标宋简体"/>
          <w:sz w:val="44"/>
          <w:szCs w:val="44"/>
        </w:rPr>
        <w:t xml:space="preserve">陶然亭街道201</w:t>
      </w:r>
      <w:r>
        <w:rPr>
          <w:rFonts w:ascii="方正小标宋简体" w:hAnsi="仿宋" w:eastAsia="方正小标宋简体"/>
          <w:sz w:val="44"/>
          <w:szCs w:val="44"/>
        </w:rPr>
        <w:t xml:space="preserve">9</w:t>
      </w:r>
      <w:r>
        <w:rPr>
          <w:rFonts w:hint="eastAsia" w:ascii="方正小标宋简体" w:hAnsi="仿宋" w:eastAsia="方正小标宋简体"/>
          <w:sz w:val="44"/>
          <w:szCs w:val="44"/>
        </w:rPr>
        <w:t xml:space="preserve">年度工作报告</w:t>
      </w:r>
      <w:r>
        <w:rPr>
          <w:rFonts w:ascii="方正小标宋简体" w:hAnsi="仿宋" w:eastAsia="方正小标宋简体"/>
          <w:sz w:val="44"/>
          <w:szCs w:val="44"/>
        </w:rPr>
      </w:r>
    </w:p>
    <w:p>
      <w:pPr>
        <w:pBdr/>
        <w:spacing w:line="560" w:lineRule="exact"/>
        <w:ind w:firstLine="640"/>
        <w:rPr>
          <w:rFonts w:ascii="仿宋_GB2312" w:eastAsia="仿宋_GB2312"/>
          <w:sz w:val="32"/>
          <w:szCs w:val="32"/>
        </w:rPr>
      </w:pPr>
      <w:r>
        <w:rPr>
          <w:rFonts w:hint="eastAsia" w:ascii="仿宋_GB2312" w:eastAsia="仿宋_GB2312"/>
          <w:sz w:val="32"/>
          <w:szCs w:val="32"/>
        </w:rPr>
        <w:t xml:space="preserve">201</w:t>
      </w:r>
      <w:r>
        <w:rPr>
          <w:rFonts w:hint="eastAsia" w:ascii="仿宋_GB2312" w:eastAsia="仿宋_GB2312"/>
          <w:sz w:val="32"/>
          <w:szCs w:val="32"/>
        </w:rPr>
        <w:t xml:space="preserve">9年是新中国成立70周年，是全面建成小康社会关键之年，大事多、喜事多，各项工作任务重、标准高、节奏快。在区委区政府的坚强领导下，陶然亭街道坚持以习近平新时代中国特色社会主义思想为指导，深入贯彻党的十九大和十九届二中、三中、四中全会精神，紧紧围绕庆祝新中国成立70周年这一主线，牢牢把握首都核心区战略定位，坚持民有所呼、我有所应，聚焦强党建、疏功能、提品质、治环境、增宜居、防风险、保稳定、惠民生、促和谐，以建设文明街道、活力街道、宜居街道、平安街道为目标，大力实施发展和管理转型，街道呈现新气象，工作取得新进展。</w:t>
      </w:r>
      <w:r>
        <w:rPr>
          <w:rFonts w:ascii="仿宋_GB2312" w:eastAsia="仿宋_GB2312"/>
          <w:sz w:val="32"/>
          <w:szCs w:val="32"/>
        </w:rPr>
      </w:r>
    </w:p>
    <w:p>
      <w:pPr>
        <w:pBdr/>
        <w:spacing w:line="560" w:lineRule="exact"/>
        <w:ind w:firstLine="640"/>
        <w:outlineLvl w:val="0"/>
        <w:rPr>
          <w:rFonts w:ascii="仿宋_GB2312" w:hAnsi="黑体" w:eastAsia="仿宋_GB2312" w:cs="Times New Roman"/>
          <w:sz w:val="32"/>
          <w:szCs w:val="32"/>
        </w:rPr>
      </w:pPr>
      <w:r>
        <w:rPr>
          <w:rFonts w:hint="eastAsia" w:ascii="黑体" w:hAnsi="黑体" w:eastAsia="黑体" w:cs="Times New Roman"/>
          <w:sz w:val="32"/>
          <w:szCs w:val="32"/>
        </w:rPr>
        <w:t xml:space="preserve">一、2019年工作回顾</w:t>
      </w:r>
      <w:r>
        <w:rPr>
          <w:rFonts w:ascii="仿宋_GB2312" w:hAnsi="黑体" w:eastAsia="仿宋_GB2312" w:cs="Times New Roman"/>
          <w:sz w:val="32"/>
          <w:szCs w:val="32"/>
        </w:rPr>
      </w:r>
    </w:p>
    <w:p>
      <w:pPr>
        <w:pBdr/>
        <w:spacing w:line="560" w:lineRule="exact"/>
        <w:ind/>
        <w:rPr>
          <w:rFonts w:ascii="黑体" w:hAnsi="黑体" w:eastAsia="黑体"/>
          <w:sz w:val="32"/>
          <w:szCs w:val="32"/>
        </w:rPr>
      </w:pPr>
      <w:r>
        <w:rPr>
          <w:rFonts w:hint="eastAsia" w:ascii="黑体" w:hAnsi="黑体" w:eastAsia="黑体"/>
          <w:sz w:val="32"/>
          <w:szCs w:val="32"/>
        </w:rPr>
        <w:t xml:space="preserve">　　（一）践行红墙意识，坚决维护区域和谐稳定</w:t>
      </w:r>
      <w:r>
        <w:rPr>
          <w:rFonts w:ascii="黑体" w:hAnsi="黑体" w:eastAsia="黑体"/>
          <w:sz w:val="32"/>
          <w:szCs w:val="32"/>
        </w:rPr>
      </w:r>
    </w:p>
    <w:p>
      <w:pPr>
        <w:pBdr/>
        <w:spacing w:line="560" w:lineRule="exact"/>
        <w:ind w:firstLine="645"/>
        <w:rPr>
          <w:rFonts w:ascii="仿宋_GB2312" w:eastAsia="仿宋_GB2312"/>
          <w:sz w:val="32"/>
          <w:szCs w:val="32"/>
        </w:rPr>
      </w:pPr>
      <w:r>
        <w:rPr>
          <w:rFonts w:hint="eastAsia" w:ascii="仿宋_GB2312" w:eastAsia="仿宋_GB2312"/>
          <w:b/>
          <w:sz w:val="32"/>
          <w:szCs w:val="32"/>
        </w:rPr>
        <w:t xml:space="preserve">重大活动服务保障更加坚实有力。</w:t>
      </w:r>
      <w:r>
        <w:rPr>
          <w:rFonts w:hint="eastAsia" w:ascii="仿宋_GB2312" w:eastAsia="仿宋_GB2312"/>
          <w:sz w:val="32"/>
          <w:szCs w:val="32"/>
        </w:rPr>
        <w:t xml:space="preserve">始终把维护首都核心区政治安全作为第一职责，坚持首善标准,按照“精精益求精、万万无一失”的要求, 建立重大活动服务保障指挥体系，选派</w:t>
      </w:r>
      <w:r>
        <w:rPr>
          <w:rFonts w:ascii="仿宋_GB2312" w:eastAsia="仿宋_GB2312"/>
          <w:sz w:val="32"/>
          <w:szCs w:val="32"/>
        </w:rPr>
        <w:t xml:space="preserve">114</w:t>
      </w:r>
      <w:r>
        <w:rPr>
          <w:rFonts w:hint="eastAsia" w:ascii="仿宋_GB2312" w:eastAsia="仿宋_GB2312"/>
          <w:sz w:val="32"/>
          <w:szCs w:val="32"/>
        </w:rPr>
        <w:t xml:space="preserve">名同志参加70周年群众游行联欢观礼活动，严格落实矛盾排查例会、处级领导接访、领导包案制度，强化情报研判，充分发挥反恐处突小分队、综合行政执法中心、平安志愿者、街巷保安等队伍的作用，共出动各类防控力量2万余人次，圆满完成庆祝新中国成立70周年、陶然亭公园国庆游园、第二届“一带一路”国际合作高峰论坛、2019年中国北京世界园艺博览会等重大活动安全维稳和服务保障工作。</w:t>
      </w:r>
      <w:r>
        <w:rPr>
          <w:rFonts w:ascii="仿宋_GB2312" w:eastAsia="仿宋_GB2312"/>
          <w:sz w:val="32"/>
          <w:szCs w:val="32"/>
        </w:rPr>
      </w:r>
    </w:p>
    <w:p>
      <w:pPr>
        <w:pBdr/>
        <w:spacing w:line="560" w:lineRule="exact"/>
        <w:ind w:firstLine="645"/>
        <w:rPr>
          <w:rFonts w:ascii="仿宋_GB2312" w:eastAsia="仿宋_GB2312"/>
          <w:sz w:val="32"/>
          <w:szCs w:val="32"/>
        </w:rPr>
      </w:pPr>
      <w:r>
        <w:rPr>
          <w:rFonts w:hint="eastAsia" w:ascii="仿宋_GB2312" w:eastAsia="仿宋_GB2312"/>
          <w:b/>
          <w:sz w:val="32"/>
          <w:szCs w:val="32"/>
        </w:rPr>
        <w:t xml:space="preserve">地区公共安全网织补更加牢固。</w:t>
      </w:r>
      <w:r>
        <w:rPr>
          <w:rFonts w:hint="eastAsia" w:ascii="仿宋_GB2312" w:eastAsia="仿宋_GB2312"/>
          <w:sz w:val="32"/>
          <w:szCs w:val="32"/>
        </w:rPr>
        <w:t xml:space="preserve">着力补齐短板、堵塞漏洞、消除隐患，编织全方位、立体化的公共安全网。建立健全应急值守制度，强化突发事件现场指挥调度。严格落实安全生产属地责任，加大安全生产执法力度，建立社区巡查员与检查队隐患协办制度，全年共出动检查人员8800人次，发现并整改一般隐患7254次，季度检查覆盖率达100%。对液化气居民用户开展全面排查，为</w:t>
      </w:r>
      <w:r>
        <w:rPr>
          <w:rFonts w:ascii="仿宋_GB2312" w:eastAsia="仿宋_GB2312"/>
          <w:sz w:val="32"/>
          <w:szCs w:val="32"/>
        </w:rPr>
        <w:t xml:space="preserve">1589</w:t>
      </w:r>
      <w:r>
        <w:rPr>
          <w:rFonts w:hint="eastAsia" w:ascii="仿宋_GB2312" w:eastAsia="仿宋_GB2312"/>
          <w:sz w:val="32"/>
          <w:szCs w:val="32"/>
        </w:rPr>
        <w:t xml:space="preserve">户居民更换安全减压阀、燃气胶管。以四平园消防站为基地，着力构建老旧小区、平房院落、重点单位立体化消防应急救援体系，为居民楼配备备灭火器、灭火毯350套，安装电动自行车集中充电柜14台，检测维修灭火器3878具。</w:t>
      </w:r>
      <w:r>
        <w:rPr>
          <w:rFonts w:ascii="仿宋_GB2312" w:eastAsia="仿宋_GB2312"/>
          <w:sz w:val="32"/>
          <w:szCs w:val="32"/>
        </w:rPr>
      </w:r>
    </w:p>
    <w:p>
      <w:pPr>
        <w:pBdr/>
        <w:spacing w:line="560" w:lineRule="exact"/>
        <w:ind/>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b/>
          <w:sz w:val="32"/>
          <w:szCs w:val="32"/>
        </w:rPr>
        <w:t xml:space="preserve">“平安陶然”建设更加深入扎实。</w:t>
      </w:r>
      <w:r>
        <w:rPr>
          <w:rFonts w:hint="eastAsia" w:ascii="仿宋_GB2312" w:eastAsia="仿宋_GB2312"/>
          <w:sz w:val="32"/>
          <w:szCs w:val="32"/>
        </w:rPr>
        <w:t xml:space="preserve">持续推进“雪亮工程”，新建高清摄像头</w:t>
      </w:r>
      <w:r>
        <w:rPr>
          <w:rFonts w:ascii="仿宋_GB2312" w:eastAsia="仿宋_GB2312"/>
          <w:sz w:val="32"/>
          <w:szCs w:val="32"/>
        </w:rPr>
        <w:t xml:space="preserve">107</w:t>
      </w:r>
      <w:r>
        <w:rPr>
          <w:rFonts w:hint="eastAsia" w:ascii="仿宋_GB2312" w:eastAsia="仿宋_GB2312"/>
          <w:sz w:val="32"/>
          <w:szCs w:val="32"/>
        </w:rPr>
        <w:t xml:space="preserve">个，实现地区重点点位摄像监控全覆盖。充分发挥“西城大妈”等群防群治力量作用，实行多层次、差异化、全覆盖技能培训，强化信息发现和收集能力。扎实做好矫正帮教工作，提高预防和化解社会矛盾的能力和水平。深入开展扫黑除恶专项斗争，对重点领域、群体开展“问题”和“苗头”的双重梳理和摸排，制定线索流转机制，确保打击摸排全方位、无死角。目前，陶然亭地区未发现涉黑涉恶线索。</w:t>
      </w:r>
      <w:r>
        <w:rPr>
          <w:rFonts w:ascii="仿宋_GB2312" w:eastAsia="仿宋_GB2312"/>
          <w:sz w:val="32"/>
          <w:szCs w:val="32"/>
        </w:rPr>
      </w:r>
    </w:p>
    <w:p>
      <w:pPr>
        <w:pBdr/>
        <w:spacing w:line="560" w:lineRule="exact"/>
        <w:ind/>
        <w:rPr>
          <w:rFonts w:ascii="黑体" w:hAnsi="黑体" w:eastAsia="黑体"/>
          <w:sz w:val="32"/>
          <w:szCs w:val="32"/>
        </w:rPr>
      </w:pPr>
      <w:r>
        <w:rPr>
          <w:rFonts w:hint="eastAsia" w:ascii="仿宋_GB2312" w:eastAsia="仿宋_GB2312"/>
          <w:sz w:val="32"/>
          <w:szCs w:val="32"/>
        </w:rPr>
        <w:t xml:space="preserve">     </w:t>
      </w:r>
      <w:r>
        <w:rPr>
          <w:rFonts w:hint="eastAsia" w:ascii="黑体" w:hAnsi="黑体" w:eastAsia="黑体"/>
          <w:sz w:val="32"/>
          <w:szCs w:val="32"/>
        </w:rPr>
        <w:t xml:space="preserve">（二）树牢全面精细理念，城市品质和人居环境持续提升</w:t>
      </w:r>
      <w:r>
        <w:rPr>
          <w:rFonts w:ascii="黑体" w:hAnsi="黑体" w:eastAsia="黑体"/>
          <w:sz w:val="32"/>
          <w:szCs w:val="32"/>
        </w:rPr>
      </w:r>
    </w:p>
    <w:p>
      <w:pPr>
        <w:pBdr/>
        <w:spacing w:line="560" w:lineRule="exact"/>
        <w:ind w:firstLine="645"/>
        <w:rPr>
          <w:rFonts w:ascii="仿宋_GB2312" w:eastAsia="仿宋_GB2312"/>
          <w:sz w:val="32"/>
          <w:szCs w:val="32"/>
        </w:rPr>
      </w:pPr>
      <w:r>
        <w:rPr>
          <w:rFonts w:hint="eastAsia" w:ascii="仿宋_GB2312" w:eastAsia="仿宋_GB2312"/>
          <w:b/>
          <w:sz w:val="32"/>
          <w:szCs w:val="32"/>
        </w:rPr>
        <w:t xml:space="preserve">“疏整促”专项行动与街区更新同步深化。</w:t>
      </w:r>
      <w:r>
        <w:rPr>
          <w:rFonts w:hint="eastAsia" w:ascii="仿宋_GB2312" w:eastAsia="仿宋_GB2312"/>
          <w:sz w:val="32"/>
          <w:szCs w:val="32"/>
        </w:rPr>
        <w:t xml:space="preserve">紧紧抓住疏解北京非首都功能这个“牛鼻子”，以更大力度推动各项工作，拆除各类违法建设92处5082.92平方米，整治开墙打洞封堵后防反弹2户,</w:t>
      </w:r>
      <w:r>
        <w:rPr>
          <w:rFonts w:hint="eastAsia"/>
        </w:rPr>
        <w:t xml:space="preserve"> </w:t>
      </w:r>
      <w:r>
        <w:rPr>
          <w:rFonts w:hint="eastAsia" w:ascii="仿宋_GB2312" w:eastAsia="仿宋_GB2312"/>
          <w:sz w:val="32"/>
          <w:szCs w:val="32"/>
        </w:rPr>
        <w:t xml:space="preserve">清理僵尸车7辆，均实现台账动态清零，全年累计影响人口变动1432人次，全面完成年度疏解任务。利用地下腾退空间建设街道安全宣教中心、文体中心拓展特色文化空间，南华里</w:t>
      </w:r>
      <w:r>
        <w:rPr>
          <w:rFonts w:hint="eastAsia" w:ascii="仿宋_GB2312" w:eastAsia="仿宋_GB2312"/>
          <w:sz w:val="32"/>
          <w:szCs w:val="32"/>
        </w:rPr>
        <w:t xml:space="preserve">小区地下空间利用率达到83%。下足绣花功夫精细治理背街小巷，5条街巷通过市级验收，达到“十有十无”标准，实现零的突破，20条街巷申请达标在途，坚持街巷长制和街巷例会制度，动员46名街巷长认真履职，采取现场竞演方式更换3家服务单位提高“准物业”服务管理水平。扎实推进街区更新，落实责任规划师工作，建设街区更新展示中心展现地区历史文化和治理成效，完成南横东街步道优化、三圣庵南门周边景观提升，建设黑窑厂街地书微公园，优化双柳树胡同停车布局，改造南横东街非机动车车道，规范黑窑厂东街停车秩序，实现南横东街街区精彩亮相。</w:t>
      </w:r>
      <w:r>
        <w:rPr>
          <w:rFonts w:ascii="仿宋_GB2312" w:eastAsia="仿宋_GB2312"/>
          <w:sz w:val="32"/>
          <w:szCs w:val="32"/>
        </w:rPr>
      </w:r>
    </w:p>
    <w:p>
      <w:pPr>
        <w:pBdr/>
        <w:spacing w:line="560" w:lineRule="exact"/>
        <w:ind w:firstLine="645"/>
        <w:rPr>
          <w:rFonts w:ascii="仿宋_GB2312" w:hAnsi="黑体" w:eastAsia="仿宋_GB2312"/>
          <w:sz w:val="32"/>
          <w:szCs w:val="32"/>
        </w:rPr>
      </w:pPr>
      <w:r>
        <w:rPr>
          <w:rFonts w:hint="eastAsia" w:ascii="仿宋_GB2312" w:eastAsia="仿宋_GB2312"/>
          <w:b/>
          <w:sz w:val="32"/>
          <w:szCs w:val="32"/>
        </w:rPr>
        <w:t xml:space="preserve">打造天蓝水清地绿宜居环境。</w:t>
      </w:r>
      <w:r>
        <w:rPr>
          <w:rFonts w:hint="eastAsia" w:ascii="仿宋_GB2312" w:eastAsia="仿宋_GB2312"/>
          <w:sz w:val="32"/>
          <w:szCs w:val="32"/>
        </w:rPr>
        <w:t xml:space="preserve">深化“一微克行动”，多措并举控制扬尘污染，重点治理裸露地面，完成药监局、电力博物馆等4处工地近7300余平米绿化覆盖和10处裸地苫盖，建设小微绿地</w:t>
      </w:r>
      <w:r>
        <w:rPr>
          <w:rFonts w:ascii="仿宋_GB2312" w:eastAsia="仿宋_GB2312"/>
          <w:sz w:val="32"/>
          <w:szCs w:val="32"/>
        </w:rPr>
        <w:t xml:space="preserve">16</w:t>
      </w:r>
      <w:r>
        <w:rPr>
          <w:rFonts w:hint="eastAsia" w:ascii="仿宋_GB2312" w:eastAsia="仿宋_GB2312"/>
          <w:sz w:val="32"/>
          <w:szCs w:val="32"/>
        </w:rPr>
        <w:t xml:space="preserve">处</w:t>
      </w:r>
      <w:r>
        <w:rPr>
          <w:rFonts w:ascii="仿宋_GB2312" w:eastAsia="仿宋_GB2312"/>
          <w:sz w:val="32"/>
          <w:szCs w:val="32"/>
        </w:rPr>
        <w:t xml:space="preserve">1200</w:t>
      </w:r>
      <w:r>
        <w:rPr>
          <w:rFonts w:hint="eastAsia" w:ascii="仿宋_GB2312" w:eastAsia="仿宋_GB2312"/>
          <w:sz w:val="32"/>
          <w:szCs w:val="32"/>
        </w:rPr>
        <w:t xml:space="preserve">余平方米。强化日常执法检查，将扬尘管控纳入街巷、网格管理清单，全年累计出动执法人员2000余人次，整改隐患100余处次，保持污染源管控高压态势。深入落实河长制，</w:t>
      </w:r>
      <w:r>
        <w:rPr>
          <w:rFonts w:hint="eastAsia" w:ascii="仿宋_GB2312" w:hAnsi="黑体" w:eastAsia="仿宋_GB2312"/>
          <w:sz w:val="32"/>
          <w:szCs w:val="32"/>
        </w:rPr>
        <w:t xml:space="preserve">建立“一河一档”，开展联合执法20余次，河长巡</w:t>
      </w:r>
      <w:r>
        <w:rPr>
          <w:rFonts w:hint="eastAsia" w:ascii="仿宋_GB2312" w:eastAsia="仿宋_GB2312"/>
          <w:sz w:val="32"/>
          <w:szCs w:val="32"/>
        </w:rPr>
        <w:t xml:space="preserve">查292次827公里。201</w:t>
      </w:r>
      <w:r>
        <w:rPr>
          <w:rFonts w:hint="eastAsia" w:ascii="仿宋_GB2312" w:hAnsi="黑体" w:eastAsia="仿宋_GB2312"/>
          <w:sz w:val="32"/>
          <w:szCs w:val="32"/>
        </w:rPr>
        <w:t xml:space="preserve">9年前10月，地区PM2.5累计浓度为46微克/立方米、TSP累计浓度为121微克/立方，均在西城区排名前列。</w:t>
      </w:r>
      <w:r>
        <w:rPr>
          <w:rFonts w:ascii="仿宋_GB2312" w:hAnsi="黑体" w:eastAsia="仿宋_GB2312"/>
          <w:sz w:val="32"/>
          <w:szCs w:val="32"/>
        </w:rPr>
      </w:r>
    </w:p>
    <w:p>
      <w:pPr>
        <w:pBdr/>
        <w:spacing w:line="560" w:lineRule="exact"/>
        <w:ind w:firstLine="645"/>
        <w:rPr>
          <w:rFonts w:ascii="仿宋_GB2312" w:eastAsia="仿宋_GB2312"/>
          <w:sz w:val="32"/>
          <w:szCs w:val="32"/>
        </w:rPr>
      </w:pPr>
      <w:r>
        <w:rPr>
          <w:rFonts w:hint="eastAsia" w:ascii="仿宋_GB2312" w:eastAsia="仿宋_GB2312"/>
          <w:b/>
          <w:sz w:val="32"/>
          <w:szCs w:val="32"/>
        </w:rPr>
        <w:t xml:space="preserve"> 全力保障城市有序运行。</w:t>
      </w:r>
      <w:r>
        <w:rPr>
          <w:rFonts w:hint="eastAsia" w:ascii="仿宋_GB2312" w:eastAsia="仿宋_GB2312"/>
          <w:sz w:val="32"/>
          <w:szCs w:val="32"/>
        </w:rPr>
        <w:t xml:space="preserve">推行城市运行频度</w:t>
      </w:r>
      <w:r>
        <w:rPr>
          <w:rFonts w:hint="eastAsia" w:ascii="仿宋_GB2312" w:eastAsia="仿宋_GB2312"/>
          <w:sz w:val="32"/>
          <w:szCs w:val="32"/>
        </w:rPr>
        <w:t xml:space="preserve">目标管理，建立城市部件和老旧小区应急机制并有效运转，成立抢修应急队，确保水、电、气故障第一时间响应，整合网格员、社区工作者、协管员、准物业管理人员等基层治理力量，构建以街巷长和社区党委为轴心的居民区问题主动治理机制。健全防汛指挥体系，组建791人的防汛抢险队伍，发放防汛工作手册，完成6处低洼院落排水改造和房屋加固，汛期处理各类险情74起。强化科技支撑，完成街道大数据分中心二期建设，实现政务大厅叫号机、自动气象站、交通流量分析仪等物联网设备的融合，通过信息整合、数据研判，对城市管理进行全面感知，提高预警能力。</w:t>
      </w:r>
      <w:r>
        <w:rPr>
          <w:rFonts w:ascii="仿宋_GB2312" w:eastAsia="仿宋_GB2312"/>
          <w:sz w:val="32"/>
          <w:szCs w:val="32"/>
        </w:rPr>
      </w:r>
    </w:p>
    <w:p>
      <w:pPr>
        <w:pBdr/>
        <w:spacing w:line="560" w:lineRule="exact"/>
        <w:ind w:firstLine="645"/>
        <w:rPr>
          <w:rFonts w:ascii="仿宋_GB2312" w:eastAsia="仿宋_GB2312"/>
          <w:sz w:val="32"/>
          <w:szCs w:val="32"/>
        </w:rPr>
      </w:pPr>
      <w:r>
        <w:rPr>
          <w:rFonts w:hint="eastAsia" w:ascii="仿宋_GB2312" w:eastAsia="仿宋_GB2312"/>
          <w:b/>
          <w:sz w:val="32"/>
          <w:szCs w:val="32"/>
        </w:rPr>
        <w:t xml:space="preserve">积极改善环境秩序。</w:t>
      </w:r>
      <w:r>
        <w:rPr>
          <w:rFonts w:hint="eastAsia" w:ascii="仿宋_GB2312" w:eastAsia="仿宋_GB2312"/>
          <w:sz w:val="32"/>
          <w:szCs w:val="32"/>
        </w:rPr>
        <w:t xml:space="preserve">切实推动四平园综合改造，深入开展入户需求调查，按照“同意一楼、表决一楼、施工一楼、服务一楼”的原则有序推进施工。多措并举缓解停车难题，拆除地桩地锁558个；完成5条道路的路侧电子停车改革，提供停车位380个，为337名居民办理路侧停车认证；成功试点居民自治停车，有效施划自治停车位218个，实现了龙泉社区停车由无偿无序向低偿有序的转变。深入开展月末清洁日和病媒防治，圆满完成国家卫生区复审。积极推进垃圾分类工作，在畅柳园小区试点投放智能垃圾桶，建立垃圾分类积分兑换系统，引导居民参与垃圾分类习惯养成。</w:t>
      </w:r>
      <w:r>
        <w:rPr>
          <w:rFonts w:ascii="仿宋_GB2312" w:eastAsia="仿宋_GB2312"/>
          <w:sz w:val="32"/>
          <w:szCs w:val="32"/>
        </w:rPr>
      </w:r>
    </w:p>
    <w:p>
      <w:pPr>
        <w:pBdr/>
        <w:spacing w:line="560" w:lineRule="exact"/>
        <w:ind w:firstLine="645"/>
        <w:rPr>
          <w:rFonts w:ascii="黑体" w:hAnsi="黑体" w:eastAsia="黑体"/>
          <w:sz w:val="32"/>
          <w:szCs w:val="32"/>
        </w:rPr>
      </w:pPr>
      <w:r>
        <w:rPr>
          <w:rFonts w:hint="eastAsia" w:ascii="黑体" w:hAnsi="黑体" w:eastAsia="黑体"/>
          <w:sz w:val="32"/>
          <w:szCs w:val="32"/>
        </w:rPr>
        <w:t xml:space="preserve">（三）坚持民呼我应，精准对接群众需求</w:t>
      </w:r>
      <w:r>
        <w:rPr>
          <w:rFonts w:ascii="黑体" w:hAnsi="黑体" w:eastAsia="黑体"/>
          <w:sz w:val="32"/>
          <w:szCs w:val="32"/>
        </w:rPr>
      </w:r>
    </w:p>
    <w:p>
      <w:pPr>
        <w:pBdr/>
        <w:spacing w:line="560" w:lineRule="exact"/>
        <w:ind w:firstLine="645"/>
        <w:rPr>
          <w:rFonts w:ascii="仿宋_GB2312" w:hAnsi="仿宋_GB2312" w:eastAsia="仿宋_GB2312" w:cs="仿宋_GB2312"/>
          <w:sz w:val="32"/>
          <w:szCs w:val="32"/>
        </w:rPr>
      </w:pPr>
      <w:r>
        <w:rPr>
          <w:rFonts w:hint="eastAsia" w:ascii="仿宋_GB2312" w:hAnsi="黑体" w:eastAsia="仿宋_GB2312"/>
          <w:b/>
          <w:sz w:val="32"/>
          <w:szCs w:val="32"/>
        </w:rPr>
        <w:t xml:space="preserve">服务群众机制更加完善。</w:t>
      </w:r>
      <w:r>
        <w:rPr>
          <w:rFonts w:hint="eastAsia" w:ascii="仿宋_GB2312" w:hAnsi="黑体" w:eastAsia="仿宋_GB2312"/>
          <w:sz w:val="32"/>
          <w:szCs w:val="32"/>
        </w:rPr>
        <w:t xml:space="preserve">坚持群众诉求就是哨声，把12345市民服务热线“接诉即办”作为“一把手”工程，结合“吹哨报到”制度，打通为民服务“最后一公里”。</w:t>
      </w:r>
      <w:r>
        <w:rPr>
          <w:rFonts w:hint="eastAsia" w:ascii="仿宋_GB2312" w:hAnsi="黑体" w:eastAsia="仿宋_GB2312"/>
          <w:sz w:val="32"/>
          <w:szCs w:val="32"/>
        </w:rPr>
        <w:t xml:space="preserve">建立7×24小时全天候值守工作机制，探索形成“三四五六七”工作法，坚持闻风而动、接诉即办，前往大兴区为低保人员上门服务，综合治理高家寨渣土堆积、围墙破损等历史遗留问题，及时消除南华东街的跳蚤滋扰和双柳树胡同的老鼠隐患、抢修骡马市大街的道路和井盖破损。前11个月，街道共收到各类群众诉求1984件，响应率100%，平均解决率85.6%、平均满意率90.55%。街道围绕老旧小区物业管理、停车难等热线反映集中的问题采取了一系列举措，拆除畅柳园、黑窑厂西里、红土店小区内地锁558个。对畅柳园小区环境脏乱开展集中整治，</w:t>
      </w:r>
      <w:r>
        <w:rPr>
          <w:rFonts w:hint="eastAsia" w:ascii="仿宋_GB2312" w:hAnsi="仿宋_GB2312" w:eastAsia="仿宋_GB2312" w:cs="仿宋_GB2312"/>
          <w:sz w:val="32"/>
          <w:szCs w:val="32"/>
        </w:rPr>
        <w:t xml:space="preserve">补植提升近3000平方米绿地，开辟4处大件废弃物集中置物区，建立居民主动投放、物业随时归集、定时定点消纳的清运模式，实现垃圾不落地。打造“畅‘留’家园”党建品牌，充分发挥基层党组织的政治引领，组建社区志愿服务队，设立社区文明公约，引导居民自治。</w:t>
      </w:r>
      <w:r>
        <w:rPr>
          <w:rFonts w:ascii="仿宋_GB2312" w:hAnsi="仿宋_GB2312" w:eastAsia="仿宋_GB2312" w:cs="仿宋_GB2312"/>
          <w:sz w:val="32"/>
          <w:szCs w:val="32"/>
        </w:rPr>
      </w:r>
    </w:p>
    <w:p>
      <w:pPr>
        <w:pBdr/>
        <w:spacing w:line="560" w:lineRule="exact"/>
        <w:ind w:firstLine="645"/>
        <w:rPr>
          <w:rFonts w:ascii="仿宋_GB2312" w:hAnsi="黑体" w:eastAsia="仿宋_GB2312"/>
          <w:sz w:val="32"/>
          <w:szCs w:val="32"/>
        </w:rPr>
      </w:pPr>
      <w:r>
        <w:rPr>
          <w:rFonts w:hint="eastAsia" w:ascii="仿宋_GB2312" w:hAnsi="黑体" w:eastAsia="仿宋_GB2312"/>
          <w:b/>
          <w:sz w:val="32"/>
          <w:szCs w:val="32"/>
        </w:rPr>
        <w:t xml:space="preserve">民生保障持续发力。</w:t>
      </w:r>
      <w:r>
        <w:rPr>
          <w:rFonts w:hint="eastAsia" w:ascii="仿宋_GB2312" w:hAnsi="黑体" w:eastAsia="仿宋_GB2312"/>
          <w:sz w:val="32"/>
          <w:szCs w:val="32"/>
          <w:lang w:val="en-US" w:eastAsia="zh-CN"/>
        </w:rPr>
        <w:t xml:space="preserve">低洼院落改造、中信城集中绿地建设、便民停车处开放等10项为民办实事项目全部完成。兜牢民生底线，</w:t>
      </w:r>
      <w:r>
        <w:rPr>
          <w:rFonts w:hint="eastAsia" w:ascii="仿宋_GB2312" w:hAnsi="黑体" w:eastAsia="仿宋_GB2312"/>
          <w:sz w:val="32"/>
          <w:szCs w:val="32"/>
        </w:rPr>
        <w:t xml:space="preserve">发放补贴、救助金1780余万。提升就业服务质量，实现就业526人，“零就业家庭”动态清零。继续扩充养老服务设施，规范三家养老服务驿站运营，完成街道养老院改造，引入一家商业养老院恒颐复健之家，满足地区各类养老需求，建立地区高龄空巢独居老人动态数据库，探索建立“家庭养老床位”智能服务模式，</w:t>
      </w:r>
      <w:r>
        <w:rPr>
          <w:rFonts w:ascii="仿宋_GB2312" w:hAnsi="黑体" w:eastAsia="仿宋_GB2312"/>
          <w:sz w:val="32"/>
          <w:szCs w:val="32"/>
        </w:rPr>
        <w:t xml:space="preserve">17</w:t>
      </w:r>
      <w:r>
        <w:rPr>
          <w:rFonts w:hint="eastAsia" w:ascii="仿宋_GB2312" w:hAnsi="黑体" w:eastAsia="仿宋_GB2312"/>
          <w:sz w:val="32"/>
          <w:szCs w:val="32"/>
        </w:rPr>
        <w:t xml:space="preserve">名养老顾问上岗服务，为地区7名特困供养老人提供上门照料。以社会力量托管方式开展温馨家园综合改革工作，以此为阵地帮助照料地区残疾人，组织开展各类康复、培训活动。</w:t>
      </w:r>
      <w:r>
        <w:rPr>
          <w:rFonts w:ascii="仿宋_GB2312" w:hAnsi="黑体" w:eastAsia="仿宋_GB2312"/>
          <w:sz w:val="32"/>
          <w:szCs w:val="32"/>
        </w:rPr>
      </w:r>
    </w:p>
    <w:p>
      <w:pPr>
        <w:pBdr/>
        <w:spacing w:line="560" w:lineRule="exact"/>
        <w:ind w:firstLine="645"/>
        <w:rPr>
          <w:rFonts w:ascii="仿宋_GB2312" w:hAnsi="黑体" w:eastAsia="仿宋_GB2312"/>
          <w:sz w:val="32"/>
          <w:szCs w:val="32"/>
        </w:rPr>
      </w:pPr>
      <w:r>
        <w:rPr>
          <w:rFonts w:hint="eastAsia" w:ascii="仿宋_GB2312" w:hAnsi="黑体" w:eastAsia="仿宋_GB2312"/>
          <w:b/>
          <w:sz w:val="32"/>
          <w:szCs w:val="32"/>
        </w:rPr>
        <w:t xml:space="preserve">地区软实力继续增强。</w:t>
      </w:r>
      <w:r>
        <w:rPr>
          <w:rFonts w:hint="eastAsia" w:ascii="仿宋_GB2312" w:hAnsi="黑体" w:eastAsia="仿宋_GB2312"/>
          <w:sz w:val="32"/>
          <w:szCs w:val="32"/>
        </w:rPr>
        <w:t xml:space="preserve">紧紧围绕庆祝新中国成立70周年，开展“一书一展演一宣讲”活动，编辑出版《见证共和国》一书，记录70位陶然榜样砥砺奋进的感人事迹，举办“情满七十载，聚力陶然梦”主题宣讲、风采展示，感知</w:t>
      </w:r>
      <w:r>
        <w:rPr>
          <w:rFonts w:hint="eastAsia" w:ascii="仿宋_GB2312" w:hAnsi="黑体" w:eastAsia="仿宋_GB2312"/>
          <w:sz w:val="32"/>
          <w:szCs w:val="32"/>
        </w:rPr>
        <w:t xml:space="preserve">深沉的爱国情怀。大力推进新时代文明实践建设，发放“陶然十个文明”倡议书，开展文明创建活动150余次。着力办好《陶然之窗》报和“京华陶然”微信公众号，在《北京青年报》等媒体报道街道工作85篇。持续丰富居民文化活动，建设街道图书馆、打造文体中心，为居民提供阅读、健身、儿童游乐等功能空间；开展海峡两岸地书爱好者交流活动，深化“陶然地书”品牌影响力；举办“六德陶然娃”评选、地区运动会、地区合唱比赛、非遗进社区、清明诗会等特色活动，满足居民日益增长的精神文化需求。有序发展地区教育事业，成立西城区首个联合学区理事会——</w:t>
      </w:r>
      <w:r>
        <w:rPr>
          <w:rFonts w:hint="eastAsia" w:ascii="仿宋" w:hAnsi="仿宋" w:eastAsia="仿宋"/>
          <w:color w:val="000000"/>
          <w:sz w:val="32"/>
          <w:szCs w:val="32"/>
        </w:rPr>
        <w:t xml:space="preserve">陶白学区理事会，引导34家单位72项教育资源开放共享，腾退龙泉社区图书馆交还陶然亭小学，增加学位110个。</w:t>
      </w:r>
      <w:r>
        <w:rPr>
          <w:rFonts w:ascii="仿宋_GB2312" w:hAnsi="黑体" w:eastAsia="仿宋_GB2312"/>
          <w:sz w:val="32"/>
          <w:szCs w:val="32"/>
        </w:rPr>
      </w:r>
    </w:p>
    <w:p>
      <w:pPr>
        <w:pBdr/>
        <w:spacing w:line="560" w:lineRule="exact"/>
        <w:ind w:firstLine="645"/>
        <w:rPr>
          <w:rFonts w:ascii="仿宋_GB2312" w:hAnsi="黑体" w:eastAsia="仿宋_GB2312"/>
          <w:sz w:val="32"/>
          <w:szCs w:val="32"/>
        </w:rPr>
      </w:pPr>
      <w:r>
        <w:rPr>
          <w:rFonts w:hint="eastAsia" w:ascii="仿宋_GB2312" w:hAnsi="黑体" w:eastAsia="仿宋_GB2312"/>
          <w:b/>
          <w:sz w:val="32"/>
          <w:szCs w:val="32"/>
        </w:rPr>
        <w:t xml:space="preserve">公共服务水平全面提升。</w:t>
      </w:r>
      <w:r>
        <w:rPr>
          <w:rFonts w:hint="eastAsia" w:ascii="仿宋" w:hAnsi="仿宋" w:eastAsia="仿宋"/>
          <w:color w:val="000000"/>
          <w:sz w:val="32"/>
          <w:szCs w:val="32"/>
        </w:rPr>
        <w:t xml:space="preserve">完成街</w:t>
      </w:r>
      <w:r>
        <w:rPr>
          <w:rFonts w:hint="eastAsia" w:ascii="仿宋_GB2312" w:hAnsi="黑体" w:eastAsia="仿宋_GB2312"/>
          <w:sz w:val="32"/>
          <w:szCs w:val="32"/>
        </w:rPr>
        <w:t xml:space="preserve">道公共服务大厅改造，设置24小时自</w:t>
      </w:r>
      <w:r>
        <w:rPr>
          <w:rFonts w:hint="eastAsia" w:ascii="仿宋_GB2312" w:hAnsi="黑体" w:eastAsia="仿宋_GB2312"/>
          <w:sz w:val="32"/>
          <w:szCs w:val="32"/>
        </w:rPr>
        <w:t xml:space="preserve">助服务区、无障碍设施提高办事便利化水平，进一步梳理服务事项，优化服务流程，做到前台接待服务、后台审核处理无缝衔接，实现周六不打烊、中午不打烊，为居民办事提供便利。提升4个百姓生活服务中心服务质量，建成2个“小物超市”，满足老百姓“家门口”的需求。有效推动网格化实体运行，组建30人的专业网格员队伍对地区85个网格的城市部件、城市环境、城市秩序进行重点巡查、及时处置，力求达到“小事不出社区，大事不出街道”的目标。整合5类12项公共服务，汇聚48条信息，编制发放市民服务卡2.3万张，将政策和便民服务送到居民身边。</w:t>
      </w:r>
      <w:r>
        <w:rPr>
          <w:rFonts w:ascii="仿宋_GB2312" w:hAnsi="黑体" w:eastAsia="仿宋_GB2312"/>
          <w:sz w:val="32"/>
          <w:szCs w:val="32"/>
        </w:rPr>
      </w:r>
    </w:p>
    <w:p>
      <w:pPr>
        <w:pBdr/>
        <w:spacing w:line="560" w:lineRule="exact"/>
        <w:ind w:firstLine="645"/>
        <w:rPr>
          <w:rFonts w:ascii="黑体" w:hAnsi="黑体" w:eastAsia="黑体"/>
          <w:sz w:val="32"/>
          <w:szCs w:val="32"/>
        </w:rPr>
      </w:pPr>
      <w:r>
        <w:rPr>
          <w:rFonts w:hint="eastAsia" w:ascii="黑体" w:hAnsi="黑体" w:eastAsia="黑体"/>
          <w:sz w:val="32"/>
          <w:szCs w:val="32"/>
        </w:rPr>
        <w:t xml:space="preserve">（四）注重共建共治共享，持续深化社会治理新格局</w:t>
      </w:r>
      <w:r>
        <w:rPr>
          <w:rFonts w:ascii="黑体" w:hAnsi="黑体" w:eastAsia="黑体"/>
          <w:sz w:val="32"/>
          <w:szCs w:val="32"/>
        </w:rPr>
      </w:r>
    </w:p>
    <w:p>
      <w:pPr>
        <w:pBdr/>
        <w:spacing w:line="560" w:lineRule="exact"/>
        <w:ind w:firstLine="645"/>
        <w:rPr>
          <w:rFonts w:ascii="仿宋_GB2312" w:hAnsi="黑体" w:eastAsia="仿宋_GB2312"/>
          <w:sz w:val="32"/>
          <w:szCs w:val="32"/>
        </w:rPr>
      </w:pPr>
      <w:r>
        <w:rPr>
          <w:rFonts w:hint="eastAsia" w:ascii="仿宋_GB2312" w:hAnsi="黑体" w:eastAsia="仿宋_GB2312"/>
          <w:b/>
          <w:sz w:val="32"/>
          <w:szCs w:val="32"/>
        </w:rPr>
        <w:t xml:space="preserve">党建引领社区治理创新。</w:t>
      </w:r>
      <w:r>
        <w:rPr>
          <w:rFonts w:hint="eastAsia" w:ascii="仿宋_GB2312" w:hAnsi="黑体" w:eastAsia="仿宋_GB2312"/>
          <w:sz w:val="32"/>
          <w:szCs w:val="32"/>
        </w:rPr>
        <w:t xml:space="preserve">积极探索党建引领社会治理下老旧小区物业、停车自治、业主权益保护等问题的解决之道。指导壹瓶业委会成立，组建南华里社区志愿服务队，打造“红˙龢”“畅‘留’家园”等党建品牌，充分发挥居委会、业委会、共建单位、物业公司等各领域党组织的政治引领、治理引领作用，引导居民共商“家情”、共议“家事”、共建“家园”，通过“党领民治”，推动实现基层社会治理创新。</w:t>
      </w:r>
      <w:r>
        <w:rPr>
          <w:rFonts w:ascii="仿宋_GB2312" w:hAnsi="黑体" w:eastAsia="仿宋_GB2312"/>
          <w:sz w:val="32"/>
          <w:szCs w:val="32"/>
        </w:rPr>
      </w:r>
    </w:p>
    <w:p>
      <w:pPr>
        <w:pBdr/>
        <w:spacing w:line="560" w:lineRule="exact"/>
        <w:ind w:firstLine="645"/>
        <w:rPr>
          <w:rFonts w:ascii="仿宋_GB2312" w:hAnsi="黑体" w:eastAsia="仿宋_GB2312"/>
          <w:sz w:val="32"/>
          <w:szCs w:val="32"/>
        </w:rPr>
      </w:pPr>
      <w:r>
        <w:rPr>
          <w:rFonts w:hint="eastAsia" w:ascii="仿宋_GB2312" w:hAnsi="黑体" w:eastAsia="仿宋_GB2312"/>
          <w:b/>
          <w:sz w:val="32"/>
          <w:szCs w:val="32"/>
        </w:rPr>
        <w:t xml:space="preserve">社区治理能力不断提升。</w:t>
      </w:r>
      <w:r>
        <w:rPr>
          <w:rFonts w:hint="eastAsia" w:ascii="仿宋_GB2312" w:hAnsi="黑体" w:eastAsia="仿宋_GB2312"/>
          <w:sz w:val="32"/>
          <w:szCs w:val="32"/>
        </w:rPr>
        <w:t xml:space="preserve">圆满完成社区“两委</w:t>
      </w:r>
      <w:r>
        <w:rPr>
          <w:rFonts w:hint="eastAsia" w:ascii="仿宋_GB2312" w:hAnsi="黑体" w:eastAsia="仿宋_GB2312"/>
          <w:sz w:val="32"/>
          <w:szCs w:val="32"/>
        </w:rPr>
        <w:t xml:space="preserve">”换届工作，依法选举产生第十届社区居委会成员86人。完成大吉巷、福州馆、黑窑厂、红土点社区办公场所的规范改造和壹瓶社区的办公选址。修订完善社工管理规定、社区公益金管理办法等制度，开设“社工学院”，实施“萤火计划”，为社工开展多层次、差异化精准培训。总结探索街道在基层治理创新方面的经验和理念，精选《陶然亭街道社区治理范例》14篇。举办“2019共建美好陶然”研讨会，邀请相关部门领导、专家学者、社区居民等160余人共商陶然地区发展方略，以“一范例一研讨”为抓手统筹社会资源、凝聚各方合力，持续推进新时期社会治理。</w:t>
      </w:r>
      <w:r>
        <w:rPr>
          <w:rFonts w:ascii="仿宋_GB2312" w:hAnsi="黑体" w:eastAsia="仿宋_GB2312"/>
          <w:sz w:val="32"/>
          <w:szCs w:val="32"/>
        </w:rPr>
      </w:r>
    </w:p>
    <w:p>
      <w:pPr>
        <w:pBdr/>
        <w:spacing w:line="560" w:lineRule="exact"/>
        <w:ind w:firstLine="645"/>
        <w:rPr>
          <w:rFonts w:ascii="仿宋_GB2312" w:hAnsi="黑体" w:eastAsia="仿宋_GB2312"/>
          <w:sz w:val="32"/>
          <w:szCs w:val="32"/>
        </w:rPr>
      </w:pPr>
      <w:r>
        <w:rPr>
          <w:rFonts w:hint="eastAsia" w:ascii="仿宋_GB2312" w:hAnsi="黑体" w:eastAsia="仿宋_GB2312"/>
          <w:b/>
          <w:sz w:val="32"/>
          <w:szCs w:val="32"/>
        </w:rPr>
        <w:t xml:space="preserve">社会动员能力持续加强。</w:t>
      </w:r>
      <w:r>
        <w:rPr>
          <w:rFonts w:hint="eastAsia" w:ascii="仿宋_GB2312" w:hAnsi="黑体" w:eastAsia="仿宋_GB2312"/>
          <w:sz w:val="32"/>
          <w:szCs w:val="32"/>
        </w:rPr>
        <w:t xml:space="preserve">以在职党员“双报到”、“进千门走万户”为契机，利用党建协调委员会等平台，充分发挥辖区党员、社会组织、公益组织、志愿者的作用</w:t>
      </w:r>
      <w:r>
        <w:rPr>
          <w:rFonts w:hint="eastAsia" w:ascii="仿宋_GB2312" w:hAnsi="黑体" w:eastAsia="仿宋_GB2312"/>
          <w:sz w:val="32"/>
          <w:szCs w:val="32"/>
        </w:rPr>
        <w:t xml:space="preserve">，在养老助残、矛盾纠纷化解、公共设施维护等方面着重发力。推进“陶然亭街道社会组织培育服务中心”和“陶然亭街道活动中心”的管理和运维，成立陶然社区发展研究中心，以“三中心”为基础，培育、指导、监督、服务社会组织，引导社会力量参与社会治理。打造总建筑面积750平方米的陶然书苑，为居民自治商讨、文娱活动提供更多公共空间。制定《陶然亭街道社区月协商工作方案》，每月面向居民召开街道公共沟通通报会议，持续巩固“里仁之家”、“儒福里42号院”、“书香驿站”等参与型协商工作成果，引导各方力量积极参与社会治理，增加社会粘性。</w:t>
      </w:r>
      <w:r>
        <w:rPr>
          <w:rFonts w:ascii="仿宋_GB2312" w:hAnsi="黑体" w:eastAsia="仿宋_GB2312"/>
          <w:sz w:val="32"/>
          <w:szCs w:val="32"/>
        </w:rPr>
      </w:r>
    </w:p>
    <w:p>
      <w:pPr>
        <w:pBdr/>
        <w:spacing w:line="560" w:lineRule="exact"/>
        <w:ind w:firstLine="645"/>
        <w:rPr>
          <w:rFonts w:ascii="黑体" w:hAnsi="黑体" w:eastAsia="黑体"/>
          <w:sz w:val="32"/>
          <w:szCs w:val="32"/>
        </w:rPr>
      </w:pPr>
      <w:r>
        <w:rPr>
          <w:rFonts w:hint="eastAsia" w:ascii="黑体" w:hAnsi="黑体" w:eastAsia="黑体"/>
          <w:sz w:val="32"/>
          <w:szCs w:val="32"/>
        </w:rPr>
        <w:t xml:space="preserve">（五）强化自身建设，不断提高执政能力</w:t>
      </w:r>
      <w:r>
        <w:rPr>
          <w:rFonts w:ascii="黑体" w:hAnsi="黑体" w:eastAsia="黑体"/>
          <w:sz w:val="32"/>
          <w:szCs w:val="32"/>
        </w:rPr>
      </w:r>
    </w:p>
    <w:p>
      <w:pPr>
        <w:pBdr/>
        <w:spacing w:line="560" w:lineRule="exact"/>
        <w:ind w:firstLine="645"/>
        <w:rPr>
          <w:rFonts w:ascii="仿宋_GB2312" w:hAnsi="黑体" w:eastAsia="仿宋_GB2312"/>
          <w:sz w:val="32"/>
          <w:szCs w:val="32"/>
        </w:rPr>
      </w:pPr>
      <w:r>
        <w:rPr>
          <w:rFonts w:hint="eastAsia" w:ascii="仿宋_GB2312" w:hAnsi="黑体" w:eastAsia="仿宋_GB2312"/>
          <w:b/>
          <w:sz w:val="32"/>
          <w:szCs w:val="32"/>
        </w:rPr>
        <w:t xml:space="preserve">全面从严治党向纵深推进。</w:t>
      </w:r>
      <w:r>
        <w:rPr>
          <w:rFonts w:hint="eastAsia" w:ascii="仿宋_GB2312" w:hAnsi="黑体" w:eastAsia="仿宋_GB2312"/>
          <w:sz w:val="32"/>
          <w:szCs w:val="32"/>
        </w:rPr>
        <w:t xml:space="preserve">扎实开展“不忘初心、牢记使命”主题教育，认真对标“四个对照”“四个找一找”要求，广泛征求意见建议、深入开展调查研究，检视班子问题</w:t>
      </w:r>
      <w:r>
        <w:rPr>
          <w:rFonts w:ascii="仿宋_GB2312" w:hAnsi="黑体" w:eastAsia="仿宋_GB2312"/>
          <w:sz w:val="32"/>
          <w:szCs w:val="32"/>
        </w:rPr>
        <w:t xml:space="preserve">13</w:t>
      </w:r>
      <w:r>
        <w:rPr>
          <w:rFonts w:hint="eastAsia" w:ascii="仿宋_GB2312" w:hAnsi="黑体" w:eastAsia="仿宋_GB2312"/>
          <w:sz w:val="32"/>
          <w:szCs w:val="32"/>
        </w:rPr>
        <w:t xml:space="preserve">个，分类梳理后全部由班子成员认领，制定整改措施</w:t>
      </w:r>
      <w:r>
        <w:rPr>
          <w:rFonts w:hint="eastAsia" w:ascii="仿宋_GB2312" w:hAnsi="黑体" w:eastAsia="仿宋_GB2312"/>
          <w:sz w:val="32"/>
          <w:szCs w:val="32"/>
          <w:lang w:val="en-US" w:eastAsia="zh-CN"/>
        </w:rPr>
        <w:t xml:space="preserve">43</w:t>
      </w:r>
      <w:bookmarkStart w:id="0" w:name="_GoBack"/>
      <w:r/>
      <w:bookmarkEnd w:id="0"/>
      <w:r>
        <w:rPr>
          <w:rFonts w:hint="eastAsia" w:ascii="仿宋_GB2312" w:hAnsi="黑体" w:eastAsia="仿宋_GB2312"/>
          <w:sz w:val="32"/>
          <w:szCs w:val="32"/>
        </w:rPr>
        <w:t xml:space="preserve">项。以做好巡察整改“后半篇文章”为重大政治任务，切实加强以政治建设为统领的党的建设，认真落实114条整改措施，6方面17类38个问题全部整改完成，并向群众进行通报。在机关、社区积极开展警示宣传教育，加强对社区纪检工作的指导，深入开展街道体制改革、人防系统腐败、市民热线接诉即办、扫黑除恶等专项监督检查，营造风清气正干事创业的良好政治生态。</w:t>
      </w:r>
      <w:r>
        <w:rPr>
          <w:rFonts w:ascii="仿宋_GB2312" w:hAnsi="黑体" w:eastAsia="仿宋_GB2312"/>
          <w:sz w:val="32"/>
          <w:szCs w:val="32"/>
        </w:rPr>
      </w:r>
    </w:p>
    <w:p>
      <w:pPr>
        <w:pBdr/>
        <w:spacing w:line="560" w:lineRule="exact"/>
        <w:ind w:firstLine="645"/>
        <w:rPr>
          <w:rFonts w:ascii="仿宋_GB2312" w:hAnsi="黑体" w:eastAsia="仿宋_GB2312"/>
          <w:sz w:val="32"/>
          <w:szCs w:val="32"/>
        </w:rPr>
      </w:pPr>
      <w:r>
        <w:rPr>
          <w:rFonts w:hint="eastAsia" w:ascii="仿宋_GB2312" w:hAnsi="黑体" w:eastAsia="仿宋_GB2312"/>
          <w:b/>
          <w:sz w:val="32"/>
          <w:szCs w:val="32"/>
        </w:rPr>
        <w:t xml:space="preserve">不断推进办事处自身建设。</w:t>
      </w:r>
      <w:r>
        <w:rPr>
          <w:rFonts w:hint="eastAsia" w:ascii="仿宋_GB2312" w:hAnsi="黑体" w:eastAsia="仿宋_GB2312"/>
          <w:sz w:val="32"/>
          <w:szCs w:val="32"/>
        </w:rPr>
        <w:t xml:space="preserve">发布“美好陶然建设三年行动计划”，认真落实党建引领、街区更新、社区治理、便利生活、长治久安、美丽陶然、文化发展、“四好”创建八项专项行动。切实推动街道管理体制改革后内设机构的职能整合，理顺任务职责，探索项目制、分组制、流程制等工作模式，完成办公用房调整，完善议事规则、会议制度、财务制度等制度建设，调整充实三个中心干部队伍，落实科级干部选拔任用。深化党建引领“街道吹哨”、“千门万户”，街道累计吹哨</w:t>
      </w:r>
      <w:r>
        <w:rPr>
          <w:rFonts w:hint="eastAsia" w:ascii="仿宋_GB2312" w:eastAsia="仿宋_GB2312"/>
          <w:sz w:val="32"/>
          <w:szCs w:val="32"/>
        </w:rPr>
        <w:t xml:space="preserve">25</w:t>
      </w:r>
      <w:r>
        <w:rPr>
          <w:rFonts w:hint="eastAsia" w:ascii="仿宋_GB2312" w:hAnsi="黑体" w:eastAsia="仿宋_GB2312"/>
          <w:sz w:val="32"/>
          <w:szCs w:val="32"/>
        </w:rPr>
        <w:t xml:space="preserve">次，协调推动壹瓶小区业委会成立、龙泉自治停车、非遗中心建设、火灾隐患整改等难点问题的解决。</w:t>
      </w:r>
      <w:r>
        <w:rPr>
          <w:rFonts w:hint="eastAsia" w:ascii="仿宋_GB2312" w:hAnsi="黑体" w:eastAsia="仿宋_GB2312"/>
          <w:sz w:val="32"/>
          <w:szCs w:val="32"/>
          <w:lang w:val="en-US" w:eastAsia="zh-CN"/>
        </w:rPr>
        <w:t xml:space="preserve">152</w:t>
      </w:r>
      <w:r>
        <w:rPr>
          <w:rFonts w:hint="eastAsia" w:ascii="仿宋_GB2312" w:hAnsi="黑体" w:eastAsia="仿宋_GB2312"/>
          <w:sz w:val="32"/>
          <w:szCs w:val="32"/>
        </w:rPr>
        <w:t xml:space="preserve">名机关党员干部“进千门、走万户”，收集、解决居民关切问题</w:t>
      </w:r>
      <w:r>
        <w:rPr>
          <w:rFonts w:hint="eastAsia" w:ascii="仿宋_GB2312" w:hAnsi="黑体" w:eastAsia="仿宋_GB2312"/>
          <w:sz w:val="32"/>
          <w:szCs w:val="32"/>
          <w:lang w:val="en-US" w:eastAsia="zh-CN"/>
        </w:rPr>
        <w:t xml:space="preserve">1490</w:t>
      </w:r>
      <w:r>
        <w:rPr>
          <w:rFonts w:hint="eastAsia" w:ascii="仿宋_GB2312" w:hAnsi="黑体" w:eastAsia="仿宋_GB2312"/>
          <w:sz w:val="32"/>
          <w:szCs w:val="32"/>
        </w:rPr>
        <w:t xml:space="preserve">个，切实推动了作风转变。成立机关党委，明确工作职责，加强分类管理，为实现党建与中心工作的同频共振奠定基础。</w:t>
      </w:r>
      <w:r>
        <w:rPr>
          <w:rFonts w:ascii="仿宋_GB2312" w:hAnsi="黑体" w:eastAsia="仿宋_GB2312"/>
          <w:sz w:val="32"/>
          <w:szCs w:val="32"/>
        </w:rPr>
      </w:r>
    </w:p>
    <w:p>
      <w:pPr>
        <w:pBdr/>
        <w:spacing w:line="560" w:lineRule="exact"/>
        <w:ind w:firstLine="645"/>
        <w:rPr>
          <w:rFonts w:ascii="仿宋_GB2312" w:hAnsi="黑体" w:eastAsia="仿宋_GB2312"/>
          <w:sz w:val="32"/>
          <w:szCs w:val="32"/>
        </w:rPr>
      </w:pPr>
      <w:r>
        <w:rPr>
          <w:rFonts w:hint="eastAsia" w:ascii="仿宋_GB2312" w:hAnsi="黑体" w:eastAsia="仿宋_GB2312"/>
          <w:sz w:val="32"/>
          <w:szCs w:val="32"/>
        </w:rPr>
        <w:t xml:space="preserve">一年来，面对错综复杂的外部发展环境和高质量建设的发展压力，街道全力推动各项任务落实见效，地区发展迈上新台阶，成绩来之不易。这是区委区政府和街道工委坚强领导的结果，是广大居民、辖区各单位积极支持的结果，是全体干部团结拼搏、努力奋斗的结果。在此，我谨代表陶然亭街道向各位人大代表、政协委员、职能部门代表、辖区单位代表、居民代表，以及街道机关和社区全体工作人员，表示诚挚感谢！</w:t>
      </w:r>
      <w:r>
        <w:rPr>
          <w:rFonts w:ascii="仿宋_GB2312" w:hAnsi="黑体" w:eastAsia="仿宋_GB2312"/>
          <w:sz w:val="32"/>
          <w:szCs w:val="32"/>
        </w:rPr>
      </w:r>
    </w:p>
    <w:p>
      <w:pPr>
        <w:pBdr/>
        <w:spacing w:line="560" w:lineRule="exact"/>
        <w:ind w:firstLine="645"/>
        <w:rPr>
          <w:rFonts w:ascii="仿宋_GB2312" w:hAnsi="黑体" w:eastAsia="仿宋_GB2312"/>
          <w:sz w:val="32"/>
          <w:szCs w:val="32"/>
        </w:rPr>
      </w:pPr>
      <w:r>
        <w:rPr>
          <w:rFonts w:hint="eastAsia" w:ascii="仿宋_GB2312" w:hAnsi="黑体" w:eastAsia="仿宋_GB2312"/>
          <w:sz w:val="32"/>
          <w:szCs w:val="32"/>
        </w:rPr>
        <w:t xml:space="preserve">在看到成绩的同时，我们也清醒地认识到，陶然亭地区正处于社会环境变化和发展要求变化的错综复杂阶段，工作中还面临一些问题和挑战：治理“大城市病”任务依然艰巨，提高城市精治共治法治水平需要下更大功夫;城市运行流量大节奏快变量多，安全稳定依然有薄弱环节;公共服务供给还不能满足“七有”要求和“五性”需求，老旧小区管理、停车难等问题依然突出;地区老龄人口已达</w:t>
      </w:r>
      <w:r>
        <w:rPr>
          <w:rFonts w:ascii="仿宋_GB2312" w:hAnsi="黑体" w:eastAsia="仿宋_GB2312"/>
          <w:sz w:val="32"/>
          <w:szCs w:val="32"/>
        </w:rPr>
        <w:t xml:space="preserve">1.05</w:t>
      </w:r>
      <w:r>
        <w:rPr>
          <w:rFonts w:hint="eastAsia" w:ascii="仿宋_GB2312" w:hAnsi="黑体" w:eastAsia="仿宋_GB2312"/>
          <w:sz w:val="32"/>
          <w:szCs w:val="32"/>
        </w:rPr>
        <w:t xml:space="preserve">万人、占实有人口的</w:t>
      </w:r>
      <w:r>
        <w:rPr>
          <w:rFonts w:ascii="仿宋_GB2312" w:hAnsi="黑体" w:eastAsia="仿宋_GB2312"/>
          <w:sz w:val="32"/>
          <w:szCs w:val="32"/>
        </w:rPr>
        <w:t xml:space="preserve">33%</w:t>
      </w:r>
      <w:r>
        <w:rPr>
          <w:rFonts w:hint="eastAsia" w:ascii="仿宋_GB2312" w:hAnsi="黑体" w:eastAsia="仿宋_GB2312"/>
          <w:sz w:val="32"/>
          <w:szCs w:val="32"/>
        </w:rPr>
        <w:t xml:space="preserve">，养老服务供给缺口依然很大；平房院落、老旧小区的有机更新和人居环境改善问题，群众反映比较普遍；大吉片拆迁停滞项目的历史遗留难题尚待破解；对12345市民热线反映的问题解决率和群众满意率还不够高，“接诉即办”服务水平仍需进一步提升；廉洁自律还需持续增强，工作能力和作风需要进一步改进，等等。对这些问题我们要高度重视、采取有效措施加以解决。</w:t>
      </w:r>
      <w:r>
        <w:rPr>
          <w:rFonts w:ascii="仿宋_GB2312" w:hAnsi="黑体" w:eastAsia="仿宋_GB2312"/>
          <w:sz w:val="32"/>
          <w:szCs w:val="32"/>
        </w:rPr>
      </w:r>
    </w:p>
    <w:p>
      <w:pPr>
        <w:pBdr/>
        <w:spacing w:line="560" w:lineRule="exact"/>
        <w:ind w:firstLine="645"/>
        <w:rPr>
          <w:rFonts w:ascii="黑体" w:hAnsi="黑体" w:eastAsia="黑体"/>
          <w:sz w:val="32"/>
          <w:szCs w:val="32"/>
        </w:rPr>
      </w:pPr>
      <w:r>
        <w:rPr>
          <w:rFonts w:hint="eastAsia" w:ascii="黑体" w:hAnsi="黑体" w:eastAsia="黑体"/>
          <w:sz w:val="32"/>
          <w:szCs w:val="32"/>
        </w:rPr>
        <w:t xml:space="preserve">二、2020年主要任务</w:t>
      </w:r>
      <w:r>
        <w:rPr>
          <w:rFonts w:ascii="黑体" w:hAnsi="黑体" w:eastAsia="黑体"/>
          <w:sz w:val="32"/>
          <w:szCs w:val="32"/>
        </w:rPr>
      </w:r>
    </w:p>
    <w:p>
      <w:pPr>
        <w:pBdr/>
        <w:spacing w:line="560" w:lineRule="exact"/>
        <w:ind w:firstLine="645"/>
        <w:rPr>
          <w:rFonts w:ascii="仿宋_GB2312" w:hAnsi="黑体" w:eastAsia="仿宋_GB2312"/>
          <w:sz w:val="32"/>
          <w:szCs w:val="32"/>
        </w:rPr>
      </w:pPr>
      <w:r>
        <w:rPr>
          <w:rFonts w:hint="eastAsia" w:ascii="仿宋_GB2312" w:hAnsi="黑体" w:eastAsia="仿宋_GB2312"/>
          <w:sz w:val="32"/>
          <w:szCs w:val="32"/>
        </w:rPr>
        <w:t xml:space="preserve">2020年是全面建成小康社会和“十三五”规划收官之年，也是制定“十四五”规划、推动高质量发展的关键一年。做好各项工作至关重要。</w:t>
      </w:r>
      <w:r>
        <w:rPr>
          <w:rFonts w:ascii="仿宋_GB2312" w:hAnsi="黑体" w:eastAsia="仿宋_GB2312"/>
          <w:sz w:val="32"/>
          <w:szCs w:val="32"/>
        </w:rPr>
      </w:r>
    </w:p>
    <w:p>
      <w:pPr>
        <w:pStyle w:val="652"/>
        <w:numPr>
          <w:ilvl w:val="0"/>
          <w:numId w:val="1"/>
        </w:numPr>
        <w:pBdr/>
        <w:spacing w:line="540" w:lineRule="exact"/>
        <w:ind/>
        <w:rPr>
          <w:rFonts w:ascii="黑体" w:hAnsi="黑体" w:eastAsia="黑体" w:cs="楷体"/>
          <w:b/>
          <w:bCs/>
          <w:sz w:val="32"/>
          <w:szCs w:val="32"/>
        </w:rPr>
      </w:pPr>
      <w:r>
        <w:rPr>
          <w:rFonts w:hint="eastAsia" w:ascii="黑体" w:hAnsi="黑体" w:eastAsia="黑体" w:cs="楷体"/>
          <w:b/>
          <w:bCs/>
          <w:sz w:val="32"/>
          <w:szCs w:val="32"/>
        </w:rPr>
        <w:t xml:space="preserve">扎实推进城市深度精细治理</w:t>
      </w:r>
      <w:r>
        <w:rPr>
          <w:rFonts w:ascii="黑体" w:hAnsi="黑体" w:eastAsia="黑体" w:cs="楷体"/>
          <w:b/>
          <w:bCs/>
          <w:sz w:val="32"/>
          <w:szCs w:val="32"/>
        </w:rPr>
      </w:r>
    </w:p>
    <w:p>
      <w:pPr>
        <w:pBdr/>
        <w:spacing w:line="540" w:lineRule="exact"/>
        <w:ind w:firstLine="645"/>
        <w:rPr>
          <w:rFonts w:ascii="仿宋" w:hAnsi="仿宋" w:eastAsia="仿宋" w:cs="仿宋"/>
          <w:sz w:val="32"/>
          <w:szCs w:val="32"/>
        </w:rPr>
      </w:pPr>
      <w:r>
        <w:rPr>
          <w:rFonts w:hint="eastAsia" w:ascii="仿宋_GB2312" w:hAnsi="黑体" w:eastAsia="仿宋_GB2312"/>
          <w:b/>
          <w:sz w:val="32"/>
          <w:szCs w:val="32"/>
        </w:rPr>
        <w:t xml:space="preserve">强化疏解与提升同步推进。</w:t>
      </w:r>
      <w:r>
        <w:rPr>
          <w:rFonts w:hint="eastAsia" w:ascii="仿宋_GB2312" w:hAnsi="黑体" w:eastAsia="仿宋_GB2312"/>
          <w:sz w:val="32"/>
          <w:szCs w:val="32"/>
        </w:rPr>
        <w:t xml:space="preserve">聚焦新版北京城市总规，对标核心区控制性详规，总结“十三五”规划实施成果，推动各项任务全面收官。确保新生违法建设零增长和“开墙打洞”动态“清零”，积极创建无违建社区，统筹规划利用腾退空间。有序推进四平园老旧小区改造，持续巩固</w:t>
      </w:r>
      <w:r>
        <w:rPr>
          <w:rFonts w:ascii="仿宋_GB2312" w:hAnsi="黑体" w:eastAsia="仿宋_GB2312"/>
          <w:sz w:val="32"/>
          <w:szCs w:val="32"/>
        </w:rPr>
        <w:t xml:space="preserve">39</w:t>
      </w:r>
      <w:r>
        <w:rPr>
          <w:rFonts w:hint="eastAsia" w:ascii="仿宋_GB2312" w:hAnsi="黑体" w:eastAsia="仿宋_GB2312"/>
          <w:sz w:val="32"/>
          <w:szCs w:val="32"/>
        </w:rPr>
        <w:t xml:space="preserve">条已建设完工背街小巷的整治成效，加快6条街</w:t>
      </w:r>
      <w:r>
        <w:rPr>
          <w:rFonts w:hint="eastAsia" w:ascii="仿宋" w:hAnsi="仿宋" w:eastAsia="仿宋" w:cs="仿宋"/>
          <w:sz w:val="32"/>
          <w:szCs w:val="32"/>
        </w:rPr>
        <w:t xml:space="preserve">巷毛细路的建设和</w:t>
      </w:r>
      <w:r>
        <w:rPr>
          <w:rFonts w:ascii="仿宋" w:hAnsi="仿宋" w:eastAsia="仿宋" w:cs="仿宋"/>
          <w:sz w:val="32"/>
          <w:szCs w:val="32"/>
        </w:rPr>
        <w:t xml:space="preserve">12</w:t>
      </w:r>
      <w:r>
        <w:rPr>
          <w:rFonts w:hint="eastAsia" w:ascii="仿宋" w:hAnsi="仿宋" w:eastAsia="仿宋" w:cs="仿宋"/>
          <w:sz w:val="32"/>
          <w:szCs w:val="32"/>
        </w:rPr>
        <w:t xml:space="preserve">个具体点位的提升，坚持街巷长制和街巷例会制度，认真落实新一轮背街小巷精细化整治提升三年行动计划，推动地区背街小巷环境面貌全面改善提升。</w:t>
      </w:r>
      <w:r>
        <w:rPr>
          <w:rFonts w:ascii="仿宋" w:hAnsi="仿宋" w:eastAsia="仿宋" w:cs="仿宋"/>
          <w:sz w:val="32"/>
          <w:szCs w:val="32"/>
        </w:rPr>
      </w:r>
    </w:p>
    <w:p>
      <w:pPr>
        <w:pBdr/>
        <w:spacing w:line="540" w:lineRule="exact"/>
        <w:ind w:firstLine="645"/>
        <w:rPr>
          <w:rFonts w:ascii="仿宋_GB2312" w:hAnsi="黑体" w:eastAsia="仿宋_GB2312"/>
          <w:sz w:val="32"/>
          <w:szCs w:val="32"/>
        </w:rPr>
      </w:pPr>
      <w:r>
        <w:rPr>
          <w:rFonts w:hint="eastAsia" w:ascii="仿宋" w:hAnsi="仿宋" w:eastAsia="仿宋" w:cs="仿宋"/>
          <w:b/>
          <w:sz w:val="32"/>
          <w:szCs w:val="32"/>
        </w:rPr>
        <w:t xml:space="preserve">持续深化街区更新工作。</w:t>
      </w:r>
      <w:r>
        <w:rPr>
          <w:rFonts w:hint="eastAsia" w:ascii="仿宋" w:hAnsi="仿宋" w:eastAsia="仿宋" w:cs="仿宋"/>
          <w:sz w:val="32"/>
          <w:szCs w:val="32"/>
        </w:rPr>
        <w:t xml:space="preserve">推进街区问题底册管理，分街区加强措施集成，认真归纳汲取精彩亮相街区经验做法，加大老旧小区、平房院落的深度治理，进一步完善建设细节、完善配套功能运作规则，强化规划责任师监督实效，以高标准高质量推进每一个街区更新实施。</w:t>
      </w:r>
      <w:r>
        <w:rPr>
          <w:rFonts w:ascii="仿宋_GB2312" w:hAnsi="黑体" w:eastAsia="仿宋_GB2312"/>
          <w:sz w:val="32"/>
          <w:szCs w:val="32"/>
        </w:rPr>
      </w:r>
    </w:p>
    <w:p>
      <w:pPr>
        <w:pBdr/>
        <w:spacing w:line="560" w:lineRule="exact"/>
        <w:ind w:firstLine="645"/>
        <w:rPr>
          <w:rFonts w:ascii="仿宋_GB2312" w:hAnsi="黑体" w:eastAsia="仿宋_GB2312"/>
          <w:sz w:val="32"/>
          <w:szCs w:val="32"/>
        </w:rPr>
      </w:pPr>
      <w:r>
        <w:rPr>
          <w:rFonts w:hint="eastAsia" w:ascii="仿宋_GB2312" w:hAnsi="黑体" w:eastAsia="仿宋_GB2312"/>
          <w:b/>
          <w:sz w:val="32"/>
          <w:szCs w:val="32"/>
        </w:rPr>
        <w:t xml:space="preserve">持之以恒抓好污染防治工作。</w:t>
      </w:r>
      <w:r>
        <w:rPr>
          <w:rFonts w:hint="eastAsia" w:ascii="仿宋_GB2312" w:hAnsi="黑体" w:eastAsia="仿宋_GB2312"/>
          <w:sz w:val="32"/>
          <w:szCs w:val="32"/>
        </w:rPr>
        <w:t xml:space="preserve">严格落实蓝天保卫战三年行动计划。聚焦扬尘、油烟等主要污染源，加大监管执法力度，处理好防治大气污染、安全生产与项目建设的关系，不断提升精细化管控水平。持续加强工程扬尘管控和裸露地面整治。积极应对空气重污染天气，做好污染预警应急响应削峰降速工作。</w:t>
      </w:r>
      <w:r>
        <w:rPr>
          <w:rFonts w:ascii="仿宋_GB2312" w:hAnsi="黑体" w:eastAsia="仿宋_GB2312"/>
          <w:sz w:val="32"/>
          <w:szCs w:val="32"/>
        </w:rPr>
      </w:r>
    </w:p>
    <w:p>
      <w:pPr>
        <w:pStyle w:val="652"/>
        <w:numPr>
          <w:ilvl w:val="0"/>
          <w:numId w:val="1"/>
        </w:numPr>
        <w:pBdr/>
        <w:spacing w:line="560" w:lineRule="exact"/>
        <w:ind/>
        <w:rPr>
          <w:rFonts w:ascii="黑体" w:hAnsi="黑体" w:eastAsia="黑体"/>
          <w:sz w:val="32"/>
          <w:szCs w:val="32"/>
        </w:rPr>
      </w:pPr>
      <w:r>
        <w:rPr>
          <w:rFonts w:hint="eastAsia" w:ascii="黑体" w:hAnsi="黑体" w:eastAsia="黑体"/>
          <w:sz w:val="32"/>
          <w:szCs w:val="32"/>
        </w:rPr>
        <w:t xml:space="preserve">大力推进治理能力和治理水平提升</w:t>
      </w:r>
      <w:r>
        <w:rPr>
          <w:rFonts w:ascii="黑体" w:hAnsi="黑体" w:eastAsia="黑体"/>
          <w:sz w:val="32"/>
          <w:szCs w:val="32"/>
        </w:rPr>
      </w:r>
    </w:p>
    <w:p>
      <w:pPr>
        <w:pBdr/>
        <w:spacing w:line="560" w:lineRule="exact"/>
        <w:ind w:firstLine="645"/>
        <w:rPr>
          <w:rFonts w:ascii="仿宋_GB2312" w:hAnsi="黑体" w:eastAsia="仿宋_GB2312"/>
          <w:sz w:val="32"/>
          <w:szCs w:val="32"/>
        </w:rPr>
      </w:pPr>
      <w:r>
        <w:rPr>
          <w:rFonts w:hint="eastAsia" w:ascii="仿宋_GB2312" w:hAnsi="黑体" w:eastAsia="仿宋_GB2312"/>
          <w:b/>
          <w:sz w:val="32"/>
          <w:szCs w:val="32"/>
        </w:rPr>
        <w:t xml:space="preserve">以“吹哨报到”和“接诉即办”为突破口，推进社会治理创新。</w:t>
      </w:r>
      <w:r>
        <w:rPr>
          <w:rFonts w:hint="eastAsia" w:ascii="仿宋_GB2312" w:hAnsi="黑体" w:eastAsia="仿宋_GB2312"/>
          <w:sz w:val="32"/>
          <w:szCs w:val="32"/>
        </w:rPr>
        <w:t xml:space="preserve">坚持民有所呼、我有所应，持续抓好高频问题、专项治理集中</w:t>
      </w:r>
      <w:r>
        <w:rPr>
          <w:rFonts w:hint="eastAsia" w:ascii="仿宋_GB2312" w:hAnsi="黑体" w:eastAsia="仿宋_GB2312"/>
          <w:sz w:val="32"/>
          <w:szCs w:val="32"/>
        </w:rPr>
        <w:t xml:space="preserve">问题的解决，加强热线诉求办理恢复及沟通规范，继续探索完善“三四五六七”工作法。改进考评机制，加强科学研判，更加注重问题的解决率、群众的满意率，引导各部门把功夫用在解决问题上。强化主动治理、未诉先办，梳理诉求共性，综合施策，通过一个诉求解决一类问题，通过一个案例带动一片治理。健全“吹哨”“报到”有效衔接工作机制，加速社区与街道、街道部门之间的运行磨合与协调衔接，做实“报到”环节，做到以市民诉求为“哨”，“即办”中有“报到”，在“接诉即办”中体现“吹哨报到”的成效，在“即办”和“吹哨”中提升街道治理能力和水平。</w:t>
      </w:r>
      <w:r>
        <w:rPr>
          <w:rFonts w:ascii="仿宋_GB2312" w:hAnsi="黑体" w:eastAsia="仿宋_GB2312"/>
          <w:sz w:val="32"/>
          <w:szCs w:val="32"/>
        </w:rPr>
      </w:r>
    </w:p>
    <w:p>
      <w:pPr>
        <w:pBdr/>
        <w:spacing w:line="560" w:lineRule="exact"/>
        <w:ind w:firstLine="645"/>
        <w:rPr>
          <w:rFonts w:ascii="仿宋_GB2312" w:hAnsi="黑体" w:eastAsia="仿宋_GB2312"/>
          <w:sz w:val="32"/>
          <w:szCs w:val="32"/>
        </w:rPr>
      </w:pPr>
      <w:r>
        <w:rPr>
          <w:rFonts w:hint="eastAsia" w:ascii="仿宋_GB2312" w:hAnsi="黑体" w:eastAsia="仿宋_GB2312"/>
          <w:b/>
          <w:sz w:val="32"/>
          <w:szCs w:val="32"/>
        </w:rPr>
        <w:t xml:space="preserve">以共建共治共享为目标，深化社会治理新格局。</w:t>
      </w:r>
      <w:r>
        <w:rPr>
          <w:rFonts w:hint="eastAsia" w:ascii="仿宋_GB2312" w:hAnsi="黑体" w:eastAsia="仿宋_GB2312"/>
          <w:sz w:val="32"/>
          <w:szCs w:val="32"/>
        </w:rPr>
        <w:t xml:space="preserve">加快构建工委领导、社会协同、公众参与的社会治理体系。通过区域化党建、社区党建引领项目把地区单位资源调动起来，引领带动各类组织、各种力量有序参与基层治理。拓宽群众参与社会治理的渠道，继续推广“社区通”互动平台，完善社区议事厅制度建设，以“陶然书苑”、书香驿站为阵地，推进“参与型”社区分层协商治理常态化。加强协商共治和公共沟通互动，坚持每月公共沟通通报会议，主动设置议题、报告情况、听取意见，把群众组织起来、凝聚起来，推动群众关心关注的问题一块协商、一块解决。</w:t>
      </w:r>
      <w:r>
        <w:rPr>
          <w:rFonts w:ascii="仿宋_GB2312" w:hAnsi="黑体" w:eastAsia="仿宋_GB2312"/>
          <w:sz w:val="32"/>
          <w:szCs w:val="32"/>
        </w:rPr>
      </w:r>
    </w:p>
    <w:p>
      <w:pPr>
        <w:pStyle w:val="652"/>
        <w:numPr>
          <w:ilvl w:val="0"/>
          <w:numId w:val="1"/>
        </w:numPr>
        <w:pBdr/>
        <w:spacing w:line="560" w:lineRule="exact"/>
        <w:ind/>
        <w:rPr>
          <w:rFonts w:ascii="黑体" w:hAnsi="黑体" w:eastAsia="黑体"/>
          <w:sz w:val="32"/>
          <w:szCs w:val="32"/>
        </w:rPr>
      </w:pPr>
      <w:r>
        <w:rPr>
          <w:rFonts w:hint="eastAsia" w:ascii="黑体" w:hAnsi="黑体" w:eastAsia="黑体"/>
          <w:sz w:val="32"/>
          <w:szCs w:val="32"/>
        </w:rPr>
        <w:t xml:space="preserve">着力推进民生保障精准化</w:t>
      </w:r>
      <w:r>
        <w:rPr>
          <w:rFonts w:ascii="黑体" w:hAnsi="黑体" w:eastAsia="黑体"/>
          <w:sz w:val="32"/>
          <w:szCs w:val="32"/>
        </w:rPr>
      </w:r>
    </w:p>
    <w:p>
      <w:pPr>
        <w:pBdr/>
        <w:spacing w:line="560" w:lineRule="exact"/>
        <w:ind w:firstLine="645"/>
        <w:rPr>
          <w:rFonts w:ascii="仿宋_GB2312" w:hAnsi="黑体" w:eastAsia="仿宋_GB2312"/>
          <w:sz w:val="32"/>
          <w:szCs w:val="32"/>
        </w:rPr>
      </w:pPr>
      <w:r>
        <w:rPr>
          <w:rFonts w:hint="eastAsia" w:ascii="仿宋_GB2312" w:hAnsi="黑体" w:eastAsia="仿宋_GB2312"/>
          <w:b/>
          <w:sz w:val="32"/>
          <w:szCs w:val="32"/>
        </w:rPr>
        <w:t xml:space="preserve">全力做好社会保障工作。</w:t>
      </w:r>
      <w:r>
        <w:rPr>
          <w:rFonts w:hint="eastAsia" w:ascii="仿宋_GB2312" w:hAnsi="黑体" w:eastAsia="仿宋_GB2312"/>
          <w:sz w:val="32"/>
          <w:szCs w:val="32"/>
        </w:rPr>
        <w:t xml:space="preserve">坚持“保基本兜底线”，建立健全急难事项求助“首问责制”和转介工作制度，成立“陶然”社区慈善帮扶救助工作站，借助网格员力量，在精准帮扶中主动发现、主动对接、主动联络。大力推动养老服务创新创优措施落地，加快社区适老化改造，协调发展居家养老、临时托养和商业养老机构，满足不同群众养老新期待。为“老小弱残”、特扶家庭等不同群体开展各具特色的项目式服务，增强民生工作的针对性。</w:t>
      </w:r>
      <w:r>
        <w:rPr>
          <w:rFonts w:ascii="仿宋_GB2312" w:hAnsi="黑体" w:eastAsia="仿宋_GB2312"/>
          <w:sz w:val="32"/>
          <w:szCs w:val="32"/>
        </w:rPr>
      </w:r>
    </w:p>
    <w:p>
      <w:pPr>
        <w:pBdr/>
        <w:spacing w:line="560" w:lineRule="exact"/>
        <w:ind w:firstLine="645"/>
        <w:rPr>
          <w:rFonts w:ascii="仿宋_GB2312" w:hAnsi="仿宋_GB2312" w:eastAsia="仿宋_GB2312" w:cs="仿宋_GB2312"/>
          <w:sz w:val="32"/>
          <w:szCs w:val="32"/>
        </w:rPr>
      </w:pPr>
      <w:r>
        <w:rPr>
          <w:rFonts w:hint="eastAsia" w:ascii="仿宋_GB2312" w:hAnsi="黑体" w:eastAsia="仿宋_GB2312"/>
          <w:b/>
          <w:sz w:val="32"/>
          <w:szCs w:val="32"/>
        </w:rPr>
        <w:t xml:space="preserve">加强公共文化服务供给能力。</w:t>
      </w:r>
      <w:r>
        <w:rPr>
          <w:rFonts w:hint="eastAsia" w:ascii="仿宋_GB2312" w:hAnsi="黑体" w:eastAsia="仿宋_GB2312"/>
          <w:sz w:val="32"/>
          <w:szCs w:val="32"/>
        </w:rPr>
        <w:t xml:space="preserve">健全具有陶然特色的公共文化服务体系，提升陶然书苑、文体中心、书香驿站的文化供给能力，提高安全宣教中心的科普安全知识培训水平，打造街道图书馆，举办特色阅读和荐书活动，营造老城书香氛围</w:t>
      </w:r>
      <w:r>
        <w:rPr>
          <w:rFonts w:hint="eastAsia" w:ascii="仿宋_GB2312" w:hAnsi="仿宋_GB2312" w:eastAsia="仿宋_GB2312" w:cs="仿宋_GB2312"/>
          <w:sz w:val="32"/>
          <w:szCs w:val="32"/>
        </w:rPr>
        <w:t xml:space="preserve">；完成街区展示中心建设，展现地区特色文化和发展历程；新建儿童中心，宣扬六德精神，拓展儿童活动空间；建设“数字非遗”特色文化空间，利用老城文化资源，展现非遗魅力。</w:t>
      </w:r>
      <w:r>
        <w:rPr>
          <w:rFonts w:ascii="仿宋_GB2312" w:hAnsi="仿宋_GB2312" w:eastAsia="仿宋_GB2312" w:cs="仿宋_GB2312"/>
          <w:sz w:val="32"/>
          <w:szCs w:val="32"/>
        </w:rPr>
      </w:r>
    </w:p>
    <w:p>
      <w:pPr>
        <w:pBdr/>
        <w:spacing w:line="560" w:lineRule="exact"/>
        <w:ind w:firstLine="645"/>
        <w:rPr>
          <w:rFonts w:ascii="黑体" w:hAnsi="黑体" w:eastAsia="黑体" w:cs="仿宋_GB2312"/>
          <w:sz w:val="32"/>
          <w:szCs w:val="32"/>
        </w:rPr>
      </w:pPr>
      <w:r>
        <w:rPr>
          <w:rFonts w:hint="eastAsia" w:ascii="黑体" w:hAnsi="黑体" w:eastAsia="黑体" w:cs="仿宋_GB2312"/>
          <w:sz w:val="32"/>
          <w:szCs w:val="32"/>
        </w:rPr>
        <w:t xml:space="preserve">（四）全力保障城市运行安全有序 </w:t>
      </w:r>
      <w:r>
        <w:rPr>
          <w:rFonts w:ascii="黑体" w:hAnsi="黑体" w:eastAsia="黑体" w:cs="仿宋_GB2312"/>
          <w:sz w:val="32"/>
          <w:szCs w:val="32"/>
        </w:rPr>
      </w:r>
    </w:p>
    <w:p>
      <w:pPr>
        <w:pBdr/>
        <w:spacing w:line="560" w:lineRule="exact"/>
        <w:ind w:firstLine="645"/>
        <w:rPr>
          <w:rFonts w:ascii="仿宋_GB2312" w:hAnsi="黑体" w:eastAsia="仿宋_GB2312" w:cs="Times New Roman"/>
          <w:sz w:val="32"/>
          <w:szCs w:val="32"/>
        </w:rPr>
      </w:pPr>
      <w:r>
        <w:rPr>
          <w:rFonts w:hint="eastAsia" w:ascii="仿宋_GB2312" w:hAnsi="仿宋_GB2312" w:eastAsia="仿宋_GB2312" w:cs="仿宋_GB2312"/>
          <w:b/>
          <w:sz w:val="32"/>
          <w:szCs w:val="32"/>
        </w:rPr>
        <w:t xml:space="preserve">维护社会和谐稳定。</w:t>
      </w:r>
      <w:r>
        <w:rPr>
          <w:rFonts w:hint="eastAsia" w:ascii="仿宋_GB2312" w:hAnsi="仿宋_GB2312" w:eastAsia="仿宋_GB2312" w:cs="仿宋_GB2312"/>
          <w:sz w:val="32"/>
          <w:szCs w:val="32"/>
        </w:rPr>
        <w:t xml:space="preserve">巩固扫黑除恶专项斗争成果，充分发挥群防群治力量，坚持特殊人群定期走访评估制度，全面筑牢安全防线，保障群众安居乐业。健全重大国事活动常态化服务保障机制，持之以恒做好校园、医院等重点区域安全稳定工作。</w:t>
      </w:r>
      <w:r>
        <w:rPr>
          <w:rFonts w:hint="eastAsia" w:ascii="仿宋_GB2312" w:hAnsi="黑体" w:eastAsia="仿宋_GB2312" w:cs="Times New Roman"/>
          <w:sz w:val="32"/>
          <w:szCs w:val="32"/>
        </w:rPr>
        <w:t xml:space="preserve">落实安全生产责任和管理制度，加大执法力度，发挥转兼巡查员作用，建立健全公共安全隐患排查和安全预防控制机制。</w:t>
      </w:r>
      <w:r>
        <w:rPr>
          <w:rFonts w:ascii="仿宋_GB2312" w:hAnsi="黑体" w:eastAsia="仿宋_GB2312" w:cs="Times New Roman"/>
          <w:sz w:val="32"/>
          <w:szCs w:val="32"/>
        </w:rPr>
        <w:t xml:space="preserve">推进消防基础设施建设，</w:t>
      </w:r>
      <w:r>
        <w:rPr>
          <w:rFonts w:hint="eastAsia" w:ascii="仿宋_GB2312" w:hAnsi="黑体" w:eastAsia="仿宋_GB2312" w:cs="Times New Roman"/>
          <w:sz w:val="32"/>
          <w:szCs w:val="32"/>
        </w:rPr>
        <w:t xml:space="preserve">建设红土店消防站，保障四平园消防站，做实做强“秒响应”机制</w:t>
      </w:r>
      <w:r>
        <w:rPr>
          <w:rFonts w:ascii="仿宋_GB2312" w:hAnsi="黑体" w:eastAsia="仿宋_GB2312" w:cs="Times New Roman"/>
          <w:sz w:val="32"/>
          <w:szCs w:val="32"/>
        </w:rPr>
        <w:t xml:space="preserve">。</w:t>
      </w:r>
      <w:r>
        <w:rPr>
          <w:rFonts w:ascii="仿宋_GB2312" w:hAnsi="黑体" w:eastAsia="仿宋_GB2312" w:cs="Times New Roman"/>
          <w:sz w:val="32"/>
          <w:szCs w:val="32"/>
        </w:rPr>
      </w:r>
    </w:p>
    <w:p>
      <w:pPr>
        <w:pBdr/>
        <w:spacing w:line="560" w:lineRule="exact"/>
        <w:ind w:firstLine="645"/>
        <w:rPr>
          <w:rFonts w:ascii="仿宋_GB2312" w:hAnsi="黑体" w:eastAsia="仿宋_GB2312" w:cs="Times New Roman"/>
          <w:sz w:val="32"/>
          <w:szCs w:val="32"/>
        </w:rPr>
      </w:pPr>
      <w:r>
        <w:rPr>
          <w:rFonts w:hint="eastAsia" w:ascii="仿宋_GB2312" w:hAnsi="黑体" w:eastAsia="仿宋_GB2312" w:cs="Times New Roman"/>
          <w:b/>
          <w:sz w:val="32"/>
          <w:szCs w:val="32"/>
        </w:rPr>
        <w:t xml:space="preserve">提升城市管理能力。</w:t>
      </w:r>
      <w:r>
        <w:rPr>
          <w:rFonts w:hint="eastAsia" w:ascii="仿宋_GB2312" w:hAnsi="黑体" w:eastAsia="仿宋_GB2312" w:cs="Times New Roman"/>
          <w:sz w:val="32"/>
          <w:szCs w:val="32"/>
        </w:rPr>
        <w:t xml:space="preserve">深化城市体检制度，完善以街区为单位的城市部件定期诊断评估机制，保障城市运行更加安全高效。加强与市政基础设施企业的对接，动员网格员队伍做好市政设施巡察排查、日常维护、应急处置工作。推进“城市大脑”建设，强化对城市运行状态指标的实时感知，不断提高智能发现、及时处置问题的能力。落实中央、市属单位和驻地部队办公区、集中居住区及老旧小区、平房院落的日常管理和应急维护。</w:t>
      </w:r>
      <w:r>
        <w:rPr>
          <w:rFonts w:ascii="仿宋_GB2312" w:hAnsi="黑体" w:eastAsia="仿宋_GB2312" w:cs="Times New Roman"/>
          <w:sz w:val="32"/>
          <w:szCs w:val="32"/>
        </w:rPr>
      </w:r>
    </w:p>
    <w:p>
      <w:pPr>
        <w:pBdr/>
        <w:spacing w:line="560" w:lineRule="exact"/>
        <w:ind/>
        <w:rPr>
          <w:rFonts w:ascii="仿宋_GB2312" w:hAnsi="黑体" w:eastAsia="仿宋_GB2312"/>
          <w:sz w:val="32"/>
          <w:szCs w:val="32"/>
        </w:rPr>
      </w:pPr>
      <w:r>
        <w:rPr>
          <w:rFonts w:hint="eastAsia" w:ascii="黑体" w:hAnsi="黑体" w:eastAsia="黑体" w:cs="仿宋_GB2312"/>
          <w:sz w:val="32"/>
          <w:szCs w:val="32"/>
        </w:rPr>
        <w:t xml:space="preserve">   （五）全面落实机关建设新要求</w:t>
      </w:r>
      <w:r>
        <w:rPr>
          <w:rFonts w:ascii="仿宋_GB2312" w:hAnsi="黑体" w:eastAsia="仿宋_GB2312"/>
          <w:sz w:val="32"/>
          <w:szCs w:val="32"/>
        </w:rPr>
      </w:r>
    </w:p>
    <w:p>
      <w:pPr>
        <w:pBdr/>
        <w:spacing w:line="560" w:lineRule="exact"/>
        <w:ind/>
        <w:rPr>
          <w:rFonts w:ascii="仿宋_GB2312" w:hAnsi="仿宋_GB2312" w:eastAsia="仿宋_GB2312" w:cs="仿宋_GB2312"/>
          <w:sz w:val="32"/>
          <w:szCs w:val="32"/>
        </w:rPr>
      </w:pPr>
      <w:r>
        <w:rPr>
          <w:rFonts w:hint="eastAsia" w:ascii="仿宋_GB2312" w:hAnsi="黑体" w:eastAsia="仿宋_GB2312"/>
          <w:sz w:val="32"/>
          <w:szCs w:val="32"/>
        </w:rPr>
        <w:t xml:space="preserve">   </w:t>
      </w:r>
      <w:r>
        <w:rPr>
          <w:rFonts w:hint="eastAsia" w:ascii="仿宋_GB2312" w:hAnsi="黑体" w:eastAsia="仿宋_GB2312"/>
          <w:b/>
          <w:sz w:val="32"/>
          <w:szCs w:val="32"/>
        </w:rPr>
        <w:t xml:space="preserve">着力把好方向、谋好全局。</w:t>
      </w:r>
      <w:r>
        <w:rPr>
          <w:rFonts w:hint="eastAsia" w:ascii="仿宋_GB2312" w:hAnsi="黑体" w:eastAsia="仿宋_GB2312"/>
          <w:sz w:val="32"/>
          <w:szCs w:val="32"/>
        </w:rPr>
        <w:t xml:space="preserve">贯彻执行《北京市街道办事处条例》，落实好新时代街道工作意见，坚持</w:t>
      </w:r>
      <w:r>
        <w:rPr>
          <w:rFonts w:hint="eastAsia" w:ascii="仿宋_GB2312" w:hAnsi="仿宋_GB2312" w:eastAsia="仿宋_GB2312" w:cs="仿宋_GB2312"/>
          <w:bCs/>
          <w:sz w:val="32"/>
          <w:szCs w:val="32"/>
        </w:rPr>
        <w:t xml:space="preserve">美好陶然建设三年行动计划总纲要求，</w:t>
      </w:r>
      <w:r>
        <w:rPr>
          <w:rFonts w:hint="eastAsia" w:ascii="仿宋_GB2312" w:hAnsi="黑体" w:eastAsia="仿宋_GB2312"/>
          <w:sz w:val="32"/>
          <w:szCs w:val="32"/>
        </w:rPr>
        <w:t xml:space="preserve">完善街道大部制改革，加快内部运行机制磨合和外部机制衔接。做实街、区两级党建工作协调委员会，</w:t>
      </w:r>
      <w:r>
        <w:rPr>
          <w:rFonts w:hint="eastAsia" w:ascii="仿宋_GB2312" w:hAnsi="仿宋_GB2312" w:eastAsia="仿宋_GB2312" w:cs="仿宋_GB2312"/>
          <w:sz w:val="32"/>
          <w:szCs w:val="32"/>
        </w:rPr>
        <w:t xml:space="preserve">抓好区域化党建项目和服务群众项目建设。坚持街道工委、社区党委定期向群众通报情况制度，继续</w:t>
      </w:r>
      <w:r>
        <w:rPr>
          <w:rFonts w:hint="eastAsia" w:ascii="仿宋_GB2312" w:eastAsia="仿宋_GB2312"/>
          <w:sz w:val="32"/>
          <w:szCs w:val="32"/>
        </w:rPr>
        <w:t xml:space="preserve">探索推进社区党组织领导居委会、业委会、物业企业，破解城市基层治理难题，</w:t>
      </w:r>
      <w:r>
        <w:rPr>
          <w:rFonts w:hint="eastAsia" w:ascii="仿宋_GB2312" w:hAnsi="仿宋_GB2312" w:eastAsia="仿宋_GB2312" w:cs="仿宋_GB2312"/>
          <w:sz w:val="32"/>
          <w:szCs w:val="32"/>
        </w:rPr>
        <w:t xml:space="preserve">充分运用在职党员双报到机制、</w:t>
      </w:r>
      <w:r>
        <w:rPr>
          <w:rFonts w:ascii="仿宋" w:hAnsi="仿宋" w:eastAsia="仿宋" w:cs="仿宋"/>
          <w:sz w:val="32"/>
          <w:szCs w:val="32"/>
        </w:rPr>
        <w:t xml:space="preserve">党建协调委员会运行机制</w:t>
      </w:r>
      <w:r>
        <w:rPr>
          <w:rFonts w:hint="eastAsia" w:ascii="仿宋_GB2312" w:hAnsi="仿宋_GB2312" w:eastAsia="仿宋_GB2312" w:cs="仿宋_GB2312"/>
          <w:sz w:val="32"/>
          <w:szCs w:val="32"/>
        </w:rPr>
        <w:t xml:space="preserve">，盘活社区和辖区单位党员资源，</w:t>
      </w:r>
      <w:r>
        <w:rPr>
          <w:rFonts w:ascii="仿宋" w:hAnsi="仿宋" w:eastAsia="仿宋" w:cs="仿宋"/>
          <w:sz w:val="32"/>
          <w:szCs w:val="32"/>
        </w:rPr>
        <w:t xml:space="preserve">推进“三项清单”和“四个双向”服务</w:t>
      </w:r>
      <w:r>
        <w:rPr>
          <w:rFonts w:hint="eastAsia" w:ascii="仿宋_GB2312" w:hAnsi="仿宋_GB2312" w:eastAsia="仿宋_GB2312" w:cs="仿宋_GB2312"/>
          <w:sz w:val="32"/>
          <w:szCs w:val="32"/>
        </w:rPr>
        <w:t xml:space="preserve">，引领各类组织做好服务群众工作。</w:t>
      </w:r>
      <w:r>
        <w:rPr>
          <w:rFonts w:ascii="仿宋_GB2312" w:hAnsi="仿宋_GB2312" w:eastAsia="仿宋_GB2312" w:cs="仿宋_GB2312"/>
          <w:sz w:val="32"/>
          <w:szCs w:val="32"/>
        </w:rPr>
      </w:r>
    </w:p>
    <w:p>
      <w:pPr>
        <w:pBdr/>
        <w:spacing w:line="560" w:lineRule="exact"/>
        <w:ind/>
        <w:rPr>
          <w:rFonts w:ascii="仿宋_GB2312" w:hAnsi="黑体" w:eastAsia="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 xml:space="preserve">落实意识形态工作责任制。</w:t>
      </w:r>
      <w:r>
        <w:rPr>
          <w:rFonts w:hint="eastAsia" w:ascii="仿宋_GB2312" w:hAnsi="仿宋_GB2312" w:eastAsia="仿宋_GB2312" w:cs="仿宋_GB2312"/>
          <w:sz w:val="32"/>
          <w:szCs w:val="32"/>
        </w:rPr>
        <w:t xml:space="preserve">把继续深入学习宣传贯彻习近平新时代中国特色社会主义思想和党的十九大精神作为首要政治任务，不断巩固深化“不忘初心、牢记使命”主题教育成果，将检视出的１３个问题作为“明镜高悬”，上下联动认真整改。充分发挥党员教育管理服务中心、党校分校等平台作用，</w:t>
      </w:r>
      <w:r>
        <w:rPr>
          <w:rFonts w:hint="eastAsia" w:ascii="仿宋_GB2312" w:eastAsia="仿宋_GB2312"/>
          <w:sz w:val="32"/>
          <w:szCs w:val="32"/>
        </w:rPr>
        <w:t xml:space="preserve">加强党章学习培训，强化党规党纪特别是政治纪律和政治规矩教育。坚持</w:t>
      </w:r>
      <w:r>
        <w:rPr>
          <w:rFonts w:hint="eastAsia" w:ascii="仿宋_GB2312" w:hAnsi="仿宋_GB2312" w:eastAsia="仿宋_GB2312" w:cs="仿宋_GB2312"/>
          <w:sz w:val="32"/>
          <w:szCs w:val="32"/>
        </w:rPr>
        <w:t xml:space="preserve">以“一报一号”为宣传阵地，宣扬社会主义核心价值观，营造良好舆论氛围。</w:t>
      </w:r>
      <w:r>
        <w:rPr>
          <w:rFonts w:ascii="仿宋_GB2312" w:hAnsi="黑体" w:eastAsia="仿宋_GB2312"/>
          <w:sz w:val="32"/>
          <w:szCs w:val="32"/>
        </w:rPr>
      </w:r>
    </w:p>
    <w:p>
      <w:pPr>
        <w:pBdr/>
        <w:spacing w:line="540" w:lineRule="exact"/>
        <w:ind w:firstLine="643"/>
        <w:rPr>
          <w:rFonts w:ascii="仿宋_GB2312" w:hAnsi="黑体" w:eastAsia="仿宋_GB2312"/>
          <w:sz w:val="32"/>
          <w:szCs w:val="32"/>
        </w:rPr>
      </w:pPr>
      <w:r>
        <w:rPr>
          <w:rFonts w:ascii="仿宋_GB2312" w:hAnsi="仿宋_GB2312" w:eastAsia="仿宋_GB2312" w:cs="仿宋_GB2312"/>
          <w:b/>
          <w:sz w:val="32"/>
          <w:szCs w:val="32"/>
        </w:rPr>
        <w:t xml:space="preserve">持之以恒</w:t>
      </w:r>
      <w:r>
        <w:rPr>
          <w:rFonts w:hint="eastAsia" w:ascii="仿宋_GB2312" w:hAnsi="仿宋_GB2312" w:eastAsia="仿宋_GB2312" w:cs="仿宋_GB2312"/>
          <w:b/>
          <w:sz w:val="32"/>
          <w:szCs w:val="32"/>
        </w:rPr>
        <w:t xml:space="preserve">抓好正风肃纪。</w:t>
      </w:r>
      <w:r>
        <w:rPr>
          <w:rFonts w:hint="eastAsia" w:ascii="仿宋_GB2312" w:hAnsi="仿宋_GB2312" w:eastAsia="仿宋_GB2312" w:cs="仿宋_GB2312"/>
          <w:sz w:val="32"/>
          <w:szCs w:val="32"/>
        </w:rPr>
        <w:t xml:space="preserve">坚决纠正为民服务中的形式主义、官僚主义问题，把群众认可满意作为评价工作的标准。</w:t>
      </w:r>
      <w:r>
        <w:rPr>
          <w:rFonts w:ascii="仿宋_GB2312" w:hAnsi="仿宋_GB2312" w:eastAsia="仿宋_GB2312" w:cs="仿宋_GB2312"/>
          <w:sz w:val="32"/>
          <w:szCs w:val="32"/>
        </w:rPr>
        <w:t xml:space="preserve">重点抓好落实不到位、不作为引发严重后果、错失工作时机、耽误工作进程等问题的查处问责。提高精准运用监督执纪“四种形态”的能力水平，抓早抓小、防微杜渐</w:t>
      </w:r>
      <w:r>
        <w:rPr>
          <w:rFonts w:hint="eastAsia" w:ascii="仿宋_GB2312" w:hAnsi="仿宋_GB2312" w:eastAsia="仿宋_GB2312" w:cs="仿宋_GB2312"/>
          <w:sz w:val="32"/>
          <w:szCs w:val="32"/>
        </w:rPr>
        <w:t xml:space="preserve">。</w:t>
      </w:r>
      <w:r>
        <w:rPr>
          <w:rFonts w:ascii="仿宋_GB2312" w:hAnsi="仿宋_GB2312" w:eastAsia="仿宋_GB2312" w:cs="仿宋_GB2312"/>
          <w:sz w:val="32"/>
          <w:szCs w:val="32"/>
        </w:rPr>
        <w:t xml:space="preserve">加大违纪违法典型案例通报曝光力度，以查处违反中央八项规定精神问题、群众身边腐败和作风问题为重点，坚持发现一起、严肃处理一起，推动</w:t>
      </w:r>
      <w:r>
        <w:rPr>
          <w:rFonts w:hint="eastAsia" w:ascii="仿宋_GB2312" w:hAnsi="仿宋_GB2312" w:eastAsia="仿宋_GB2312" w:cs="仿宋_GB2312"/>
          <w:sz w:val="32"/>
          <w:szCs w:val="32"/>
        </w:rPr>
        <w:t xml:space="preserve">街道干部队伍</w:t>
      </w:r>
      <w:r>
        <w:rPr>
          <w:rFonts w:ascii="仿宋_GB2312" w:hAnsi="仿宋_GB2312" w:eastAsia="仿宋_GB2312" w:cs="仿宋_GB2312"/>
          <w:sz w:val="32"/>
          <w:szCs w:val="32"/>
        </w:rPr>
        <w:t xml:space="preserve">纪律作风更加严明过硬、政治生态更加风清气正。</w:t>
      </w:r>
      <w:r>
        <w:rPr>
          <w:rFonts w:ascii="仿宋_GB2312" w:hAnsi="黑体" w:eastAsia="仿宋_GB2312"/>
          <w:sz w:val="32"/>
          <w:szCs w:val="32"/>
        </w:rPr>
      </w:r>
    </w:p>
    <w:sectPr>
      <w:footerReference w:type="default" r:id="rId9"/>
      <w:footnotePr/>
      <w:endnotePr/>
      <w:type w:val="nextPage"/>
      <w:pgSz w:h="16838" w:orient="landscape" w:w="11906"/>
      <w:pgMar w:top="1440" w:right="1800" w:bottom="1440" w:left="1800" w:header="851" w:footer="992" w:gutter="0"/>
      <w:cols w:num="1" w:sep="0" w:space="425"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楷体">
    <w:panose1 w:val="02010609060101010101"/>
  </w:font>
  <w:font w:name="Times New Roman">
    <w:panose1 w:val="02020603050405020304"/>
  </w:font>
  <w:font w:name="仿宋">
    <w:panose1 w:val="02010609060101010101"/>
  </w:font>
  <w:font w:name="黑体">
    <w:panose1 w:val="02010609060101010101"/>
  </w:font>
  <w:font w:name="方正小标宋简体">
    <w:panose1 w:val="03000509000000000000"/>
  </w:font>
  <w:font w:name="仿宋_GB2312">
    <w:panose1 w:val="02010609030101010101"/>
  </w:font>
  <w:font w:name="Arial">
    <w:panose1 w:val="020B0604020202020204"/>
  </w:font>
  <w:font w:name="等线">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78470963"/>
      <w:docPartObj>
        <w:docPartGallery w:val="autotext"/>
      </w:docPartObj>
      <w:rPr/>
    </w:sdtPr>
    <w:sdtContent>
      <w:p>
        <w:pPr>
          <w:pStyle w:val="647"/>
          <w:pBdr/>
          <w:spacing/>
          <w:ind/>
          <w:jc w:val="center"/>
          <w:rPr/>
        </w:pPr>
        <w:r>
          <w:fldChar w:fldCharType="begin"/>
        </w:r>
        <w:r>
          <w:instrText xml:space="preserve"> PAGE   \* MERGEFORMAT </w:instrText>
        </w:r>
        <w:r>
          <w:fldChar w:fldCharType="separate"/>
        </w:r>
        <w:r>
          <w:rPr>
            <w:lang w:val="zh-CN"/>
          </w:rPr>
          <w:t xml:space="preserve">1</w:t>
        </w:r>
        <w:r>
          <w:rPr>
            <w:lang w:val="zh-CN"/>
          </w:rPr>
          <w:fldChar w:fldCharType="end"/>
        </w:r>
        <w:r/>
      </w:p>
    </w:sdtContent>
  </w:sdt>
  <w:p>
    <w:pPr>
      <w:pStyle w:val="647"/>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japaneseCounting"/>
      <w:pPr>
        <w:pBdr/>
        <w:spacing/>
        <w:ind w:hanging="1080" w:left="1710"/>
      </w:pPr>
      <w:rPr>
        <w:rFonts w:hint="default" w:ascii="仿宋_GB2312" w:hAnsi="黑体" w:eastAsia="仿宋_GB2312" w:cstheme="minorBidi"/>
        <w:b w:val="0"/>
      </w:rPr>
      <w:start w:val="1"/>
      <w:suff w:val="space"/>
    </w:lvl>
    <w:lvl w:ilvl="1">
      <w:isLgl w:val="false"/>
      <w:lvlJc w:val="left"/>
      <w:lvlText w:val="%2)"/>
      <w:numFmt w:val="lowerLetter"/>
      <w:pPr>
        <w:pBdr/>
        <w:spacing/>
        <w:ind w:hanging="420" w:left="1470"/>
      </w:pPr>
      <w:rPr/>
      <w:start w:val="1"/>
      <w:suff w:val="space"/>
    </w:lvl>
    <w:lvl w:ilvl="2">
      <w:isLgl w:val="false"/>
      <w:lvlJc w:val="right"/>
      <w:lvlText w:val="%3."/>
      <w:numFmt w:val="lowerRoman"/>
      <w:pPr>
        <w:pBdr/>
        <w:spacing/>
        <w:ind w:hanging="420" w:left="1890"/>
      </w:pPr>
      <w:rPr/>
      <w:start w:val="1"/>
      <w:suff w:val="space"/>
    </w:lvl>
    <w:lvl w:ilvl="3">
      <w:isLgl w:val="false"/>
      <w:lvlJc w:val="left"/>
      <w:lvlText w:val="%4."/>
      <w:numFmt w:val="decimal"/>
      <w:pPr>
        <w:pBdr/>
        <w:spacing/>
        <w:ind w:hanging="420" w:left="2310"/>
      </w:pPr>
      <w:rPr/>
      <w:start w:val="1"/>
      <w:suff w:val="space"/>
    </w:lvl>
    <w:lvl w:ilvl="4">
      <w:isLgl w:val="false"/>
      <w:lvlJc w:val="left"/>
      <w:lvlText w:val="%5)"/>
      <w:numFmt w:val="lowerLetter"/>
      <w:pPr>
        <w:pBdr/>
        <w:spacing/>
        <w:ind w:hanging="420" w:left="2730"/>
      </w:pPr>
      <w:rPr/>
      <w:start w:val="1"/>
      <w:suff w:val="space"/>
    </w:lvl>
    <w:lvl w:ilvl="5">
      <w:isLgl w:val="false"/>
      <w:lvlJc w:val="right"/>
      <w:lvlText w:val="%6."/>
      <w:numFmt w:val="lowerRoman"/>
      <w:pPr>
        <w:pBdr/>
        <w:spacing/>
        <w:ind w:hanging="420" w:left="3150"/>
      </w:pPr>
      <w:rPr/>
      <w:start w:val="1"/>
      <w:suff w:val="space"/>
    </w:lvl>
    <w:lvl w:ilvl="6">
      <w:isLgl w:val="false"/>
      <w:lvlJc w:val="left"/>
      <w:lvlText w:val="%7."/>
      <w:numFmt w:val="decimal"/>
      <w:pPr>
        <w:pBdr/>
        <w:spacing/>
        <w:ind w:hanging="420" w:left="3570"/>
      </w:pPr>
      <w:rPr/>
      <w:start w:val="1"/>
      <w:suff w:val="space"/>
    </w:lvl>
    <w:lvl w:ilvl="7">
      <w:isLgl w:val="false"/>
      <w:lvlJc w:val="left"/>
      <w:lvlText w:val="%8)"/>
      <w:numFmt w:val="lowerLetter"/>
      <w:pPr>
        <w:pBdr/>
        <w:spacing/>
        <w:ind w:hanging="420" w:left="3990"/>
      </w:pPr>
      <w:rPr/>
      <w:start w:val="1"/>
      <w:suff w:val="space"/>
    </w:lvl>
    <w:lvl w:ilvl="8">
      <w:isLgl w:val="false"/>
      <w:lvlJc w:val="right"/>
      <w:lvlText w:val="%9."/>
      <w:numFmt w:val="lowerRoman"/>
      <w:pPr>
        <w:pBdr/>
        <w:spacing/>
        <w:ind w:hanging="420" w:left="4410"/>
      </w:pPr>
      <w:rPr/>
      <w:start w:val="1"/>
      <w:suff w:val="space"/>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enforcement="0"/>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44"/>
    <w:next w:val="644"/>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645"/>
    <w:link w:val="13"/>
    <w:uiPriority w:val="9"/>
    <w:pPr>
      <w:pBdr/>
      <w:spacing/>
      <w:ind/>
    </w:pPr>
    <w:rPr>
      <w:rFonts w:ascii="等线" w:hAnsi="等线" w:eastAsia="等线" w:cs="等线"/>
      <w:sz w:val="40"/>
      <w:szCs w:val="40"/>
    </w:rPr>
  </w:style>
  <w:style w:type="paragraph" w:styleId="15">
    <w:name w:val="Heading 2"/>
    <w:basedOn w:val="644"/>
    <w:next w:val="644"/>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645"/>
    <w:link w:val="15"/>
    <w:uiPriority w:val="9"/>
    <w:pPr>
      <w:pBdr/>
      <w:spacing/>
      <w:ind/>
    </w:pPr>
    <w:rPr>
      <w:rFonts w:ascii="等线" w:hAnsi="等线" w:eastAsia="等线" w:cs="等线"/>
      <w:sz w:val="34"/>
    </w:rPr>
  </w:style>
  <w:style w:type="paragraph" w:styleId="17">
    <w:name w:val="Heading 3"/>
    <w:basedOn w:val="644"/>
    <w:next w:val="644"/>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645"/>
    <w:link w:val="17"/>
    <w:uiPriority w:val="9"/>
    <w:pPr>
      <w:pBdr/>
      <w:spacing/>
      <w:ind/>
    </w:pPr>
    <w:rPr>
      <w:rFonts w:ascii="等线" w:hAnsi="等线" w:eastAsia="等线" w:cs="等线"/>
      <w:sz w:val="30"/>
      <w:szCs w:val="30"/>
    </w:rPr>
  </w:style>
  <w:style w:type="paragraph" w:styleId="19">
    <w:name w:val="Heading 4"/>
    <w:basedOn w:val="644"/>
    <w:next w:val="644"/>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645"/>
    <w:link w:val="19"/>
    <w:uiPriority w:val="9"/>
    <w:pPr>
      <w:pBdr/>
      <w:spacing/>
      <w:ind/>
    </w:pPr>
    <w:rPr>
      <w:rFonts w:ascii="等线" w:hAnsi="等线" w:eastAsia="等线" w:cs="等线"/>
      <w:b/>
      <w:bCs/>
      <w:sz w:val="26"/>
      <w:szCs w:val="26"/>
    </w:rPr>
  </w:style>
  <w:style w:type="paragraph" w:styleId="21">
    <w:name w:val="Heading 5"/>
    <w:basedOn w:val="644"/>
    <w:next w:val="644"/>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645"/>
    <w:link w:val="21"/>
    <w:uiPriority w:val="9"/>
    <w:pPr>
      <w:pBdr/>
      <w:spacing/>
      <w:ind/>
    </w:pPr>
    <w:rPr>
      <w:rFonts w:ascii="等线" w:hAnsi="等线" w:eastAsia="等线" w:cs="等线"/>
      <w:b/>
      <w:bCs/>
      <w:sz w:val="24"/>
      <w:szCs w:val="24"/>
    </w:rPr>
  </w:style>
  <w:style w:type="paragraph" w:styleId="23">
    <w:name w:val="Heading 6"/>
    <w:basedOn w:val="644"/>
    <w:next w:val="644"/>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645"/>
    <w:link w:val="23"/>
    <w:uiPriority w:val="9"/>
    <w:pPr>
      <w:pBdr/>
      <w:spacing/>
      <w:ind/>
    </w:pPr>
    <w:rPr>
      <w:rFonts w:ascii="等线" w:hAnsi="等线" w:eastAsia="等线" w:cs="等线"/>
      <w:b/>
      <w:bCs/>
      <w:sz w:val="22"/>
      <w:szCs w:val="22"/>
    </w:rPr>
  </w:style>
  <w:style w:type="paragraph" w:styleId="25">
    <w:name w:val="Heading 7"/>
    <w:basedOn w:val="644"/>
    <w:next w:val="644"/>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645"/>
    <w:link w:val="25"/>
    <w:uiPriority w:val="9"/>
    <w:pPr>
      <w:pBdr/>
      <w:spacing/>
      <w:ind/>
    </w:pPr>
    <w:rPr>
      <w:rFonts w:ascii="等线" w:hAnsi="等线" w:eastAsia="等线" w:cs="等线"/>
      <w:b/>
      <w:bCs/>
      <w:i/>
      <w:iCs/>
      <w:sz w:val="22"/>
      <w:szCs w:val="22"/>
    </w:rPr>
  </w:style>
  <w:style w:type="paragraph" w:styleId="27">
    <w:name w:val="Heading 8"/>
    <w:basedOn w:val="644"/>
    <w:next w:val="644"/>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645"/>
    <w:link w:val="27"/>
    <w:uiPriority w:val="9"/>
    <w:pPr>
      <w:pBdr/>
      <w:spacing/>
      <w:ind/>
    </w:pPr>
    <w:rPr>
      <w:rFonts w:ascii="等线" w:hAnsi="等线" w:eastAsia="等线" w:cs="等线"/>
      <w:i/>
      <w:iCs/>
      <w:sz w:val="22"/>
      <w:szCs w:val="22"/>
    </w:rPr>
  </w:style>
  <w:style w:type="paragraph" w:styleId="29">
    <w:name w:val="Heading 9"/>
    <w:basedOn w:val="644"/>
    <w:next w:val="644"/>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645"/>
    <w:link w:val="29"/>
    <w:uiPriority w:val="9"/>
    <w:pPr>
      <w:pBdr/>
      <w:spacing/>
      <w:ind/>
    </w:pPr>
    <w:rPr>
      <w:rFonts w:ascii="等线" w:hAnsi="等线" w:eastAsia="等线" w:cs="等线"/>
      <w:i/>
      <w:iCs/>
      <w:sz w:val="21"/>
      <w:szCs w:val="21"/>
    </w:rPr>
  </w:style>
  <w:style w:type="paragraph" w:styleId="33">
    <w:name w:val="No Spacing"/>
    <w:uiPriority w:val="1"/>
    <w:qFormat/>
    <w:pPr>
      <w:pBdr/>
      <w:spacing w:after="0" w:before="0" w:line="240" w:lineRule="auto"/>
      <w:ind/>
    </w:pPr>
  </w:style>
  <w:style w:type="paragraph" w:styleId="34">
    <w:name w:val="Title"/>
    <w:basedOn w:val="644"/>
    <w:next w:val="644"/>
    <w:link w:val="35"/>
    <w:uiPriority w:val="10"/>
    <w:qFormat/>
    <w:pPr>
      <w:pBdr/>
      <w:spacing w:after="200" w:before="300"/>
      <w:ind/>
      <w:contextualSpacing w:val="true"/>
    </w:pPr>
    <w:rPr>
      <w:sz w:val="48"/>
      <w:szCs w:val="48"/>
    </w:rPr>
  </w:style>
  <w:style w:type="character" w:styleId="35">
    <w:name w:val="Title Char"/>
    <w:basedOn w:val="645"/>
    <w:link w:val="34"/>
    <w:uiPriority w:val="10"/>
    <w:pPr>
      <w:pBdr/>
      <w:spacing/>
      <w:ind/>
    </w:pPr>
    <w:rPr>
      <w:sz w:val="48"/>
      <w:szCs w:val="48"/>
    </w:rPr>
  </w:style>
  <w:style w:type="paragraph" w:styleId="36">
    <w:name w:val="Subtitle"/>
    <w:basedOn w:val="644"/>
    <w:next w:val="644"/>
    <w:link w:val="37"/>
    <w:uiPriority w:val="11"/>
    <w:qFormat/>
    <w:pPr>
      <w:pBdr/>
      <w:spacing w:after="200" w:before="200"/>
      <w:ind/>
    </w:pPr>
    <w:rPr>
      <w:sz w:val="24"/>
      <w:szCs w:val="24"/>
    </w:rPr>
  </w:style>
  <w:style w:type="character" w:styleId="37">
    <w:name w:val="Subtitle Char"/>
    <w:basedOn w:val="645"/>
    <w:link w:val="36"/>
    <w:uiPriority w:val="11"/>
    <w:pPr>
      <w:pBdr/>
      <w:spacing/>
      <w:ind/>
    </w:pPr>
    <w:rPr>
      <w:sz w:val="24"/>
      <w:szCs w:val="24"/>
    </w:rPr>
  </w:style>
  <w:style w:type="paragraph" w:styleId="38">
    <w:name w:val="Quote"/>
    <w:basedOn w:val="644"/>
    <w:next w:val="644"/>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44"/>
    <w:next w:val="644"/>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character" w:styleId="43">
    <w:name w:val="Header Char"/>
    <w:basedOn w:val="645"/>
    <w:link w:val="648"/>
    <w:uiPriority w:val="99"/>
    <w:pPr>
      <w:pBdr/>
      <w:spacing/>
      <w:ind/>
    </w:pPr>
  </w:style>
  <w:style w:type="character" w:styleId="45">
    <w:name w:val="Footer Char"/>
    <w:basedOn w:val="645"/>
    <w:link w:val="647"/>
    <w:uiPriority w:val="99"/>
    <w:pPr>
      <w:pBdr/>
      <w:spacing/>
      <w:ind/>
    </w:pPr>
  </w:style>
  <w:style w:type="paragraph" w:styleId="46">
    <w:name w:val="Caption"/>
    <w:basedOn w:val="644"/>
    <w:next w:val="644"/>
    <w:uiPriority w:val="35"/>
    <w:semiHidden/>
    <w:unhideWhenUsed/>
    <w:qFormat/>
    <w:pPr>
      <w:pBdr/>
      <w:spacing w:line="276" w:lineRule="auto"/>
      <w:ind/>
    </w:pPr>
    <w:rPr>
      <w:b/>
      <w:bCs/>
      <w:color w:val="4f81bd" w:themeColor="accent1"/>
      <w:sz w:val="18"/>
      <w:szCs w:val="18"/>
    </w:rPr>
  </w:style>
  <w:style w:type="character" w:styleId="47">
    <w:name w:val="Caption Char"/>
    <w:basedOn w:val="46"/>
    <w:link w:val="647"/>
    <w:uiPriority w:val="99"/>
    <w:pPr>
      <w:pBdr/>
      <w:spacing/>
      <w:ind/>
    </w:pPr>
  </w:style>
  <w:style w:type="table" w:styleId="48">
    <w:name w:val="Table Grid"/>
    <w:basedOn w:val="646"/>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64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4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46"/>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4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4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4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46"/>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4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4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4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4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4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4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4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4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4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4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4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4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4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4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4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4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4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4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4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4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46"/>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46"/>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46"/>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46"/>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46"/>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46"/>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4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4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4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4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4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4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4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4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46"/>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46"/>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4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46"/>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4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46"/>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4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46"/>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46"/>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46"/>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46"/>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46"/>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46"/>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4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4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4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4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4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4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4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4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46"/>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46"/>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46"/>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46"/>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46"/>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46"/>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4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4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46"/>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4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46"/>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4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46"/>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4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4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46"/>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46"/>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46"/>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46"/>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46"/>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4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46"/>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46"/>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46"/>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46"/>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46"/>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46"/>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4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46"/>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46"/>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46"/>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46"/>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46"/>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46"/>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4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46"/>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46"/>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646"/>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646"/>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646"/>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646"/>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64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64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4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4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4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4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4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4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46"/>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46"/>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46"/>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46"/>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46"/>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46"/>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4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46"/>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4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4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4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4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4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4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75">
    <w:name w:val="footnote text"/>
    <w:basedOn w:val="644"/>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645"/>
    <w:uiPriority w:val="99"/>
    <w:unhideWhenUsed/>
    <w:pPr>
      <w:pBdr/>
      <w:spacing/>
      <w:ind/>
    </w:pPr>
    <w:rPr>
      <w:vertAlign w:val="superscript"/>
    </w:rPr>
  </w:style>
  <w:style w:type="paragraph" w:styleId="178">
    <w:name w:val="endnote text"/>
    <w:basedOn w:val="644"/>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645"/>
    <w:uiPriority w:val="99"/>
    <w:semiHidden/>
    <w:unhideWhenUsed/>
    <w:pPr>
      <w:pBdr/>
      <w:spacing/>
      <w:ind/>
    </w:pPr>
    <w:rPr>
      <w:vertAlign w:val="superscript"/>
    </w:rPr>
  </w:style>
  <w:style w:type="paragraph" w:styleId="181">
    <w:name w:val="toc 1"/>
    <w:basedOn w:val="644"/>
    <w:next w:val="644"/>
    <w:uiPriority w:val="39"/>
    <w:unhideWhenUsed/>
    <w:pPr>
      <w:pBdr/>
      <w:spacing w:after="57"/>
      <w:ind w:right="0" w:firstLine="0" w:left="0"/>
    </w:pPr>
  </w:style>
  <w:style w:type="paragraph" w:styleId="182">
    <w:name w:val="toc 2"/>
    <w:basedOn w:val="644"/>
    <w:next w:val="644"/>
    <w:uiPriority w:val="39"/>
    <w:unhideWhenUsed/>
    <w:pPr>
      <w:pBdr/>
      <w:spacing w:after="57"/>
      <w:ind w:right="0" w:firstLine="0" w:left="283"/>
    </w:pPr>
  </w:style>
  <w:style w:type="paragraph" w:styleId="183">
    <w:name w:val="toc 3"/>
    <w:basedOn w:val="644"/>
    <w:next w:val="644"/>
    <w:uiPriority w:val="39"/>
    <w:unhideWhenUsed/>
    <w:pPr>
      <w:pBdr/>
      <w:spacing w:after="57"/>
      <w:ind w:right="0" w:firstLine="0" w:left="567"/>
    </w:pPr>
  </w:style>
  <w:style w:type="paragraph" w:styleId="184">
    <w:name w:val="toc 4"/>
    <w:basedOn w:val="644"/>
    <w:next w:val="644"/>
    <w:uiPriority w:val="39"/>
    <w:unhideWhenUsed/>
    <w:pPr>
      <w:pBdr/>
      <w:spacing w:after="57"/>
      <w:ind w:right="0" w:firstLine="0" w:left="850"/>
    </w:pPr>
  </w:style>
  <w:style w:type="paragraph" w:styleId="185">
    <w:name w:val="toc 5"/>
    <w:basedOn w:val="644"/>
    <w:next w:val="644"/>
    <w:uiPriority w:val="39"/>
    <w:unhideWhenUsed/>
    <w:pPr>
      <w:pBdr/>
      <w:spacing w:after="57"/>
      <w:ind w:right="0" w:firstLine="0" w:left="1134"/>
    </w:pPr>
  </w:style>
  <w:style w:type="paragraph" w:styleId="186">
    <w:name w:val="toc 6"/>
    <w:basedOn w:val="644"/>
    <w:next w:val="644"/>
    <w:uiPriority w:val="39"/>
    <w:unhideWhenUsed/>
    <w:pPr>
      <w:pBdr/>
      <w:spacing w:after="57"/>
      <w:ind w:right="0" w:firstLine="0" w:left="1417"/>
    </w:pPr>
  </w:style>
  <w:style w:type="paragraph" w:styleId="187">
    <w:name w:val="toc 7"/>
    <w:basedOn w:val="644"/>
    <w:next w:val="644"/>
    <w:uiPriority w:val="39"/>
    <w:unhideWhenUsed/>
    <w:pPr>
      <w:pBdr/>
      <w:spacing w:after="57"/>
      <w:ind w:right="0" w:firstLine="0" w:left="1701"/>
    </w:pPr>
  </w:style>
  <w:style w:type="paragraph" w:styleId="188">
    <w:name w:val="toc 8"/>
    <w:basedOn w:val="644"/>
    <w:next w:val="644"/>
    <w:uiPriority w:val="39"/>
    <w:unhideWhenUsed/>
    <w:pPr>
      <w:pBdr/>
      <w:spacing w:after="57"/>
      <w:ind w:right="0" w:firstLine="0" w:left="1984"/>
    </w:pPr>
  </w:style>
  <w:style w:type="paragraph" w:styleId="189">
    <w:name w:val="toc 9"/>
    <w:basedOn w:val="644"/>
    <w:next w:val="644"/>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44"/>
    <w:next w:val="644"/>
    <w:uiPriority w:val="99"/>
    <w:unhideWhenUsed/>
    <w:pPr>
      <w:pBdr/>
      <w:spacing w:after="0" w:afterAutospacing="0"/>
      <w:ind/>
    </w:pPr>
  </w:style>
  <w:style w:type="paragraph" w:styleId="644" w:default="1">
    <w:name w:val="Normal"/>
    <w:uiPriority w:val="0"/>
    <w:qFormat/>
    <w:pPr>
      <w:widowControl w:val="false"/>
      <w:pBdr/>
      <w:spacing/>
      <w:ind/>
      <w:jc w:val="both"/>
    </w:pPr>
    <w:rPr>
      <w:rFonts w:asciiTheme="minorHAnsi" w:hAnsiTheme="minorHAnsi" w:eastAsiaTheme="minorEastAsia" w:cstheme="minorBidi"/>
      <w:sz w:val="21"/>
      <w:szCs w:val="22"/>
      <w:lang w:val="en-US" w:eastAsia="zh-CN" w:bidi="ar-SA"/>
    </w:rPr>
  </w:style>
  <w:style w:type="character" w:styleId="645" w:default="1">
    <w:name w:val="Default Paragraph Font"/>
    <w:uiPriority w:val="1"/>
    <w:semiHidden/>
    <w:unhideWhenUsed/>
    <w:pPr>
      <w:pBdr/>
      <w:spacing/>
      <w:ind/>
    </w:pPr>
  </w:style>
  <w:style w:type="table" w:styleId="646" w:default="1">
    <w:name w:val="Normal Table"/>
    <w:uiPriority w:val="99"/>
    <w:semiHidden/>
    <w:unhideWhenUsed/>
    <w:qFormat/>
    <w:pPr>
      <w:pBdr/>
      <w:spacing/>
      <w:ind/>
    </w:pPr>
    <w:tblPr>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47">
    <w:name w:val="Footer"/>
    <w:basedOn w:val="644"/>
    <w:link w:val="651"/>
    <w:uiPriority w:val="99"/>
    <w:unhideWhenUsed/>
    <w:qFormat/>
    <w:pPr>
      <w:pBdr/>
      <w:tabs>
        <w:tab w:val="center" w:leader="none" w:pos="4153"/>
        <w:tab w:val="right" w:leader="none" w:pos="8306"/>
      </w:tabs>
      <w:spacing/>
      <w:ind/>
      <w:jc w:val="left"/>
    </w:pPr>
    <w:rPr>
      <w:sz w:val="18"/>
      <w:szCs w:val="18"/>
    </w:rPr>
  </w:style>
  <w:style w:type="paragraph" w:styleId="648">
    <w:name w:val="Header"/>
    <w:basedOn w:val="644"/>
    <w:link w:val="650"/>
    <w:uiPriority w:val="99"/>
    <w:semiHidden/>
    <w:unhideWhenUsed/>
    <w:qFormat/>
    <w:pPr>
      <w:pBdr>
        <w:bottom w:val="single" w:color="000000" w:sz="6" w:space="1"/>
      </w:pBdr>
      <w:tabs>
        <w:tab w:val="center" w:leader="none" w:pos="4153"/>
        <w:tab w:val="right" w:leader="none" w:pos="8306"/>
      </w:tabs>
      <w:spacing/>
      <w:ind/>
      <w:jc w:val="center"/>
    </w:pPr>
    <w:rPr>
      <w:sz w:val="18"/>
      <w:szCs w:val="18"/>
    </w:rPr>
  </w:style>
  <w:style w:type="character" w:styleId="649">
    <w:name w:val="Hyperlink"/>
    <w:basedOn w:val="645"/>
    <w:uiPriority w:val="99"/>
    <w:unhideWhenUsed/>
    <w:pPr>
      <w:pBdr/>
      <w:spacing/>
      <w:ind/>
    </w:pPr>
    <w:rPr>
      <w:color w:val="0000ff" w:themeColor="hyperlink"/>
      <w:u w:val="single"/>
    </w:rPr>
  </w:style>
  <w:style w:type="character" w:styleId="650" w:customStyle="1">
    <w:name w:val="页眉 Char"/>
    <w:basedOn w:val="645"/>
    <w:link w:val="648"/>
    <w:uiPriority w:val="99"/>
    <w:semiHidden/>
    <w:pPr>
      <w:pBdr/>
      <w:spacing/>
      <w:ind/>
    </w:pPr>
    <w:rPr>
      <w:sz w:val="18"/>
      <w:szCs w:val="18"/>
    </w:rPr>
  </w:style>
  <w:style w:type="character" w:styleId="651" w:customStyle="1">
    <w:name w:val="页脚 Char"/>
    <w:basedOn w:val="645"/>
    <w:link w:val="647"/>
    <w:uiPriority w:val="99"/>
    <w:pPr>
      <w:pBdr/>
      <w:spacing/>
      <w:ind/>
    </w:pPr>
    <w:rPr>
      <w:sz w:val="18"/>
      <w:szCs w:val="18"/>
    </w:rPr>
  </w:style>
  <w:style w:type="paragraph" w:styleId="652">
    <w:name w:val="List Paragraph"/>
    <w:basedOn w:val="644"/>
    <w:uiPriority w:val="34"/>
    <w:qFormat/>
    <w:pPr>
      <w:pBdr/>
      <w:spacing/>
      <w:ind w:firstLine="420"/>
    </w:pPr>
  </w:style>
  <w:style w:type="numbering" w:styleId="932" w:default="1">
    <w:name w:val="No List"/>
    <w:uiPriority w:val="99"/>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ambria"/>
        <a:cs typeface="Arial"/>
      </a:majorFont>
      <a:minorFont>
        <a:latin typeface="等线"/>
        <a:ea typeface="等线"/>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Application>ONLYOFFICE/7.5.1.23</Application>
  <DocSecurity>0</DocSecurity>
  <LinksUpToDate>false</LinksUpToDate>
  <ScaleCrop>false</ScaleCrop>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石静</dc:creator>
  <cp:lastModifiedBy>匿名</cp:lastModifiedBy>
  <cp:revision>1779</cp:revision>
  <dcterms:created xsi:type="dcterms:W3CDTF">2019-12-09T01:56:00Z</dcterms:created>
  <dcterms:modified xsi:type="dcterms:W3CDTF">2025-10-17T07:01:00Z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