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ajorEastAsia" w:hAnsiTheme="majorEastAsia" w:eastAsiaTheme="majorEastAsia"/>
          <w:b/>
          <w:color w:val="000000" w:themeColor="text1"/>
          <w:sz w:val="36"/>
          <w:szCs w:val="36"/>
        </w:rPr>
      </w:pPr>
      <w:r>
        <w:rPr>
          <w:rFonts w:hint="eastAsia" w:asciiTheme="majorEastAsia" w:hAnsiTheme="majorEastAsia" w:eastAsiaTheme="majorEastAsia"/>
          <w:b/>
          <w:color w:val="000000" w:themeColor="text1"/>
          <w:kern w:val="0"/>
          <w:sz w:val="36"/>
          <w:szCs w:val="36"/>
        </w:rPr>
        <w:t>部门整体支出绩效目标申报表</w:t>
      </w:r>
    </w:p>
    <w:p>
      <w:pPr>
        <w:ind w:firstLine="0" w:firstLineChars="0"/>
        <w:jc w:val="center"/>
        <w:rPr>
          <w:rFonts w:ascii="方正小标宋简体" w:hAnsi="宋体" w:eastAsia="方正小标宋简体"/>
          <w:color w:val="000000" w:themeColor="text1"/>
          <w:sz w:val="22"/>
        </w:rPr>
      </w:pPr>
      <w:r>
        <w:rPr>
          <w:rFonts w:hint="eastAsia" w:ascii="宋体" w:hAnsi="宋体" w:cs="宋体"/>
          <w:kern w:val="0"/>
          <w:sz w:val="32"/>
          <w:szCs w:val="32"/>
        </w:rPr>
        <w:t>（</w:t>
      </w:r>
      <w:r>
        <w:rPr>
          <w:rFonts w:ascii="宋体" w:hAnsi="宋体"/>
          <w:kern w:val="0"/>
          <w:sz w:val="32"/>
          <w:szCs w:val="32"/>
        </w:rPr>
        <w:t xml:space="preserve">  </w:t>
      </w:r>
      <w:r>
        <w:rPr>
          <w:rFonts w:hint="eastAsia" w:ascii="宋体" w:hAnsi="宋体"/>
          <w:kern w:val="0"/>
          <w:sz w:val="32"/>
          <w:szCs w:val="32"/>
        </w:rPr>
        <w:t>2021</w:t>
      </w:r>
      <w:r>
        <w:rPr>
          <w:rFonts w:ascii="宋体" w:hAnsi="宋体"/>
          <w:kern w:val="0"/>
          <w:sz w:val="32"/>
          <w:szCs w:val="32"/>
        </w:rPr>
        <w:t xml:space="preserve">  </w:t>
      </w:r>
      <w:r>
        <w:rPr>
          <w:rFonts w:hint="eastAsia" w:ascii="宋体" w:hAnsi="宋体" w:cs="宋体"/>
          <w:kern w:val="0"/>
          <w:sz w:val="32"/>
          <w:szCs w:val="32"/>
        </w:rPr>
        <w:t>年度）</w:t>
      </w:r>
    </w:p>
    <w:tbl>
      <w:tblPr>
        <w:tblStyle w:val="8"/>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7"/>
        <w:gridCol w:w="1133"/>
        <w:gridCol w:w="1787"/>
        <w:gridCol w:w="4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1242"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部门（单位）名称</w:t>
            </w:r>
          </w:p>
        </w:tc>
        <w:tc>
          <w:tcPr>
            <w:tcW w:w="8752" w:type="dxa"/>
            <w:gridSpan w:val="4"/>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北京市西城区人民政府展览路街道办事处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242"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部门（单位）总体资金情况（万元）</w:t>
            </w:r>
          </w:p>
        </w:tc>
        <w:tc>
          <w:tcPr>
            <w:tcW w:w="4337" w:type="dxa"/>
            <w:gridSpan w:val="3"/>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资金总额</w:t>
            </w:r>
          </w:p>
        </w:tc>
        <w:tc>
          <w:tcPr>
            <w:tcW w:w="4415" w:type="dxa"/>
            <w:shd w:val="clear" w:color="auto" w:fill="auto"/>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41421.22万元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4337" w:type="dxa"/>
            <w:gridSpan w:val="3"/>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基本支出</w:t>
            </w:r>
          </w:p>
        </w:tc>
        <w:tc>
          <w:tcPr>
            <w:tcW w:w="4415" w:type="dxa"/>
            <w:shd w:val="clear" w:color="auto" w:fill="auto"/>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10470.23万元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4337" w:type="dxa"/>
            <w:gridSpan w:val="3"/>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项目支出</w:t>
            </w:r>
          </w:p>
        </w:tc>
        <w:tc>
          <w:tcPr>
            <w:tcW w:w="4415" w:type="dxa"/>
            <w:shd w:val="clear" w:color="auto" w:fill="auto"/>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30950.99万元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6" w:hRule="atLeast"/>
        </w:trPr>
        <w:tc>
          <w:tcPr>
            <w:tcW w:w="1242" w:type="dxa"/>
            <w:shd w:val="clear" w:color="auto" w:fill="auto"/>
            <w:vAlign w:val="center"/>
          </w:tcPr>
          <w:p>
            <w:pPr>
              <w:widowControl/>
              <w:snapToGrid w:val="0"/>
              <w:spacing w:line="288" w:lineRule="auto"/>
              <w:ind w:firstLine="0" w:firstLineChars="0"/>
              <w:jc w:val="left"/>
              <w:rPr>
                <w:rFonts w:ascii="宋体" w:hAnsi="宋体" w:eastAsia="宋体" w:cs="宋体"/>
                <w:color w:val="000000" w:themeColor="text1"/>
                <w:kern w:val="0"/>
                <w:sz w:val="20"/>
                <w:szCs w:val="21"/>
              </w:rPr>
            </w:pPr>
            <w:r>
              <w:rPr>
                <w:rFonts w:hint="eastAsia" w:ascii="宋体" w:hAnsi="宋体" w:eastAsia="宋体" w:cs="宋体"/>
                <w:color w:val="000000" w:themeColor="text1"/>
                <w:kern w:val="0"/>
                <w:sz w:val="20"/>
                <w:szCs w:val="21"/>
              </w:rPr>
              <w:t>部门（单位）绩效目标</w:t>
            </w:r>
          </w:p>
        </w:tc>
        <w:tc>
          <w:tcPr>
            <w:tcW w:w="8752" w:type="dxa"/>
            <w:gridSpan w:val="4"/>
            <w:shd w:val="clear" w:color="auto" w:fill="auto"/>
            <w:vAlign w:val="center"/>
          </w:tcPr>
          <w:p>
            <w:pPr>
              <w:widowControl/>
              <w:snapToGrid w:val="0"/>
              <w:spacing w:line="288" w:lineRule="auto"/>
              <w:ind w:firstLine="400"/>
              <w:rPr>
                <w:rFonts w:ascii="宋体" w:hAnsi="宋体" w:eastAsia="宋体" w:cs="宋体"/>
                <w:color w:val="000000" w:themeColor="text1"/>
                <w:kern w:val="0"/>
                <w:sz w:val="20"/>
                <w:szCs w:val="21"/>
              </w:rPr>
            </w:pPr>
            <w:r>
              <w:rPr>
                <w:rFonts w:hint="eastAsia" w:ascii="宋体" w:hAnsi="宋体" w:eastAsia="宋体" w:cs="宋体"/>
                <w:color w:val="000000" w:themeColor="text1"/>
                <w:kern w:val="0"/>
                <w:sz w:val="20"/>
                <w:szCs w:val="21"/>
              </w:rPr>
              <w:t>2021年是开启全面建设社会主义现代化国家新征程、实施“十四五”规划的开局之年，也将迎来建党100周年。新形势下，展览路街道将立足新阶段、聚焦新任务，坚持以习近平新时代中国特色社会主义思想为指导，以习近平总书记对北京重要讲话和指示批示精神为根本遵循，全面贯彻党的十九大和十九届二中、三中、四中、五中全会精神，增强“四个意识”、坚定“四个自信”、做到“两个维护”。坚持常态化疫情防控不放松，对标对表市区“十四五”时期确定的目标任务和核心区控规要求，稳中求进，更加奋发有为地推动区域经济社会实现新的发展，办好群众家门口的事。</w:t>
            </w:r>
          </w:p>
          <w:p>
            <w:pPr>
              <w:widowControl/>
              <w:snapToGrid w:val="0"/>
              <w:spacing w:line="288" w:lineRule="auto"/>
              <w:ind w:firstLine="400"/>
              <w:rPr>
                <w:rFonts w:ascii="宋体" w:hAnsi="宋体" w:eastAsia="宋体" w:cs="宋体"/>
                <w:color w:val="000000" w:themeColor="text1"/>
                <w:kern w:val="0"/>
                <w:sz w:val="20"/>
                <w:szCs w:val="21"/>
              </w:rPr>
            </w:pPr>
            <w:r>
              <w:rPr>
                <w:rFonts w:hint="eastAsia" w:ascii="宋体" w:hAnsi="宋体" w:eastAsia="宋体" w:cs="宋体"/>
                <w:color w:val="000000" w:themeColor="text1"/>
                <w:kern w:val="0"/>
                <w:sz w:val="20"/>
                <w:szCs w:val="21"/>
              </w:rPr>
              <w:t>重点做好以下几个方面：</w:t>
            </w:r>
          </w:p>
          <w:p>
            <w:pPr>
              <w:widowControl/>
              <w:snapToGrid w:val="0"/>
              <w:spacing w:line="288" w:lineRule="auto"/>
              <w:ind w:firstLine="402"/>
              <w:rPr>
                <w:rFonts w:ascii="宋体" w:hAnsi="宋体" w:eastAsia="宋体" w:cs="宋体"/>
                <w:b/>
                <w:bCs/>
                <w:color w:val="000000" w:themeColor="text1"/>
                <w:kern w:val="0"/>
                <w:sz w:val="20"/>
                <w:szCs w:val="21"/>
              </w:rPr>
            </w:pPr>
            <w:r>
              <w:rPr>
                <w:rFonts w:hint="eastAsia" w:ascii="宋体" w:hAnsi="宋体" w:eastAsia="宋体" w:cs="宋体"/>
                <w:b/>
                <w:bCs/>
                <w:color w:val="000000" w:themeColor="text1"/>
                <w:kern w:val="0"/>
                <w:sz w:val="20"/>
                <w:szCs w:val="21"/>
              </w:rPr>
              <w:t>（一）持续深化党建引领，筑牢压实发展根基</w:t>
            </w:r>
          </w:p>
          <w:p>
            <w:pPr>
              <w:widowControl/>
              <w:snapToGrid w:val="0"/>
              <w:spacing w:line="288" w:lineRule="auto"/>
              <w:ind w:firstLine="400"/>
              <w:rPr>
                <w:rFonts w:ascii="宋体" w:hAnsi="宋体" w:eastAsia="宋体" w:cs="宋体"/>
                <w:color w:val="000000" w:themeColor="text1"/>
                <w:kern w:val="0"/>
                <w:sz w:val="20"/>
                <w:szCs w:val="21"/>
              </w:rPr>
            </w:pPr>
            <w:r>
              <w:rPr>
                <w:rFonts w:hint="eastAsia" w:ascii="宋体" w:hAnsi="宋体" w:eastAsia="宋体" w:cs="宋体"/>
                <w:bCs/>
                <w:color w:val="000000" w:themeColor="text1"/>
                <w:kern w:val="0"/>
                <w:sz w:val="20"/>
                <w:szCs w:val="21"/>
              </w:rPr>
              <w:t>一是以党的政治建设为根本，推动学习贯彻习近平新时代中国特色社会主义思想走实走深。二是以组织力提升为重点，不断提升基层党建工作水平。三是以庆祝中国共产党成立100周年为主线，继续筑牢意识形态阵地。四是以全面从严治党主体责任为着力点，坚决扛起“两个责任”。</w:t>
            </w:r>
          </w:p>
          <w:p>
            <w:pPr>
              <w:widowControl/>
              <w:snapToGrid w:val="0"/>
              <w:spacing w:line="288" w:lineRule="auto"/>
              <w:ind w:firstLine="402"/>
              <w:rPr>
                <w:rFonts w:ascii="宋体" w:hAnsi="宋体" w:eastAsia="宋体" w:cs="宋体"/>
                <w:b/>
                <w:bCs/>
                <w:color w:val="000000" w:themeColor="text1"/>
                <w:kern w:val="0"/>
                <w:sz w:val="20"/>
                <w:szCs w:val="21"/>
              </w:rPr>
            </w:pPr>
            <w:r>
              <w:rPr>
                <w:rFonts w:hint="eastAsia" w:ascii="宋体" w:hAnsi="宋体" w:eastAsia="宋体" w:cs="宋体"/>
                <w:b/>
                <w:bCs/>
                <w:color w:val="000000" w:themeColor="text1"/>
                <w:kern w:val="0"/>
                <w:sz w:val="20"/>
                <w:szCs w:val="21"/>
              </w:rPr>
              <w:t>（二）坚决落实首善标准，践行核心区使命担当</w:t>
            </w:r>
          </w:p>
          <w:p>
            <w:pPr>
              <w:widowControl/>
              <w:snapToGrid w:val="0"/>
              <w:spacing w:line="288" w:lineRule="auto"/>
              <w:ind w:firstLine="400"/>
              <w:rPr>
                <w:rFonts w:ascii="宋体" w:hAnsi="宋体" w:eastAsia="宋体" w:cs="宋体"/>
                <w:color w:val="000000" w:themeColor="text1"/>
                <w:kern w:val="0"/>
                <w:sz w:val="20"/>
                <w:szCs w:val="21"/>
              </w:rPr>
            </w:pPr>
            <w:r>
              <w:rPr>
                <w:rFonts w:hint="eastAsia" w:ascii="宋体" w:hAnsi="宋体" w:eastAsia="宋体" w:cs="宋体"/>
                <w:color w:val="000000" w:themeColor="text1"/>
                <w:kern w:val="0"/>
                <w:sz w:val="20"/>
                <w:szCs w:val="21"/>
              </w:rPr>
              <w:t>一是</w:t>
            </w:r>
            <w:r>
              <w:rPr>
                <w:rFonts w:hint="eastAsia" w:ascii="宋体" w:hAnsi="宋体" w:eastAsia="宋体" w:cs="宋体"/>
                <w:bCs/>
                <w:color w:val="000000" w:themeColor="text1"/>
                <w:kern w:val="0"/>
                <w:sz w:val="20"/>
                <w:szCs w:val="21"/>
              </w:rPr>
              <w:t>坚持做好疫情常态化防控。</w:t>
            </w:r>
            <w:r>
              <w:rPr>
                <w:rFonts w:hint="eastAsia" w:ascii="宋体" w:hAnsi="宋体" w:eastAsia="宋体" w:cs="宋体"/>
                <w:color w:val="000000" w:themeColor="text1"/>
                <w:kern w:val="0"/>
                <w:sz w:val="20"/>
                <w:szCs w:val="21"/>
              </w:rPr>
              <w:t>二是</w:t>
            </w:r>
            <w:r>
              <w:rPr>
                <w:rFonts w:hint="eastAsia" w:ascii="宋体" w:hAnsi="宋体" w:eastAsia="宋体" w:cs="宋体"/>
                <w:bCs/>
                <w:color w:val="000000" w:themeColor="text1"/>
                <w:kern w:val="0"/>
                <w:sz w:val="20"/>
                <w:szCs w:val="21"/>
              </w:rPr>
              <w:t>持续做好为中央政务服务。三是全力保障好金科新区建设。四是不断落实好核心区控规。五是扎实推进好重要战略任务。</w:t>
            </w:r>
          </w:p>
          <w:p>
            <w:pPr>
              <w:widowControl/>
              <w:snapToGrid w:val="0"/>
              <w:spacing w:line="288" w:lineRule="auto"/>
              <w:ind w:firstLine="402"/>
              <w:rPr>
                <w:rFonts w:ascii="宋体" w:hAnsi="宋体" w:eastAsia="宋体" w:cs="宋体"/>
                <w:b/>
                <w:bCs/>
                <w:color w:val="000000" w:themeColor="text1"/>
                <w:kern w:val="0"/>
                <w:sz w:val="20"/>
                <w:szCs w:val="21"/>
              </w:rPr>
            </w:pPr>
            <w:r>
              <w:rPr>
                <w:rFonts w:hint="eastAsia" w:ascii="宋体" w:hAnsi="宋体" w:eastAsia="宋体" w:cs="宋体"/>
                <w:b/>
                <w:bCs/>
                <w:color w:val="000000" w:themeColor="text1"/>
                <w:kern w:val="0"/>
                <w:sz w:val="20"/>
                <w:szCs w:val="21"/>
              </w:rPr>
              <w:t>（三）牢固树立新发展理念，着力提升区域发展品质</w:t>
            </w:r>
          </w:p>
          <w:p>
            <w:pPr>
              <w:widowControl/>
              <w:snapToGrid w:val="0"/>
              <w:spacing w:line="288" w:lineRule="auto"/>
              <w:ind w:firstLine="400"/>
              <w:rPr>
                <w:rFonts w:ascii="宋体" w:hAnsi="宋体" w:eastAsia="宋体" w:cs="宋体"/>
                <w:color w:val="000000" w:themeColor="text1"/>
                <w:kern w:val="0"/>
                <w:sz w:val="20"/>
                <w:szCs w:val="21"/>
              </w:rPr>
            </w:pPr>
            <w:r>
              <w:rPr>
                <w:rFonts w:hint="eastAsia" w:ascii="宋体" w:hAnsi="宋体" w:eastAsia="宋体" w:cs="宋体"/>
                <w:color w:val="000000" w:themeColor="text1"/>
                <w:kern w:val="0"/>
                <w:sz w:val="20"/>
                <w:szCs w:val="21"/>
              </w:rPr>
              <w:t>一是</w:t>
            </w:r>
            <w:r>
              <w:rPr>
                <w:rFonts w:hint="eastAsia" w:ascii="宋体" w:hAnsi="宋体" w:eastAsia="宋体" w:cs="宋体"/>
                <w:bCs/>
                <w:color w:val="000000" w:themeColor="text1"/>
                <w:kern w:val="0"/>
                <w:sz w:val="20"/>
                <w:szCs w:val="21"/>
              </w:rPr>
              <w:t>坚持绿色发展，深入打好污染防治攻坚战</w:t>
            </w:r>
            <w:r>
              <w:rPr>
                <w:rFonts w:hint="eastAsia" w:ascii="宋体" w:hAnsi="宋体" w:eastAsia="宋体" w:cs="宋体"/>
                <w:color w:val="000000" w:themeColor="text1"/>
                <w:kern w:val="0"/>
                <w:sz w:val="20"/>
                <w:szCs w:val="21"/>
              </w:rPr>
              <w:t>。二是</w:t>
            </w:r>
            <w:r>
              <w:rPr>
                <w:rFonts w:hint="eastAsia" w:ascii="宋体" w:hAnsi="宋体" w:eastAsia="宋体" w:cs="宋体"/>
                <w:bCs/>
                <w:color w:val="000000" w:themeColor="text1"/>
                <w:kern w:val="0"/>
                <w:sz w:val="20"/>
                <w:szCs w:val="21"/>
              </w:rPr>
              <w:t>深化垃圾分类，加快垃圾分类全流程精细化管理体系建设。</w:t>
            </w:r>
            <w:r>
              <w:rPr>
                <w:rFonts w:hint="eastAsia" w:ascii="宋体" w:hAnsi="宋体" w:eastAsia="宋体" w:cs="宋体"/>
                <w:color w:val="000000" w:themeColor="text1"/>
                <w:kern w:val="0"/>
                <w:sz w:val="20"/>
                <w:szCs w:val="21"/>
              </w:rPr>
              <w:t>三是</w:t>
            </w:r>
            <w:r>
              <w:rPr>
                <w:rFonts w:hint="eastAsia" w:ascii="宋体" w:hAnsi="宋体" w:eastAsia="宋体" w:cs="宋体"/>
                <w:bCs/>
                <w:color w:val="000000" w:themeColor="text1"/>
                <w:kern w:val="0"/>
                <w:sz w:val="20"/>
                <w:szCs w:val="21"/>
              </w:rPr>
              <w:t>加强老旧小区综合整治，努力提升居民生活质量</w:t>
            </w:r>
            <w:r>
              <w:rPr>
                <w:rFonts w:hint="eastAsia" w:ascii="宋体" w:hAnsi="宋体" w:eastAsia="宋体" w:cs="宋体"/>
                <w:color w:val="000000" w:themeColor="text1"/>
                <w:kern w:val="0"/>
                <w:sz w:val="20"/>
                <w:szCs w:val="21"/>
              </w:rPr>
              <w:t>。</w:t>
            </w:r>
          </w:p>
          <w:p>
            <w:pPr>
              <w:widowControl/>
              <w:snapToGrid w:val="0"/>
              <w:spacing w:line="288" w:lineRule="auto"/>
              <w:ind w:firstLine="402"/>
              <w:rPr>
                <w:rFonts w:ascii="宋体" w:hAnsi="宋体" w:eastAsia="宋体" w:cs="宋体"/>
                <w:b/>
                <w:color w:val="000000" w:themeColor="text1"/>
                <w:kern w:val="0"/>
                <w:sz w:val="20"/>
                <w:szCs w:val="21"/>
              </w:rPr>
            </w:pPr>
            <w:r>
              <w:rPr>
                <w:rFonts w:hint="eastAsia" w:ascii="宋体" w:hAnsi="宋体" w:eastAsia="宋体" w:cs="宋体"/>
                <w:b/>
                <w:color w:val="000000" w:themeColor="text1"/>
                <w:kern w:val="0"/>
                <w:sz w:val="20"/>
                <w:szCs w:val="21"/>
              </w:rPr>
              <w:t>（四）</w:t>
            </w:r>
            <w:r>
              <w:rPr>
                <w:rFonts w:hint="eastAsia" w:ascii="宋体" w:hAnsi="宋体" w:eastAsia="宋体" w:cs="宋体"/>
                <w:b/>
                <w:bCs/>
                <w:color w:val="000000" w:themeColor="text1"/>
                <w:kern w:val="0"/>
                <w:sz w:val="20"/>
                <w:szCs w:val="21"/>
              </w:rPr>
              <w:t>深入推进社会治理创新，有力保障社会和谐稳定</w:t>
            </w:r>
          </w:p>
          <w:p>
            <w:pPr>
              <w:widowControl/>
              <w:snapToGrid w:val="0"/>
              <w:spacing w:line="288" w:lineRule="auto"/>
              <w:ind w:firstLine="400"/>
              <w:rPr>
                <w:rFonts w:ascii="宋体" w:hAnsi="宋体" w:eastAsia="宋体" w:cs="宋体"/>
                <w:color w:val="000000" w:themeColor="text1"/>
                <w:kern w:val="0"/>
                <w:sz w:val="20"/>
                <w:szCs w:val="21"/>
              </w:rPr>
            </w:pPr>
            <w:r>
              <w:rPr>
                <w:rFonts w:hint="eastAsia" w:ascii="宋体" w:hAnsi="宋体" w:eastAsia="宋体" w:cs="宋体"/>
                <w:color w:val="000000" w:themeColor="text1"/>
                <w:kern w:val="0"/>
                <w:sz w:val="20"/>
                <w:szCs w:val="21"/>
              </w:rPr>
              <w:t>一是</w:t>
            </w:r>
            <w:r>
              <w:rPr>
                <w:rFonts w:hint="eastAsia" w:ascii="宋体" w:hAnsi="宋体" w:eastAsia="宋体" w:cs="宋体"/>
                <w:bCs/>
                <w:color w:val="000000" w:themeColor="text1"/>
                <w:kern w:val="0"/>
                <w:sz w:val="20"/>
                <w:szCs w:val="21"/>
              </w:rPr>
              <w:t>加强党的领导，完善社会治理现代化体系。</w:t>
            </w:r>
            <w:r>
              <w:rPr>
                <w:rFonts w:hint="eastAsia" w:ascii="宋体" w:hAnsi="宋体" w:eastAsia="宋体" w:cs="宋体"/>
                <w:color w:val="000000" w:themeColor="text1"/>
                <w:kern w:val="0"/>
                <w:sz w:val="20"/>
                <w:szCs w:val="21"/>
              </w:rPr>
              <w:t>二是</w:t>
            </w:r>
            <w:r>
              <w:rPr>
                <w:rFonts w:hint="eastAsia" w:ascii="宋体" w:hAnsi="宋体" w:eastAsia="宋体" w:cs="宋体"/>
                <w:bCs/>
                <w:color w:val="000000" w:themeColor="text1"/>
                <w:kern w:val="0"/>
                <w:sz w:val="20"/>
                <w:szCs w:val="21"/>
              </w:rPr>
              <w:t>激发社会活力，提升社会治理现代化能力。</w:t>
            </w:r>
            <w:r>
              <w:rPr>
                <w:rFonts w:hint="eastAsia" w:ascii="宋体" w:hAnsi="宋体" w:eastAsia="宋体" w:cs="宋体"/>
                <w:color w:val="000000" w:themeColor="text1"/>
                <w:kern w:val="0"/>
                <w:sz w:val="20"/>
                <w:szCs w:val="21"/>
              </w:rPr>
              <w:t>三是</w:t>
            </w:r>
            <w:r>
              <w:rPr>
                <w:rFonts w:hint="eastAsia" w:ascii="宋体" w:hAnsi="宋体" w:eastAsia="宋体" w:cs="宋体"/>
                <w:bCs/>
                <w:color w:val="000000" w:themeColor="text1"/>
                <w:kern w:val="0"/>
                <w:sz w:val="20"/>
                <w:szCs w:val="21"/>
              </w:rPr>
              <w:t>增强忧患意识，健全核心区安全工作机制。</w:t>
            </w:r>
          </w:p>
          <w:p>
            <w:pPr>
              <w:widowControl/>
              <w:snapToGrid w:val="0"/>
              <w:spacing w:line="288" w:lineRule="auto"/>
              <w:ind w:firstLine="402"/>
              <w:rPr>
                <w:rFonts w:ascii="宋体" w:hAnsi="宋体" w:eastAsia="宋体" w:cs="宋体"/>
                <w:b/>
                <w:bCs/>
                <w:color w:val="000000" w:themeColor="text1"/>
                <w:kern w:val="0"/>
                <w:sz w:val="20"/>
                <w:szCs w:val="21"/>
              </w:rPr>
            </w:pPr>
            <w:r>
              <w:rPr>
                <w:rFonts w:hint="eastAsia" w:ascii="宋体" w:hAnsi="宋体" w:eastAsia="宋体" w:cs="宋体"/>
                <w:b/>
                <w:bCs/>
                <w:color w:val="000000" w:themeColor="text1"/>
                <w:kern w:val="0"/>
                <w:sz w:val="20"/>
                <w:szCs w:val="21"/>
              </w:rPr>
              <w:t>（五）坚持不懈改善民生，不断提高百姓生活品质</w:t>
            </w:r>
          </w:p>
          <w:p>
            <w:pPr>
              <w:widowControl/>
              <w:snapToGrid w:val="0"/>
              <w:spacing w:line="288" w:lineRule="auto"/>
              <w:ind w:firstLine="400"/>
              <w:rPr>
                <w:rFonts w:ascii="宋体" w:hAnsi="宋体" w:eastAsia="宋体" w:cs="宋体"/>
                <w:color w:val="000000" w:themeColor="text1"/>
                <w:kern w:val="0"/>
                <w:sz w:val="20"/>
                <w:szCs w:val="21"/>
              </w:rPr>
            </w:pPr>
            <w:r>
              <w:rPr>
                <w:rFonts w:hint="eastAsia" w:ascii="宋体" w:hAnsi="宋体" w:eastAsia="宋体" w:cs="宋体"/>
                <w:bCs/>
                <w:color w:val="000000" w:themeColor="text1"/>
                <w:kern w:val="0"/>
                <w:sz w:val="20"/>
                <w:szCs w:val="21"/>
              </w:rPr>
              <w:t>一是以发展为民为出发点，下好“稳”“保”关键棋。二是以服务为民为落脚点，争当便民利民排头兵。三是以文化惠民为着力点，开创百花齐放新局面。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42"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绩效指标</w:t>
            </w:r>
          </w:p>
        </w:tc>
        <w:tc>
          <w:tcPr>
            <w:tcW w:w="1417"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一级指标</w:t>
            </w: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二级指标</w:t>
            </w:r>
          </w:p>
        </w:tc>
        <w:tc>
          <w:tcPr>
            <w:tcW w:w="6202" w:type="dxa"/>
            <w:gridSpan w:val="2"/>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具体指标（指标内容、指标值）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产出指标一（城市管理和环境建设）</w:t>
            </w: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产出数量指标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抓好地区综合环境和街区提升工作，全力加速推进地区环境品质提升。开展街巷及胡同、楼宇外围保洁；负责居民生活垃圾及大件生活垃圾的清运、绿地卫生、重大活动期间主要大街应急无主渣土及大件废弃物的清运销纳以及铲冰扫雪、抢险救灾工作任务。聚焦打赢打好蓝天保卫战、碧水攻坚战、净土持久战，加大现场执法检查频次，以强有力的措施落实油烟排放、工地扬尘等污染源头监管治理。严格落实河长制，开展“清河行动”，实现“水岸共治</w:t>
            </w:r>
            <w:r>
              <w:rPr>
                <w:rFonts w:cs="宋体" w:asciiTheme="minorEastAsia" w:hAnsiTheme="minorEastAsia" w:eastAsiaTheme="minorEastAsia"/>
                <w:color w:val="000000" w:themeColor="text1"/>
                <w:kern w:val="0"/>
                <w:sz w:val="20"/>
                <w:szCs w:val="20"/>
              </w:rPr>
              <w:t>”</w:t>
            </w:r>
            <w:r>
              <w:rPr>
                <w:rFonts w:hint="eastAsia" w:cs="宋体" w:asciiTheme="minorEastAsia" w:hAnsiTheme="minorEastAsia" w:eastAsiaTheme="minorEastAsia"/>
                <w:color w:val="000000" w:themeColor="text1"/>
                <w:kern w:val="0"/>
                <w:sz w:val="20"/>
                <w:szCs w:val="20"/>
              </w:rPr>
              <w:t>。深化垃圾分类治理，推动实现空气、水、土质量持续改善。深化区域环境治理，强化街巷物业巡逻，消除街巷脏乱点，推进区域停车管理工作，重点做好百万庄地区环境整治提升工作。加大城管执法力度，保障地区经营有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8"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产出质量指标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1、符合区拆违办要求，确保新生违法建设“零增长”，帐内违法建设拆除率100%；</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按照《北京市市容环境卫生条例》城镇地区内市容环境卫生责任区标准以及工作要求开展脏乱点整治，逐步达到无违法建设、无环境死角、无暴露垃圾、无堆物堆料、无违规经营、无乱设广告牌匾“六无”标准；</w:t>
            </w:r>
            <w:r>
              <w:rPr>
                <w:rFonts w:cs="宋体" w:asciiTheme="minorEastAsia" w:hAnsiTheme="minorEastAsia" w:eastAsiaTheme="minorEastAsia"/>
                <w:color w:val="000000" w:themeColor="text1"/>
                <w:kern w:val="0"/>
                <w:sz w:val="20"/>
                <w:szCs w:val="20"/>
              </w:rPr>
              <w:t xml:space="preserve">   </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3、在地区推广垃圾分类收集、运输和处理工作，提高居民垃圾分类的参与率、培养厨余垃圾的正确投放率，推进生活垃圾减量化、资源化、无害化；</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cs="宋体" w:asciiTheme="minorEastAsia" w:hAnsiTheme="minorEastAsia" w:eastAsiaTheme="minorEastAsia"/>
                <w:color w:val="000000" w:themeColor="text1"/>
                <w:kern w:val="0"/>
                <w:sz w:val="20"/>
                <w:szCs w:val="20"/>
              </w:rPr>
              <w:t xml:space="preserve"> </w:t>
            </w:r>
            <w:r>
              <w:rPr>
                <w:rFonts w:hint="eastAsia" w:cs="宋体" w:asciiTheme="minorEastAsia" w:hAnsiTheme="minorEastAsia" w:eastAsiaTheme="minorEastAsia"/>
                <w:color w:val="000000" w:themeColor="text1"/>
                <w:kern w:val="0"/>
                <w:sz w:val="20"/>
                <w:szCs w:val="20"/>
              </w:rPr>
              <w:t>4、绿化养护按照《北京市绿化养护质量标准》执行，主要达到园林绿化无缺苗、死苗现象，苗木存活率达到95%以上；</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xml:space="preserve">5、对新生违法建设零容忍，加强界面环境管理力度。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产出进度指标</w:t>
            </w:r>
          </w:p>
        </w:tc>
        <w:tc>
          <w:tcPr>
            <w:tcW w:w="6202" w:type="dxa"/>
            <w:gridSpan w:val="2"/>
            <w:shd w:val="clear" w:color="auto" w:fill="auto"/>
            <w:vAlign w:val="center"/>
          </w:tcPr>
          <w:p>
            <w:pPr>
              <w:widowControl/>
              <w:snapToGrid w:val="0"/>
              <w:spacing w:line="288" w:lineRule="auto"/>
              <w:ind w:left="129" w:leftChars="46" w:firstLine="270" w:firstLineChars="135"/>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1、常规工作内容按照年度工作计划安排的进度完成；</w:t>
            </w:r>
          </w:p>
          <w:p>
            <w:pPr>
              <w:widowControl/>
              <w:snapToGrid w:val="0"/>
              <w:spacing w:line="288" w:lineRule="auto"/>
              <w:ind w:firstLine="392" w:firstLineChars="196"/>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2、突发性或临时性工作目标按照相关部门要求及时完成。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产出成本指标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城市管理和环境建设工作成本控制在6416.19万元之内，占全年项目支出总额的20.73%。</w:t>
            </w:r>
            <w:r>
              <w:rPr>
                <w:rFonts w:cs="宋体" w:asciiTheme="minorEastAsia" w:hAnsiTheme="minorEastAsia" w:eastAsiaTheme="minorEastAsia"/>
                <w:color w:val="000000" w:themeColor="text1"/>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产出指标二(民生服务和保障)</w:t>
            </w: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产出数量指标</w:t>
            </w:r>
          </w:p>
        </w:tc>
        <w:tc>
          <w:tcPr>
            <w:tcW w:w="6202" w:type="dxa"/>
            <w:gridSpan w:val="2"/>
            <w:shd w:val="clear" w:color="auto" w:fill="auto"/>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xml:space="preserve"> </w:t>
            </w:r>
            <w:r>
              <w:rPr>
                <w:rFonts w:cs="宋体" w:asciiTheme="minorEastAsia" w:hAnsiTheme="minorEastAsia" w:eastAsiaTheme="minorEastAsia"/>
                <w:color w:val="000000" w:themeColor="text1"/>
                <w:kern w:val="0"/>
                <w:sz w:val="20"/>
                <w:szCs w:val="20"/>
              </w:rPr>
              <w:t xml:space="preserve">   </w:t>
            </w:r>
            <w:r>
              <w:rPr>
                <w:rFonts w:hint="eastAsia" w:cs="宋体" w:asciiTheme="minorEastAsia" w:hAnsiTheme="minorEastAsia" w:eastAsiaTheme="minorEastAsia"/>
                <w:color w:val="000000" w:themeColor="text1"/>
                <w:kern w:val="0"/>
                <w:sz w:val="20"/>
                <w:szCs w:val="20"/>
              </w:rPr>
              <w:t>1、保障困难群体基本生活，确保惠民政策及时到位。</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2、落实优待抚恤政策，双拥共建促进军民团结。</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3、落实生育政策，做好计生宣传，针对不同人群开展服务。</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4、做好为老服务工作。</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5、保证街道负担民政、优抚人员生活，包括军队移交地方政府退休人员、义务兵、烈属遗属等。</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6、落实再就业政策，精细化帮助就业困难人员实现再就业。</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7、对低保低收入人群及临时困难人员进行保障。</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8、对社会化退休及宣传保障房政策，对申请进行受理审核及公示，对3类保障房申请家庭进行资格复核，开展跨区协查。</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9、推进公益性就业服务，开展就业培训，搭建现实岗位供需平台。</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10、发展残疾人事业，开展多样服务。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产出质量指标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严格按照各项政策标准执行。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产出进度指标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按照年度工作计划进度安排及相关政策文件要求及时完成。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产出成本指标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民生服务和保障工作成本控制在5338.97万元之内，占全年项目支出总额的17.25%。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4"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产出指标三</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(社区建设)</w:t>
            </w: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产出数量指标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1、切实保障社区的工作经费、人员管理以及服务设施和社区规范化建设等，人均为7元测算拨付.</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2、高度重视社区居民代表大会的召开，不断扩大居民代表大会决策和监督的内容，发挥居民代表大会的作用。做好社区居委会换届工作。</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3、通过与人事机构的合作，签订人事代理协议，为社工提供专业的人事代理服务，具体为50元/人/月，按照季度支付。</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据《北京市民政局关于做好重大节日退离居委会老积极分子走访慰问工作的通知》（京民基发〔2012〕497号），建立重大节日退离居委会老积极分子走访慰问制度，深入老积极分子家中了解需求，积极帮助解决实际问题，确保各项走访慰问工作全部落实到位。</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5、保障社区办公及活动用房的正常使用，配备能够满足工作需要的办公设备。</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6、保障社区工作者日常、激励等各项工作经费保障到位，提高以人为本的精细化管理和高效便捷的服务水平，涉及社工人员300余名。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产出质量指标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按照市、区关于建设和谐社区的指示精神和相关要求，紧紧围绕和谐社区建设工作目标，以社区居委会规范化管理和社区工作者队伍建设、社区楼门院长队伍建设作为建设和谐社区的切入点和着力点，推进和谐社区建设步伐。社工工资发放符合《北京市西城区2018年社区工作者工资待遇调整方案》社区工作者的待遇规定,100%保障社工利益, 并享有基本养老、医疗、失业、工伤、生育等社会保险、独生子女费和住房公积金。根据本区经济社会发展水平和社区工作实际，适当增加其他待遇；表彰奖励符合《北京市西城区2018年社区工作者工资待遇调整方案》，对在社区建设中做出显著成绩的优秀社区工作者给予表彰奖励。根据社区工作者的工作实绩和群众评价，对工作业绩突出、居民群众满意度高的社区工作者，分层次进行评选表彰，充分调动广大社区工作者的积极性，社工考核合格率达到100%，优秀率达到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产出进度指标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1、常规工作内容按照年度工作计划安排进度及相关政策文件要求完成；</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2、突发性或临时性工作目标按照相关部门要求及时完成。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产出成本指标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highlight w:val="yellow"/>
              </w:rPr>
            </w:pPr>
            <w:r>
              <w:rPr>
                <w:rFonts w:hint="eastAsia" w:cs="宋体" w:asciiTheme="minorEastAsia" w:hAnsiTheme="minorEastAsia" w:eastAsiaTheme="minorEastAsia"/>
                <w:color w:val="000000" w:themeColor="text1"/>
                <w:kern w:val="0"/>
                <w:sz w:val="20"/>
                <w:szCs w:val="20"/>
              </w:rPr>
              <w:t>社区建设工作成本控制在9142.08万元之内，占全年项目支出总额的29.54%。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产出指标四</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(综治维稳)</w:t>
            </w: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产出数量指标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健全维护首都核心区安全工作机制，加强治安防控体系建设，降低可防性案件发案率，有效提升群众安全感。强化社会面防控等级机制，织密反恐防暴网络，加强重点人员管理和安全监管力度，完成全国两会等重点时期安保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8"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产出质量指标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1、按照《西城区安全社区指导标准实施细则（试行）》文件要求开展相关工作，增强地区居民安全感，降低社区可防性案件发案率。</w:t>
            </w:r>
            <w:r>
              <w:rPr>
                <w:rFonts w:hint="eastAsia" w:cs="宋体" w:asciiTheme="minorEastAsia" w:hAnsiTheme="minorEastAsia" w:eastAsiaTheme="minorEastAsia"/>
                <w:color w:val="000000" w:themeColor="text1"/>
                <w:kern w:val="0"/>
                <w:sz w:val="20"/>
                <w:szCs w:val="20"/>
              </w:rPr>
              <w:br w:type="textWrapping"/>
            </w:r>
            <w:r>
              <w:rPr>
                <w:rFonts w:cs="宋体" w:asciiTheme="minorEastAsia" w:hAnsiTheme="minorEastAsia" w:eastAsiaTheme="minorEastAsia"/>
                <w:color w:val="000000" w:themeColor="text1"/>
                <w:kern w:val="0"/>
                <w:sz w:val="20"/>
                <w:szCs w:val="20"/>
              </w:rPr>
              <w:t xml:space="preserve">    </w:t>
            </w:r>
            <w:r>
              <w:rPr>
                <w:rFonts w:hint="eastAsia" w:cs="宋体" w:asciiTheme="minorEastAsia" w:hAnsiTheme="minorEastAsia" w:eastAsiaTheme="minorEastAsia"/>
                <w:color w:val="000000" w:themeColor="text1"/>
                <w:kern w:val="0"/>
                <w:sz w:val="20"/>
                <w:szCs w:val="20"/>
              </w:rPr>
              <w:t>2、根据北京市及西城区综治维稳工作要求，结合地区实际情况，进一步整合各部门资源，维护地区稳定，提升社会管理水平。</w:t>
            </w:r>
            <w:r>
              <w:rPr>
                <w:rFonts w:hint="eastAsia" w:cs="宋体" w:asciiTheme="minorEastAsia" w:hAnsiTheme="minorEastAsia" w:eastAsiaTheme="minorEastAsia"/>
                <w:color w:val="000000" w:themeColor="text1"/>
                <w:kern w:val="0"/>
                <w:sz w:val="20"/>
                <w:szCs w:val="20"/>
              </w:rPr>
              <w:br w:type="textWrapping"/>
            </w:r>
            <w:r>
              <w:rPr>
                <w:rFonts w:cs="宋体" w:asciiTheme="minorEastAsia" w:hAnsiTheme="minorEastAsia" w:eastAsiaTheme="minorEastAsia"/>
                <w:color w:val="000000" w:themeColor="text1"/>
                <w:kern w:val="0"/>
                <w:sz w:val="20"/>
                <w:szCs w:val="20"/>
              </w:rPr>
              <w:t xml:space="preserve">    </w:t>
            </w:r>
            <w:r>
              <w:rPr>
                <w:rFonts w:hint="eastAsia" w:cs="宋体" w:asciiTheme="minorEastAsia" w:hAnsiTheme="minorEastAsia" w:eastAsiaTheme="minorEastAsia"/>
                <w:color w:val="000000" w:themeColor="text1"/>
                <w:kern w:val="0"/>
                <w:sz w:val="20"/>
                <w:szCs w:val="20"/>
              </w:rPr>
              <w:t>3、</w:t>
            </w:r>
            <w:r>
              <w:rPr>
                <w:rFonts w:hint="eastAsia" w:asciiTheme="minorEastAsia" w:hAnsiTheme="minorEastAsia" w:eastAsiaTheme="minorEastAsia"/>
                <w:color w:val="000000" w:themeColor="text1"/>
                <w:sz w:val="20"/>
                <w:szCs w:val="20"/>
              </w:rPr>
              <w:t>协调、指导、监督、检查各部门对流动人口和出租房屋的管理服务工作及辖区流动人口和出租房屋管理队伍的使用、管理和考核工作。</w:t>
            </w:r>
            <w:r>
              <w:rPr>
                <w:rFonts w:hint="eastAsia" w:cs="宋体" w:asciiTheme="minorEastAsia" w:hAnsiTheme="minorEastAsia" w:eastAsiaTheme="minorEastAsia"/>
                <w:color w:val="000000" w:themeColor="text1"/>
                <w:kern w:val="0"/>
                <w:sz w:val="20"/>
                <w:szCs w:val="20"/>
              </w:rPr>
              <w:br w:type="textWrapping"/>
            </w:r>
            <w:r>
              <w:rPr>
                <w:rFonts w:cs="宋体" w:asciiTheme="minorEastAsia" w:hAnsiTheme="minorEastAsia" w:eastAsiaTheme="minorEastAsia"/>
                <w:color w:val="000000" w:themeColor="text1"/>
                <w:kern w:val="0"/>
                <w:sz w:val="20"/>
                <w:szCs w:val="20"/>
              </w:rPr>
              <w:t xml:space="preserve">    </w:t>
            </w:r>
            <w:r>
              <w:rPr>
                <w:rFonts w:hint="eastAsia" w:cs="宋体" w:asciiTheme="minorEastAsia" w:hAnsiTheme="minorEastAsia" w:eastAsiaTheme="minorEastAsia"/>
                <w:color w:val="000000" w:themeColor="text1"/>
                <w:kern w:val="0"/>
                <w:sz w:val="20"/>
                <w:szCs w:val="20"/>
              </w:rPr>
              <w:t>4、按照信访条例落实处级领导信访接待日制度，协调处理纠纷，妥善化解矛盾。</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5、对于突发性问题，在第一时间内给予应急处置，统筹协调到位。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产出进度</w:t>
            </w:r>
            <w:bookmarkStart w:id="0" w:name="_GoBack"/>
            <w:bookmarkEnd w:id="0"/>
            <w:r>
              <w:rPr>
                <w:rFonts w:hint="eastAsia" w:cs="宋体" w:asciiTheme="minorEastAsia" w:hAnsiTheme="minorEastAsia" w:eastAsiaTheme="minorEastAsia"/>
                <w:color w:val="000000" w:themeColor="text1"/>
                <w:kern w:val="0"/>
                <w:sz w:val="20"/>
                <w:szCs w:val="20"/>
              </w:rPr>
              <w:t>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按照全年工作计划及特殊敏感时期区安保任务执行；年内交通、消防、食品药品、安全生产等公共安全领域各项工作指标均不超过市、区下达给本辖区的指标。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产出成本指标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综治维稳工作成本控制在1793.72万元之内，占全年项目支出总额的5.80%。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产出指标五</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(事业发展及街道自身建设)</w:t>
            </w: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产出数量指标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落实《北京市街道办事处条例》，完善街道大部制职责清单，促进街道统筹、服务、管理、动员“四个能力”整体提升。强化基层服务型党组织建设，不断探索区域化党建新发展，努力完善领导班子、党员干部队伍、人才队伍、党的基层组织建设，完成社区党委换届工作。组织、配合相关部门，做好全国第七次人口普查工作。完成办公基础设备、设施的维护维修和更新改造工作，统筹保障街道各类工程维修等施工进度及质量等保障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产出质量指标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cs="宋体" w:asciiTheme="minorEastAsia" w:hAnsiTheme="minorEastAsia" w:eastAsiaTheme="minorEastAsia"/>
                <w:color w:val="000000" w:themeColor="text1"/>
                <w:kern w:val="0"/>
                <w:sz w:val="20"/>
                <w:szCs w:val="20"/>
              </w:rPr>
              <w:t xml:space="preserve">  </w:t>
            </w:r>
            <w:r>
              <w:rPr>
                <w:rFonts w:hint="eastAsia" w:cs="宋体" w:asciiTheme="minorEastAsia" w:hAnsiTheme="minorEastAsia" w:eastAsiaTheme="minorEastAsia"/>
                <w:color w:val="000000" w:themeColor="text1"/>
                <w:kern w:val="0"/>
                <w:sz w:val="20"/>
                <w:szCs w:val="20"/>
              </w:rPr>
              <w:t>统计数据为</w:t>
            </w:r>
            <w:r>
              <w:rPr>
                <w:rFonts w:hint="eastAsia" w:cs="宋体" w:asciiTheme="minorEastAsia" w:hAnsiTheme="minorEastAsia" w:eastAsiaTheme="minorEastAsia"/>
                <w:color w:val="000000"/>
                <w:kern w:val="0"/>
                <w:sz w:val="20"/>
                <w:szCs w:val="20"/>
              </w:rPr>
              <w:t>制定区域经济和社会发展规划提供依据</w:t>
            </w:r>
            <w:r>
              <w:rPr>
                <w:rFonts w:hint="eastAsia" w:cs="宋体" w:asciiTheme="minorEastAsia" w:hAnsiTheme="minorEastAsia" w:eastAsiaTheme="minorEastAsia"/>
                <w:color w:val="000000" w:themeColor="text1"/>
                <w:kern w:val="0"/>
                <w:sz w:val="20"/>
                <w:szCs w:val="20"/>
              </w:rPr>
              <w:t>，机关运行保障确保行政管理基础工作的顺利开展。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产出进度指标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按照年度工作计划进度安排完成。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产出成本指标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街道自身建设及事业发展工作成本控制在8260.03万元之内，占全年项目支出总额的26.68%。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restart"/>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效果指标</w:t>
            </w: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经济效益指标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7"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社会效益指标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1、民生服务保障方面：在生活、医疗、住房、就业等“基本民生性”服务方面实现均等化服务，有效提升地区居民生活水平。</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2、社会治理方面：优化服务和提升精细化管理水平，将社区建设成为了管理有序、服务完善、文明祥和的社会生活共同体；</w:t>
            </w:r>
          </w:p>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3、社会秩序方面：最大限度减少地区可防性案件的发案数量，有力的保证地区社会面安全稳定，为地区居民营造安全有序的居住、生产、生活环境。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环境效益指标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通过区域环境综合整治，使辖区生态环境得到优化, 基础设施建设持续完善，城市运行保障体系健全有效。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可持续影响指标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优化管理效能，不断提升社区建设发展水平；优化环境秩序，不断提升城市生态文明品质；优化防控格局，不断营造地区安全有序新环境。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242"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417" w:type="dxa"/>
            <w:vMerge w:val="continue"/>
            <w:vAlign w:val="center"/>
          </w:tcPr>
          <w:p>
            <w:pPr>
              <w:widowControl/>
              <w:snapToGrid w:val="0"/>
              <w:spacing w:line="288" w:lineRule="auto"/>
              <w:ind w:firstLine="0" w:firstLineChars="0"/>
              <w:jc w:val="left"/>
              <w:rPr>
                <w:rFonts w:cs="宋体" w:asciiTheme="minorEastAsia" w:hAnsiTheme="minorEastAsia" w:eastAsiaTheme="minorEastAsia"/>
                <w:color w:val="000000" w:themeColor="text1"/>
                <w:kern w:val="0"/>
                <w:sz w:val="20"/>
                <w:szCs w:val="20"/>
              </w:rPr>
            </w:pPr>
          </w:p>
        </w:tc>
        <w:tc>
          <w:tcPr>
            <w:tcW w:w="1133"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服务对象满意度指标</w:t>
            </w:r>
          </w:p>
        </w:tc>
        <w:tc>
          <w:tcPr>
            <w:tcW w:w="6202" w:type="dxa"/>
            <w:gridSpan w:val="2"/>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地区居民居住、生产、生活环境安全、有序，各类困难人群基本生活得到有效保障，无重大投诉。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242" w:type="dxa"/>
            <w:shd w:val="clear" w:color="auto" w:fill="auto"/>
            <w:vAlign w:val="center"/>
          </w:tcPr>
          <w:p>
            <w:pPr>
              <w:widowControl/>
              <w:snapToGrid w:val="0"/>
              <w:spacing w:line="288" w:lineRule="auto"/>
              <w:ind w:firstLine="0" w:firstLineChars="0"/>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其他说明的问题</w:t>
            </w:r>
          </w:p>
        </w:tc>
        <w:tc>
          <w:tcPr>
            <w:tcW w:w="8752" w:type="dxa"/>
            <w:gridSpan w:val="4"/>
            <w:shd w:val="clear" w:color="auto" w:fill="auto"/>
            <w:vAlign w:val="center"/>
          </w:tcPr>
          <w:p>
            <w:pPr>
              <w:widowControl/>
              <w:snapToGrid w:val="0"/>
              <w:spacing w:line="288" w:lineRule="auto"/>
              <w:ind w:firstLine="400"/>
              <w:jc w:val="left"/>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上述五大类工作中，产出成本指标均以项目经费为依据，不含基本支出。</w:t>
            </w:r>
          </w:p>
        </w:tc>
      </w:tr>
    </w:tbl>
    <w:p>
      <w:pPr>
        <w:ind w:firstLine="0" w:firstLineChars="0"/>
        <w:jc w:val="left"/>
        <w:rPr>
          <w:rFonts w:ascii="宋体" w:hAnsi="宋体" w:eastAsia="宋体"/>
          <w:color w:val="000000" w:themeColor="text1"/>
          <w:sz w:val="22"/>
        </w:rPr>
      </w:pPr>
    </w:p>
    <w:p>
      <w:pPr>
        <w:ind w:firstLine="440"/>
        <w:rPr>
          <w:rFonts w:ascii="宋体" w:hAnsi="宋体" w:eastAsia="宋体"/>
          <w:sz w:val="22"/>
        </w:rPr>
      </w:pPr>
    </w:p>
    <w:p>
      <w:pPr>
        <w:ind w:firstLine="440"/>
        <w:rPr>
          <w:rFonts w:ascii="宋体" w:hAnsi="宋体" w:eastAsia="宋体"/>
          <w:sz w:val="22"/>
        </w:rPr>
      </w:pPr>
    </w:p>
    <w:p>
      <w:pPr>
        <w:ind w:firstLine="440"/>
        <w:rPr>
          <w:rFonts w:ascii="宋体" w:hAnsi="宋体" w:eastAsia="宋体"/>
          <w:sz w:val="22"/>
        </w:rPr>
      </w:pPr>
    </w:p>
    <w:p>
      <w:pPr>
        <w:ind w:firstLine="440"/>
        <w:rPr>
          <w:rFonts w:ascii="宋体" w:hAnsi="宋体" w:eastAsia="宋体"/>
          <w:sz w:val="22"/>
        </w:rPr>
      </w:pPr>
    </w:p>
    <w:p>
      <w:pPr>
        <w:ind w:firstLine="440"/>
        <w:jc w:val="center"/>
        <w:rPr>
          <w:rFonts w:ascii="宋体" w:hAnsi="宋体" w:eastAsia="宋体"/>
          <w:sz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680" w:footer="737"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2798207"/>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5</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78E1"/>
    <w:rsid w:val="0000462F"/>
    <w:rsid w:val="0001706B"/>
    <w:rsid w:val="00024083"/>
    <w:rsid w:val="00025A10"/>
    <w:rsid w:val="00032DEA"/>
    <w:rsid w:val="0003485A"/>
    <w:rsid w:val="00035643"/>
    <w:rsid w:val="00037BB6"/>
    <w:rsid w:val="000446C4"/>
    <w:rsid w:val="0004638F"/>
    <w:rsid w:val="0004681B"/>
    <w:rsid w:val="000877C6"/>
    <w:rsid w:val="0009135F"/>
    <w:rsid w:val="000930F2"/>
    <w:rsid w:val="00093314"/>
    <w:rsid w:val="00093C94"/>
    <w:rsid w:val="00094594"/>
    <w:rsid w:val="00094EEA"/>
    <w:rsid w:val="000966E1"/>
    <w:rsid w:val="000A1F0A"/>
    <w:rsid w:val="000A28E1"/>
    <w:rsid w:val="000A7B42"/>
    <w:rsid w:val="000B6A03"/>
    <w:rsid w:val="000D4021"/>
    <w:rsid w:val="000D456E"/>
    <w:rsid w:val="000D5F1C"/>
    <w:rsid w:val="000D602F"/>
    <w:rsid w:val="000E7BDE"/>
    <w:rsid w:val="000F2FE9"/>
    <w:rsid w:val="00107BCF"/>
    <w:rsid w:val="001240CE"/>
    <w:rsid w:val="00131BFB"/>
    <w:rsid w:val="00143E81"/>
    <w:rsid w:val="00144B56"/>
    <w:rsid w:val="001635B0"/>
    <w:rsid w:val="001676C2"/>
    <w:rsid w:val="001720B8"/>
    <w:rsid w:val="00177F4B"/>
    <w:rsid w:val="0018153D"/>
    <w:rsid w:val="00181A33"/>
    <w:rsid w:val="001855E7"/>
    <w:rsid w:val="00190326"/>
    <w:rsid w:val="00190C9B"/>
    <w:rsid w:val="001A0707"/>
    <w:rsid w:val="001B2244"/>
    <w:rsid w:val="001B2420"/>
    <w:rsid w:val="001C54FA"/>
    <w:rsid w:val="001D20D2"/>
    <w:rsid w:val="001D309E"/>
    <w:rsid w:val="001D6F1A"/>
    <w:rsid w:val="002054DD"/>
    <w:rsid w:val="002108E3"/>
    <w:rsid w:val="00212C27"/>
    <w:rsid w:val="00227B9F"/>
    <w:rsid w:val="00240128"/>
    <w:rsid w:val="00242312"/>
    <w:rsid w:val="002512C4"/>
    <w:rsid w:val="00257E94"/>
    <w:rsid w:val="00261C2A"/>
    <w:rsid w:val="00263A66"/>
    <w:rsid w:val="00282962"/>
    <w:rsid w:val="00282C06"/>
    <w:rsid w:val="00291A55"/>
    <w:rsid w:val="00296351"/>
    <w:rsid w:val="002A7028"/>
    <w:rsid w:val="002B27F7"/>
    <w:rsid w:val="002B5485"/>
    <w:rsid w:val="002B7DE8"/>
    <w:rsid w:val="002D3756"/>
    <w:rsid w:val="002D3B3C"/>
    <w:rsid w:val="002E586D"/>
    <w:rsid w:val="002E6755"/>
    <w:rsid w:val="002F09F7"/>
    <w:rsid w:val="002F159C"/>
    <w:rsid w:val="002F2656"/>
    <w:rsid w:val="002F29B8"/>
    <w:rsid w:val="002F6B88"/>
    <w:rsid w:val="002F7FBD"/>
    <w:rsid w:val="00311C62"/>
    <w:rsid w:val="003136D4"/>
    <w:rsid w:val="0031558C"/>
    <w:rsid w:val="00321B5F"/>
    <w:rsid w:val="00324574"/>
    <w:rsid w:val="00332B08"/>
    <w:rsid w:val="00337557"/>
    <w:rsid w:val="0034589C"/>
    <w:rsid w:val="003478E1"/>
    <w:rsid w:val="00350316"/>
    <w:rsid w:val="00350771"/>
    <w:rsid w:val="00373BA5"/>
    <w:rsid w:val="00384051"/>
    <w:rsid w:val="00387238"/>
    <w:rsid w:val="00397C30"/>
    <w:rsid w:val="003A07DF"/>
    <w:rsid w:val="003A1FE3"/>
    <w:rsid w:val="003B5A3F"/>
    <w:rsid w:val="003C7E1D"/>
    <w:rsid w:val="003E2B37"/>
    <w:rsid w:val="003E7F5C"/>
    <w:rsid w:val="00400550"/>
    <w:rsid w:val="00401E1A"/>
    <w:rsid w:val="004067E6"/>
    <w:rsid w:val="004205D4"/>
    <w:rsid w:val="00425C07"/>
    <w:rsid w:val="00430A7E"/>
    <w:rsid w:val="00431AF2"/>
    <w:rsid w:val="0043202C"/>
    <w:rsid w:val="00436BAB"/>
    <w:rsid w:val="004439EA"/>
    <w:rsid w:val="004451DC"/>
    <w:rsid w:val="0045040D"/>
    <w:rsid w:val="004559C0"/>
    <w:rsid w:val="00456148"/>
    <w:rsid w:val="00460830"/>
    <w:rsid w:val="00460923"/>
    <w:rsid w:val="00483E57"/>
    <w:rsid w:val="00487465"/>
    <w:rsid w:val="004915A4"/>
    <w:rsid w:val="00491C26"/>
    <w:rsid w:val="00492CEC"/>
    <w:rsid w:val="004B06CB"/>
    <w:rsid w:val="004B2397"/>
    <w:rsid w:val="004B23F0"/>
    <w:rsid w:val="004B2B10"/>
    <w:rsid w:val="004B6546"/>
    <w:rsid w:val="004B6B67"/>
    <w:rsid w:val="004C1010"/>
    <w:rsid w:val="004C4D0C"/>
    <w:rsid w:val="004D0108"/>
    <w:rsid w:val="004F232A"/>
    <w:rsid w:val="004F7407"/>
    <w:rsid w:val="00501B12"/>
    <w:rsid w:val="00502A78"/>
    <w:rsid w:val="00510889"/>
    <w:rsid w:val="00510E87"/>
    <w:rsid w:val="00516FAC"/>
    <w:rsid w:val="00517E49"/>
    <w:rsid w:val="00524AD8"/>
    <w:rsid w:val="0053068F"/>
    <w:rsid w:val="00534CD9"/>
    <w:rsid w:val="00535FFE"/>
    <w:rsid w:val="00536B1E"/>
    <w:rsid w:val="005403CD"/>
    <w:rsid w:val="005456EC"/>
    <w:rsid w:val="00547E09"/>
    <w:rsid w:val="0055057B"/>
    <w:rsid w:val="00551F2D"/>
    <w:rsid w:val="00552AA8"/>
    <w:rsid w:val="00557DAC"/>
    <w:rsid w:val="0057552A"/>
    <w:rsid w:val="005761D6"/>
    <w:rsid w:val="00580DF4"/>
    <w:rsid w:val="005828F8"/>
    <w:rsid w:val="005A7210"/>
    <w:rsid w:val="005A748F"/>
    <w:rsid w:val="005B1A01"/>
    <w:rsid w:val="005B394E"/>
    <w:rsid w:val="005B648E"/>
    <w:rsid w:val="005B76A1"/>
    <w:rsid w:val="005C7062"/>
    <w:rsid w:val="005F0C49"/>
    <w:rsid w:val="005F1B80"/>
    <w:rsid w:val="005F21B0"/>
    <w:rsid w:val="0060041B"/>
    <w:rsid w:val="00604EB5"/>
    <w:rsid w:val="00605A4D"/>
    <w:rsid w:val="00606121"/>
    <w:rsid w:val="0060632A"/>
    <w:rsid w:val="00611AA6"/>
    <w:rsid w:val="00625BF8"/>
    <w:rsid w:val="00630AA3"/>
    <w:rsid w:val="00633BF3"/>
    <w:rsid w:val="006475AE"/>
    <w:rsid w:val="00647BAD"/>
    <w:rsid w:val="006635CD"/>
    <w:rsid w:val="00665F29"/>
    <w:rsid w:val="00682690"/>
    <w:rsid w:val="00682EB5"/>
    <w:rsid w:val="00683438"/>
    <w:rsid w:val="006846AB"/>
    <w:rsid w:val="00684E07"/>
    <w:rsid w:val="00695B40"/>
    <w:rsid w:val="00697F2A"/>
    <w:rsid w:val="006A44B0"/>
    <w:rsid w:val="006B0E34"/>
    <w:rsid w:val="006C7798"/>
    <w:rsid w:val="006C7D61"/>
    <w:rsid w:val="006F00B7"/>
    <w:rsid w:val="0071426C"/>
    <w:rsid w:val="00714AAA"/>
    <w:rsid w:val="00723C17"/>
    <w:rsid w:val="0072652D"/>
    <w:rsid w:val="00733B7C"/>
    <w:rsid w:val="007540C3"/>
    <w:rsid w:val="007554AF"/>
    <w:rsid w:val="00762568"/>
    <w:rsid w:val="007627A4"/>
    <w:rsid w:val="007658AE"/>
    <w:rsid w:val="00765C7C"/>
    <w:rsid w:val="00766075"/>
    <w:rsid w:val="00781848"/>
    <w:rsid w:val="007948AE"/>
    <w:rsid w:val="007A14D5"/>
    <w:rsid w:val="007A32F4"/>
    <w:rsid w:val="007A3E3E"/>
    <w:rsid w:val="007B1606"/>
    <w:rsid w:val="007D4D82"/>
    <w:rsid w:val="007E3972"/>
    <w:rsid w:val="007E54AE"/>
    <w:rsid w:val="007F6F53"/>
    <w:rsid w:val="00817E06"/>
    <w:rsid w:val="00822931"/>
    <w:rsid w:val="00822DF8"/>
    <w:rsid w:val="0082503B"/>
    <w:rsid w:val="008270CB"/>
    <w:rsid w:val="0084087E"/>
    <w:rsid w:val="008535C7"/>
    <w:rsid w:val="008603AF"/>
    <w:rsid w:val="008621C7"/>
    <w:rsid w:val="0086512D"/>
    <w:rsid w:val="008779F7"/>
    <w:rsid w:val="00890164"/>
    <w:rsid w:val="008957E2"/>
    <w:rsid w:val="008A64D6"/>
    <w:rsid w:val="008A65DA"/>
    <w:rsid w:val="008A6ADF"/>
    <w:rsid w:val="008B323A"/>
    <w:rsid w:val="008B7CC8"/>
    <w:rsid w:val="008C2419"/>
    <w:rsid w:val="008C4AF4"/>
    <w:rsid w:val="008C57FF"/>
    <w:rsid w:val="008D4F6F"/>
    <w:rsid w:val="008D569B"/>
    <w:rsid w:val="008E7983"/>
    <w:rsid w:val="008F0E78"/>
    <w:rsid w:val="00902C68"/>
    <w:rsid w:val="0090425F"/>
    <w:rsid w:val="00907D6C"/>
    <w:rsid w:val="00910A70"/>
    <w:rsid w:val="009124E6"/>
    <w:rsid w:val="00915735"/>
    <w:rsid w:val="0092061E"/>
    <w:rsid w:val="00930CC6"/>
    <w:rsid w:val="009314C4"/>
    <w:rsid w:val="00934306"/>
    <w:rsid w:val="00937F87"/>
    <w:rsid w:val="0094203B"/>
    <w:rsid w:val="00946DFC"/>
    <w:rsid w:val="00951BD1"/>
    <w:rsid w:val="009544ED"/>
    <w:rsid w:val="009548E2"/>
    <w:rsid w:val="00961133"/>
    <w:rsid w:val="00961F82"/>
    <w:rsid w:val="009630A6"/>
    <w:rsid w:val="0097288C"/>
    <w:rsid w:val="00975ACB"/>
    <w:rsid w:val="009A1A7A"/>
    <w:rsid w:val="009B63FE"/>
    <w:rsid w:val="009B7D5A"/>
    <w:rsid w:val="009C2098"/>
    <w:rsid w:val="009D0526"/>
    <w:rsid w:val="009D1395"/>
    <w:rsid w:val="009D4D2B"/>
    <w:rsid w:val="009E19CF"/>
    <w:rsid w:val="009E4653"/>
    <w:rsid w:val="009E4F14"/>
    <w:rsid w:val="009F56C0"/>
    <w:rsid w:val="00A023D4"/>
    <w:rsid w:val="00A043A6"/>
    <w:rsid w:val="00A070F9"/>
    <w:rsid w:val="00A130BD"/>
    <w:rsid w:val="00A20769"/>
    <w:rsid w:val="00A269D4"/>
    <w:rsid w:val="00A40A44"/>
    <w:rsid w:val="00A47765"/>
    <w:rsid w:val="00A51576"/>
    <w:rsid w:val="00A566EF"/>
    <w:rsid w:val="00A64D3E"/>
    <w:rsid w:val="00A762EC"/>
    <w:rsid w:val="00A85170"/>
    <w:rsid w:val="00A93E25"/>
    <w:rsid w:val="00A93F91"/>
    <w:rsid w:val="00A97EE5"/>
    <w:rsid w:val="00AA16F8"/>
    <w:rsid w:val="00AA561A"/>
    <w:rsid w:val="00AB5B28"/>
    <w:rsid w:val="00AD06C3"/>
    <w:rsid w:val="00AD243A"/>
    <w:rsid w:val="00AE0347"/>
    <w:rsid w:val="00AE690E"/>
    <w:rsid w:val="00AE6EA7"/>
    <w:rsid w:val="00AF0109"/>
    <w:rsid w:val="00AF2447"/>
    <w:rsid w:val="00AF5819"/>
    <w:rsid w:val="00B067BB"/>
    <w:rsid w:val="00B170D6"/>
    <w:rsid w:val="00B220E0"/>
    <w:rsid w:val="00B26DE7"/>
    <w:rsid w:val="00B339B0"/>
    <w:rsid w:val="00B468CC"/>
    <w:rsid w:val="00B507AD"/>
    <w:rsid w:val="00B634FC"/>
    <w:rsid w:val="00B63C54"/>
    <w:rsid w:val="00B72759"/>
    <w:rsid w:val="00B77773"/>
    <w:rsid w:val="00B80EFC"/>
    <w:rsid w:val="00B814FC"/>
    <w:rsid w:val="00B84BC1"/>
    <w:rsid w:val="00B91FF7"/>
    <w:rsid w:val="00B927C2"/>
    <w:rsid w:val="00B94C00"/>
    <w:rsid w:val="00B95512"/>
    <w:rsid w:val="00BA3B1A"/>
    <w:rsid w:val="00BA5F1F"/>
    <w:rsid w:val="00BB43EA"/>
    <w:rsid w:val="00BC2BAD"/>
    <w:rsid w:val="00BF2CDD"/>
    <w:rsid w:val="00BF3134"/>
    <w:rsid w:val="00C06850"/>
    <w:rsid w:val="00C10FCF"/>
    <w:rsid w:val="00C166A5"/>
    <w:rsid w:val="00C16AE8"/>
    <w:rsid w:val="00C26437"/>
    <w:rsid w:val="00C274AF"/>
    <w:rsid w:val="00C37281"/>
    <w:rsid w:val="00C37563"/>
    <w:rsid w:val="00C51EE1"/>
    <w:rsid w:val="00C53B24"/>
    <w:rsid w:val="00C55399"/>
    <w:rsid w:val="00C556C7"/>
    <w:rsid w:val="00C628F3"/>
    <w:rsid w:val="00C83787"/>
    <w:rsid w:val="00C86752"/>
    <w:rsid w:val="00C917A9"/>
    <w:rsid w:val="00C95CA0"/>
    <w:rsid w:val="00CA62AF"/>
    <w:rsid w:val="00CB34C7"/>
    <w:rsid w:val="00CB5F84"/>
    <w:rsid w:val="00CB77DA"/>
    <w:rsid w:val="00CD7AC7"/>
    <w:rsid w:val="00CE216D"/>
    <w:rsid w:val="00CE473B"/>
    <w:rsid w:val="00CF0997"/>
    <w:rsid w:val="00D00BC5"/>
    <w:rsid w:val="00D0448B"/>
    <w:rsid w:val="00D11B6B"/>
    <w:rsid w:val="00D12760"/>
    <w:rsid w:val="00D12D83"/>
    <w:rsid w:val="00D145DE"/>
    <w:rsid w:val="00D241C5"/>
    <w:rsid w:val="00D35D8C"/>
    <w:rsid w:val="00D61CA3"/>
    <w:rsid w:val="00D758EC"/>
    <w:rsid w:val="00D80FF0"/>
    <w:rsid w:val="00D82FE4"/>
    <w:rsid w:val="00D924AD"/>
    <w:rsid w:val="00D96B46"/>
    <w:rsid w:val="00DA3937"/>
    <w:rsid w:val="00DA4621"/>
    <w:rsid w:val="00DC4256"/>
    <w:rsid w:val="00DD56A8"/>
    <w:rsid w:val="00DF4761"/>
    <w:rsid w:val="00DF509A"/>
    <w:rsid w:val="00DF7BB2"/>
    <w:rsid w:val="00E00C27"/>
    <w:rsid w:val="00E00D54"/>
    <w:rsid w:val="00E06DB6"/>
    <w:rsid w:val="00E114D8"/>
    <w:rsid w:val="00E32401"/>
    <w:rsid w:val="00E35ADD"/>
    <w:rsid w:val="00E51515"/>
    <w:rsid w:val="00E6160C"/>
    <w:rsid w:val="00E735A1"/>
    <w:rsid w:val="00E83360"/>
    <w:rsid w:val="00E8566A"/>
    <w:rsid w:val="00E96B44"/>
    <w:rsid w:val="00EA4B29"/>
    <w:rsid w:val="00EA4D17"/>
    <w:rsid w:val="00EB2BD3"/>
    <w:rsid w:val="00EB37E2"/>
    <w:rsid w:val="00EC22B4"/>
    <w:rsid w:val="00EC4BB5"/>
    <w:rsid w:val="00ED1114"/>
    <w:rsid w:val="00ED7D54"/>
    <w:rsid w:val="00EE164B"/>
    <w:rsid w:val="00EE3A7E"/>
    <w:rsid w:val="00EF254E"/>
    <w:rsid w:val="00EF6850"/>
    <w:rsid w:val="00F01E93"/>
    <w:rsid w:val="00F03BA8"/>
    <w:rsid w:val="00F0492A"/>
    <w:rsid w:val="00F2346E"/>
    <w:rsid w:val="00F273B0"/>
    <w:rsid w:val="00F31F52"/>
    <w:rsid w:val="00F33044"/>
    <w:rsid w:val="00F37C4D"/>
    <w:rsid w:val="00F466F6"/>
    <w:rsid w:val="00F56AE2"/>
    <w:rsid w:val="00F61155"/>
    <w:rsid w:val="00F829FA"/>
    <w:rsid w:val="00F904F8"/>
    <w:rsid w:val="00F92301"/>
    <w:rsid w:val="00FA0722"/>
    <w:rsid w:val="00FC7E6D"/>
    <w:rsid w:val="00FD005A"/>
    <w:rsid w:val="00FD42F2"/>
    <w:rsid w:val="00FE0FF9"/>
    <w:rsid w:val="00FF3B02"/>
    <w:rsid w:val="00FF4AE1"/>
    <w:rsid w:val="29796E82"/>
    <w:rsid w:val="396E2F6A"/>
    <w:rsid w:val="40514D74"/>
    <w:rsid w:val="7F803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28"/>
      <w:szCs w:val="22"/>
      <w:lang w:val="en-US" w:eastAsia="zh-CN" w:bidi="ar-SA"/>
    </w:rPr>
  </w:style>
  <w:style w:type="paragraph" w:styleId="2">
    <w:name w:val="heading 2"/>
    <w:basedOn w:val="1"/>
    <w:next w:val="1"/>
    <w:link w:val="12"/>
    <w:qFormat/>
    <w:uiPriority w:val="0"/>
    <w:pPr>
      <w:keepNext/>
      <w:keepLines/>
      <w:ind w:firstLine="0" w:firstLineChars="0"/>
      <w:jc w:val="center"/>
      <w:outlineLvl w:val="1"/>
    </w:pPr>
    <w:rPr>
      <w:rFonts w:ascii="Cambria" w:hAnsi="Cambria" w:eastAsia="宋体"/>
      <w:b/>
      <w:bCs/>
      <w:sz w:val="36"/>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6"/>
    <w:semiHidden/>
    <w:unhideWhenUsed/>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0"/>
    <w:rPr>
      <w:b/>
      <w:bCs/>
    </w:rPr>
  </w:style>
  <w:style w:type="table" w:styleId="9">
    <w:name w:val="Table Grid"/>
    <w:basedOn w:val="8"/>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annotation reference"/>
    <w:basedOn w:val="10"/>
    <w:semiHidden/>
    <w:unhideWhenUsed/>
    <w:qFormat/>
    <w:uiPriority w:val="0"/>
    <w:rPr>
      <w:sz w:val="21"/>
      <w:szCs w:val="21"/>
    </w:rPr>
  </w:style>
  <w:style w:type="character" w:customStyle="1" w:styleId="12">
    <w:name w:val="标题 2 Char"/>
    <w:link w:val="2"/>
    <w:locked/>
    <w:uiPriority w:val="0"/>
    <w:rPr>
      <w:rFonts w:ascii="Cambria" w:hAnsi="Cambria" w:eastAsia="宋体"/>
      <w:b/>
      <w:bCs/>
      <w:kern w:val="2"/>
      <w:sz w:val="36"/>
      <w:szCs w:val="32"/>
      <w:lang w:val="en-US" w:eastAsia="zh-CN" w:bidi="ar-SA"/>
    </w:rPr>
  </w:style>
  <w:style w:type="paragraph" w:customStyle="1" w:styleId="13">
    <w:name w:val="无间隔1"/>
    <w:qFormat/>
    <w:uiPriority w:val="0"/>
    <w:pPr>
      <w:widowControl w:val="0"/>
      <w:jc w:val="center"/>
    </w:pPr>
    <w:rPr>
      <w:rFonts w:ascii="Times New Roman" w:hAnsi="Times New Roman" w:eastAsia="仿宋_GB2312" w:cs="Times New Roman"/>
      <w:kern w:val="2"/>
      <w:sz w:val="28"/>
      <w:szCs w:val="22"/>
      <w:lang w:val="en-US" w:eastAsia="zh-CN" w:bidi="ar-SA"/>
    </w:rPr>
  </w:style>
  <w:style w:type="character" w:customStyle="1" w:styleId="14">
    <w:name w:val="页眉 Char"/>
    <w:link w:val="6"/>
    <w:uiPriority w:val="0"/>
    <w:rPr>
      <w:rFonts w:eastAsia="仿宋_GB2312"/>
      <w:kern w:val="2"/>
      <w:sz w:val="18"/>
      <w:szCs w:val="18"/>
    </w:rPr>
  </w:style>
  <w:style w:type="character" w:customStyle="1" w:styleId="15">
    <w:name w:val="页脚 Char"/>
    <w:link w:val="5"/>
    <w:uiPriority w:val="99"/>
    <w:rPr>
      <w:rFonts w:eastAsia="仿宋_GB2312"/>
      <w:kern w:val="2"/>
      <w:sz w:val="18"/>
      <w:szCs w:val="18"/>
    </w:rPr>
  </w:style>
  <w:style w:type="character" w:customStyle="1" w:styleId="16">
    <w:name w:val="批注文字 Char"/>
    <w:basedOn w:val="10"/>
    <w:link w:val="3"/>
    <w:semiHidden/>
    <w:qFormat/>
    <w:uiPriority w:val="0"/>
    <w:rPr>
      <w:rFonts w:eastAsia="仿宋_GB2312"/>
      <w:kern w:val="2"/>
      <w:sz w:val="28"/>
      <w:szCs w:val="22"/>
    </w:rPr>
  </w:style>
  <w:style w:type="character" w:customStyle="1" w:styleId="17">
    <w:name w:val="批注主题 Char"/>
    <w:basedOn w:val="16"/>
    <w:link w:val="7"/>
    <w:semiHidden/>
    <w:qFormat/>
    <w:uiPriority w:val="0"/>
    <w:rPr>
      <w:rFonts w:eastAsia="仿宋_GB2312"/>
      <w:b/>
      <w:bCs/>
      <w:kern w:val="2"/>
      <w:sz w:val="28"/>
      <w:szCs w:val="22"/>
    </w:rPr>
  </w:style>
  <w:style w:type="character" w:customStyle="1" w:styleId="18">
    <w:name w:val="批注框文本 Char"/>
    <w:basedOn w:val="10"/>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北京源隆会计师事务所有限责任公司</Company>
  <Pages>5</Pages>
  <Words>4044</Words>
  <Characters>343</Characters>
  <Lines>2</Lines>
  <Paragraphs>8</Paragraphs>
  <TotalTime>6</TotalTime>
  <ScaleCrop>false</ScaleCrop>
  <LinksUpToDate>false</LinksUpToDate>
  <CharactersWithSpaces>4379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2021-02-03T10:00:00Z</dcterms:created>
  <dc:creator>徐富龙</dc:creator>
  <cp:lastModifiedBy>Administrator</cp:lastModifiedBy>
  <cp:lastPrinted>2013-06-18T11:17:00Z</cp:lastPrinted>
  <dcterms:modified xsi:type="dcterms:W3CDTF">2025-10-16T09:20:36Z</dcterms:modified>
  <dc:title>部门整体支出绩效目标申报表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