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int="eastAsia" w:eastAsia="黑体"/>
          <w:sz w:val="32"/>
          <w:szCs w:val="32"/>
        </w:rPr>
        <w:t xml:space="preserve">  </w:t>
      </w:r>
    </w:p>
    <w:p>
      <w:pPr>
        <w:pStyle w:val="2"/>
        <w:ind w:firstLine="640"/>
        <w:rPr>
          <w:rFonts w:eastAsia="黑体"/>
          <w:sz w:val="32"/>
          <w:szCs w:val="32"/>
        </w:rPr>
      </w:pPr>
    </w:p>
    <w:p>
      <w:pPr>
        <w:pStyle w:val="2"/>
        <w:ind w:firstLine="640"/>
        <w:rPr>
          <w:rFonts w:eastAsia="黑体"/>
          <w:sz w:val="32"/>
          <w:szCs w:val="32"/>
        </w:rPr>
      </w:pPr>
    </w:p>
    <w:p>
      <w:pPr>
        <w:jc w:val="center"/>
        <w:rPr>
          <w:rFonts w:ascii="黑体" w:eastAsia="黑体"/>
          <w:sz w:val="72"/>
          <w:szCs w:val="72"/>
        </w:rPr>
      </w:pPr>
    </w:p>
    <w:p>
      <w:pPr>
        <w:rPr>
          <w:rFonts w:ascii="黑体" w:eastAsia="黑体"/>
          <w:sz w:val="72"/>
          <w:szCs w:val="72"/>
        </w:rPr>
      </w:pPr>
    </w:p>
    <w:p>
      <w:pPr>
        <w:jc w:val="center"/>
        <w:rPr>
          <w:rFonts w:ascii="黑体" w:eastAsia="黑体"/>
          <w:sz w:val="72"/>
          <w:szCs w:val="72"/>
        </w:rPr>
      </w:pPr>
      <w:r>
        <w:rPr>
          <w:rFonts w:hint="eastAsia" w:ascii="黑体" w:eastAsia="黑体"/>
          <w:sz w:val="72"/>
          <w:szCs w:val="72"/>
        </w:rPr>
        <w:t>2023年度北京市西城区社区</w:t>
      </w:r>
      <w:r>
        <w:rPr>
          <w:rFonts w:ascii="黑体" w:eastAsia="黑体"/>
          <w:sz w:val="72"/>
          <w:szCs w:val="72"/>
        </w:rPr>
        <w:t>矫正中心</w:t>
      </w:r>
    </w:p>
    <w:p>
      <w:pPr>
        <w:jc w:val="center"/>
        <w:rPr>
          <w:rFonts w:ascii="黑体" w:eastAsia="黑体"/>
          <w:sz w:val="72"/>
          <w:szCs w:val="72"/>
        </w:rPr>
      </w:pPr>
      <w:r>
        <w:rPr>
          <w:rFonts w:hint="eastAsia" w:ascii="黑体" w:eastAsia="黑体"/>
          <w:sz w:val="72"/>
          <w:szCs w:val="72"/>
        </w:rPr>
        <w:t>部门决算</w:t>
      </w:r>
    </w:p>
    <w:p>
      <w:pPr>
        <w:jc w:val="center"/>
        <w:rPr>
          <w:rFonts w:ascii="黑体" w:eastAsia="黑体"/>
          <w:sz w:val="52"/>
          <w:szCs w:val="52"/>
        </w:rPr>
      </w:pPr>
    </w:p>
    <w:p>
      <w:pPr>
        <w:rPr>
          <w:rFonts w:ascii="黑体" w:eastAsia="黑体"/>
          <w:sz w:val="52"/>
          <w:szCs w:val="52"/>
        </w:rPr>
      </w:pPr>
    </w:p>
    <w:p>
      <w:pPr>
        <w:pStyle w:val="2"/>
        <w:ind w:firstLine="0" w:firstLineChars="0"/>
        <w:rPr>
          <w:rFonts w:ascii="黑体" w:eastAsia="黑体"/>
          <w:sz w:val="52"/>
          <w:szCs w:val="52"/>
        </w:rPr>
      </w:pPr>
    </w:p>
    <w:p>
      <w:pPr>
        <w:pStyle w:val="2"/>
        <w:ind w:firstLine="0" w:firstLineChars="0"/>
        <w:rPr>
          <w:rFonts w:ascii="黑体" w:eastAsia="黑体"/>
          <w:sz w:val="52"/>
          <w:szCs w:val="52"/>
        </w:rPr>
      </w:pPr>
    </w:p>
    <w:p>
      <w:pPr>
        <w:pStyle w:val="2"/>
        <w:ind w:firstLine="0" w:firstLineChars="0"/>
        <w:rPr>
          <w:rFonts w:eastAsia="黑体"/>
        </w:rPr>
        <w:sectPr>
          <w:footerReference r:id="rId3" w:type="default"/>
          <w:pgSz w:w="16838" w:h="11906" w:orient="landscape"/>
          <w:pgMar w:top="1134" w:right="1134" w:bottom="1134" w:left="1134" w:header="851" w:footer="567" w:gutter="0"/>
          <w:pgNumType w:start="1"/>
          <w:cols w:space="720" w:num="1"/>
          <w:titlePg/>
          <w:docGrid w:type="linesAndChars" w:linePitch="312" w:charSpace="0"/>
        </w:sectPr>
      </w:pPr>
    </w:p>
    <w:p>
      <w:pPr>
        <w:spacing w:line="500" w:lineRule="exact"/>
        <w:ind w:firstLine="645"/>
        <w:jc w:val="center"/>
        <w:outlineLvl w:val="0"/>
        <w:rPr>
          <w:rFonts w:ascii="宋体" w:hAnsi="宋体" w:cs="宋体"/>
          <w:b/>
          <w:bCs/>
          <w:kern w:val="0"/>
          <w:sz w:val="36"/>
          <w:szCs w:val="36"/>
        </w:rPr>
      </w:pPr>
      <w:bookmarkStart w:id="0" w:name="_Toc16214"/>
      <w:r>
        <w:rPr>
          <w:rFonts w:hint="eastAsia" w:ascii="宋体" w:hAnsi="宋体" w:cs="宋体"/>
          <w:b/>
          <w:bCs/>
          <w:kern w:val="0"/>
          <w:sz w:val="44"/>
          <w:szCs w:val="36"/>
        </w:rPr>
        <w:t>目    录</w:t>
      </w:r>
      <w:bookmarkEnd w:id="0"/>
    </w:p>
    <w:p>
      <w:pPr>
        <w:tabs>
          <w:tab w:val="center" w:pos="6979"/>
        </w:tabs>
        <w:spacing w:line="500" w:lineRule="exact"/>
        <w:ind w:firstLine="1600" w:firstLineChars="400"/>
        <w:jc w:val="left"/>
        <w:outlineLvl w:val="0"/>
        <w:rPr>
          <w:rFonts w:ascii="宋体" w:hAnsi="宋体" w:cs="宋体"/>
          <w:spacing w:val="40"/>
          <w:kern w:val="0"/>
          <w:sz w:val="32"/>
          <w:szCs w:val="32"/>
        </w:rPr>
      </w:pPr>
      <w:bookmarkStart w:id="1" w:name="_Toc30994"/>
    </w:p>
    <w:p>
      <w:pPr>
        <w:tabs>
          <w:tab w:val="center" w:pos="6979"/>
        </w:tabs>
        <w:spacing w:line="500" w:lineRule="exact"/>
        <w:ind w:firstLine="1600" w:firstLineChars="400"/>
        <w:jc w:val="left"/>
        <w:outlineLvl w:val="0"/>
        <w:rPr>
          <w:rFonts w:ascii="宋体" w:hAnsi="宋体" w:cs="宋体"/>
          <w:spacing w:val="40"/>
          <w:kern w:val="0"/>
          <w:sz w:val="32"/>
          <w:szCs w:val="32"/>
        </w:rPr>
      </w:pPr>
      <w:r>
        <w:rPr>
          <w:rFonts w:hint="eastAsia" w:ascii="宋体" w:hAnsi="宋体" w:cs="宋体"/>
          <w:spacing w:val="40"/>
          <w:kern w:val="0"/>
          <w:sz w:val="32"/>
          <w:szCs w:val="32"/>
        </w:rPr>
        <w:t>第</w:t>
      </w:r>
      <w:r>
        <w:rPr>
          <w:rFonts w:hint="eastAsia" w:ascii="宋体" w:hAnsi="宋体" w:cs="宋体"/>
          <w:bCs/>
          <w:spacing w:val="40"/>
          <w:kern w:val="0"/>
          <w:sz w:val="32"/>
          <w:szCs w:val="32"/>
        </w:rPr>
        <w:t>一</w:t>
      </w:r>
      <w:r>
        <w:rPr>
          <w:rFonts w:hint="eastAsia" w:ascii="宋体" w:hAnsi="宋体" w:cs="宋体"/>
          <w:spacing w:val="40"/>
          <w:kern w:val="0"/>
          <w:sz w:val="32"/>
          <w:szCs w:val="32"/>
        </w:rPr>
        <w:t>部分</w:t>
      </w:r>
      <w:r>
        <w:rPr>
          <w:rFonts w:hint="eastAsia" w:ascii="宋体" w:hAnsi="宋体"/>
          <w:spacing w:val="40"/>
          <w:sz w:val="32"/>
          <w:szCs w:val="32"/>
        </w:rPr>
        <w:t xml:space="preserve"> 2023年度部门决算说明</w:t>
      </w:r>
    </w:p>
    <w:p>
      <w:pPr>
        <w:tabs>
          <w:tab w:val="center" w:pos="6979"/>
        </w:tabs>
        <w:spacing w:line="500" w:lineRule="exact"/>
        <w:ind w:firstLine="1600" w:firstLineChars="400"/>
        <w:jc w:val="left"/>
        <w:outlineLvl w:val="0"/>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bookmarkEnd w:id="1"/>
      <w:r>
        <w:rPr>
          <w:rFonts w:hint="eastAsia" w:ascii="宋体" w:hAnsi="宋体"/>
          <w:spacing w:val="40"/>
          <w:sz w:val="32"/>
          <w:szCs w:val="32"/>
        </w:rPr>
        <w:t>2023年度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outlineLvl w:val="0"/>
        <w:rPr>
          <w:rFonts w:ascii="宋体" w:hAnsi="宋体" w:cs="宋体"/>
          <w:spacing w:val="40"/>
          <w:kern w:val="0"/>
          <w:sz w:val="32"/>
          <w:szCs w:val="32"/>
        </w:rPr>
      </w:pPr>
      <w:bookmarkStart w:id="2" w:name="_Toc2266"/>
      <w:r>
        <w:rPr>
          <w:rFonts w:hint="eastAsia" w:ascii="宋体" w:hAnsi="宋体" w:cs="宋体"/>
          <w:bCs/>
          <w:spacing w:val="40"/>
          <w:kern w:val="0"/>
          <w:sz w:val="32"/>
          <w:szCs w:val="32"/>
        </w:rPr>
        <w:t>第三部分</w:t>
      </w:r>
      <w:bookmarkEnd w:id="2"/>
      <w:r>
        <w:rPr>
          <w:rFonts w:hint="eastAsia" w:ascii="宋体" w:hAnsi="宋体" w:cs="宋体"/>
          <w:bCs/>
          <w:spacing w:val="40"/>
          <w:kern w:val="0"/>
          <w:sz w:val="32"/>
          <w:szCs w:val="32"/>
        </w:rPr>
        <w:t xml:space="preserve"> </w:t>
      </w:r>
      <w:r>
        <w:rPr>
          <w:rFonts w:hint="eastAsia" w:ascii="宋体" w:hAnsi="宋体" w:cs="宋体"/>
          <w:spacing w:val="40"/>
          <w:kern w:val="0"/>
          <w:sz w:val="32"/>
          <w:szCs w:val="32"/>
        </w:rPr>
        <w:t>2023年度部门绩效评价情况</w:t>
      </w:r>
    </w:p>
    <w:p>
      <w:pPr>
        <w:tabs>
          <w:tab w:val="center" w:pos="6979"/>
        </w:tabs>
        <w:spacing w:line="500" w:lineRule="exact"/>
        <w:ind w:firstLine="1600" w:firstLineChars="400"/>
        <w:jc w:val="left"/>
        <w:outlineLvl w:val="0"/>
        <w:rPr>
          <w:rFonts w:ascii="宋体" w:hAnsi="宋体" w:cs="宋体"/>
          <w:bCs/>
          <w:spacing w:val="40"/>
          <w:kern w:val="0"/>
          <w:sz w:val="32"/>
          <w:szCs w:val="32"/>
        </w:rPr>
      </w:pPr>
      <w:r>
        <w:rPr>
          <w:rFonts w:hint="eastAsia" w:ascii="宋体" w:hAnsi="宋体" w:cs="宋体"/>
          <w:bCs/>
          <w:spacing w:val="40"/>
          <w:kern w:val="0"/>
          <w:sz w:val="32"/>
          <w:szCs w:val="32"/>
        </w:rPr>
        <w:t>第</w:t>
      </w:r>
      <w:r>
        <w:rPr>
          <w:rFonts w:hint="eastAsia" w:ascii="宋体" w:hAnsi="宋体" w:cs="宋体"/>
          <w:spacing w:val="40"/>
          <w:kern w:val="0"/>
          <w:sz w:val="32"/>
          <w:szCs w:val="32"/>
        </w:rPr>
        <w:t>四</w:t>
      </w:r>
      <w:r>
        <w:rPr>
          <w:rFonts w:hint="eastAsia" w:ascii="宋体" w:hAnsi="宋体" w:cs="宋体"/>
          <w:bCs/>
          <w:spacing w:val="40"/>
          <w:kern w:val="0"/>
          <w:sz w:val="32"/>
          <w:szCs w:val="32"/>
        </w:rPr>
        <w:t>部分 2023年度部门决算报表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pPr>
        <w:rPr>
          <w:rFonts w:ascii="宋体" w:hAnsi="宋体" w:cs="宋体"/>
          <w:spacing w:val="40"/>
          <w:kern w:val="0"/>
          <w:sz w:val="32"/>
          <w:szCs w:val="32"/>
        </w:rPr>
      </w:pPr>
      <w:r>
        <w:br w:type="page"/>
      </w:r>
    </w:p>
    <w:p>
      <w:pPr>
        <w:tabs>
          <w:tab w:val="center" w:pos="6979"/>
        </w:tabs>
        <w:spacing w:before="156" w:beforeLines="50" w:after="156" w:afterLines="50"/>
        <w:jc w:val="center"/>
        <w:outlineLvl w:val="0"/>
        <w:rPr>
          <w:rFonts w:ascii="宋体" w:hAnsi="宋体" w:cs="宋体"/>
          <w:b/>
          <w:bCs/>
          <w:spacing w:val="40"/>
          <w:kern w:val="0"/>
          <w:sz w:val="44"/>
          <w:szCs w:val="44"/>
        </w:rPr>
      </w:pPr>
      <w:bookmarkStart w:id="3" w:name="_Toc2915"/>
      <w:r>
        <w:rPr>
          <w:rFonts w:hint="eastAsia" w:ascii="宋体" w:hAnsi="宋体" w:cs="宋体"/>
          <w:b/>
          <w:bCs/>
          <w:spacing w:val="40"/>
          <w:kern w:val="0"/>
          <w:sz w:val="44"/>
          <w:szCs w:val="44"/>
        </w:rPr>
        <w:t>第一部分 2023年度部门决算说明</w:t>
      </w:r>
      <w:bookmarkEnd w:id="3"/>
    </w:p>
    <w:p>
      <w:pPr>
        <w:tabs>
          <w:tab w:val="center" w:pos="6979"/>
        </w:tabs>
        <w:spacing w:line="580" w:lineRule="exact"/>
        <w:ind w:firstLine="548" w:firstLineChars="196"/>
        <w:outlineLvl w:val="1"/>
        <w:rPr>
          <w:rFonts w:ascii="黑体" w:eastAsia="黑体"/>
          <w:b/>
          <w:sz w:val="28"/>
          <w:szCs w:val="28"/>
        </w:rPr>
      </w:pPr>
      <w:bookmarkStart w:id="4" w:name="_Toc5538"/>
      <w:r>
        <w:rPr>
          <w:rFonts w:hint="eastAsia" w:ascii="黑体" w:eastAsia="黑体"/>
          <w:b/>
          <w:sz w:val="28"/>
          <w:szCs w:val="28"/>
        </w:rPr>
        <w:t>一、部门/单位基本情况</w:t>
      </w:r>
      <w:bookmarkEnd w:id="4"/>
    </w:p>
    <w:p>
      <w:pPr>
        <w:tabs>
          <w:tab w:val="center" w:pos="6979"/>
        </w:tabs>
        <w:spacing w:line="580" w:lineRule="exact"/>
        <w:ind w:firstLine="420" w:firstLineChars="150"/>
        <w:rPr>
          <w:rFonts w:eastAsia="仿宋_GB2312"/>
          <w:sz w:val="28"/>
          <w:szCs w:val="28"/>
        </w:rPr>
      </w:pPr>
      <w:r>
        <w:rPr>
          <w:rFonts w:eastAsia="仿宋_GB2312"/>
          <w:sz w:val="28"/>
          <w:szCs w:val="28"/>
        </w:rPr>
        <w:t>（一）机构职责</w:t>
      </w:r>
    </w:p>
    <w:p>
      <w:pPr>
        <w:snapToGrid w:val="0"/>
        <w:spacing w:line="520" w:lineRule="exact"/>
        <w:ind w:firstLine="560" w:firstLineChars="200"/>
        <w:rPr>
          <w:rFonts w:eastAsia="仿宋_GB2312"/>
          <w:sz w:val="28"/>
          <w:szCs w:val="28"/>
        </w:rPr>
      </w:pPr>
      <w:r>
        <w:rPr>
          <w:rFonts w:hint="eastAsia" w:eastAsia="仿宋_GB2312"/>
          <w:sz w:val="28"/>
          <w:szCs w:val="28"/>
        </w:rPr>
        <w:t>承担管理、服务社区矫正</w:t>
      </w:r>
      <w:r>
        <w:rPr>
          <w:rFonts w:eastAsia="仿宋_GB2312"/>
          <w:sz w:val="28"/>
          <w:szCs w:val="28"/>
        </w:rPr>
        <w:t>对象</w:t>
      </w:r>
      <w:r>
        <w:rPr>
          <w:rFonts w:hint="eastAsia" w:eastAsia="仿宋_GB2312"/>
          <w:sz w:val="28"/>
          <w:szCs w:val="28"/>
        </w:rPr>
        <w:t>的公益职能。主要</w:t>
      </w:r>
      <w:r>
        <w:rPr>
          <w:rFonts w:eastAsia="仿宋_GB2312"/>
          <w:sz w:val="28"/>
          <w:szCs w:val="28"/>
        </w:rPr>
        <w:t>包括</w:t>
      </w:r>
      <w:r>
        <w:rPr>
          <w:rFonts w:hint="eastAsia" w:eastAsia="仿宋_GB2312"/>
          <w:sz w:val="28"/>
          <w:szCs w:val="28"/>
        </w:rPr>
        <w:t>组织辖区社区矫正对象进行集中入矫、专项</w:t>
      </w:r>
      <w:r>
        <w:rPr>
          <w:rFonts w:eastAsia="仿宋_GB2312"/>
          <w:sz w:val="28"/>
          <w:szCs w:val="28"/>
        </w:rPr>
        <w:t>、</w:t>
      </w:r>
      <w:r>
        <w:rPr>
          <w:rFonts w:hint="eastAsia" w:eastAsia="仿宋_GB2312"/>
          <w:sz w:val="28"/>
          <w:szCs w:val="28"/>
        </w:rPr>
        <w:t>分类和解矫教育、公益活动；为有需求的社区矫正对象提供社会适应指导、心理咨询和心理辅导，帮助他们克服困难、提高适应社会能力，预防和减少重新违法犯罪；为</w:t>
      </w:r>
      <w:r>
        <w:rPr>
          <w:rFonts w:eastAsia="仿宋_GB2312"/>
          <w:sz w:val="28"/>
          <w:szCs w:val="28"/>
        </w:rPr>
        <w:t>有需求的刑满释放人员提供帮扶救助</w:t>
      </w:r>
      <w:r>
        <w:rPr>
          <w:rFonts w:hint="eastAsia" w:eastAsia="仿宋_GB2312"/>
          <w:sz w:val="28"/>
          <w:szCs w:val="28"/>
        </w:rPr>
        <w:t>，确保社区矫正和</w:t>
      </w:r>
      <w:r>
        <w:rPr>
          <w:rFonts w:eastAsia="仿宋_GB2312"/>
          <w:sz w:val="28"/>
          <w:szCs w:val="28"/>
        </w:rPr>
        <w:t>安置帮教</w:t>
      </w:r>
      <w:r>
        <w:rPr>
          <w:rFonts w:hint="eastAsia" w:eastAsia="仿宋_GB2312"/>
          <w:sz w:val="28"/>
          <w:szCs w:val="28"/>
        </w:rPr>
        <w:t>工作取得实效，以维护地区和谐稳定。</w:t>
      </w:r>
    </w:p>
    <w:p>
      <w:pPr>
        <w:tabs>
          <w:tab w:val="center" w:pos="6979"/>
        </w:tabs>
        <w:spacing w:line="580" w:lineRule="exact"/>
        <w:ind w:firstLine="420" w:firstLineChars="150"/>
        <w:rPr>
          <w:rFonts w:eastAsia="仿宋_GB2312"/>
          <w:sz w:val="28"/>
          <w:szCs w:val="28"/>
        </w:rPr>
      </w:pPr>
      <w:r>
        <w:rPr>
          <w:rFonts w:eastAsia="仿宋_GB2312"/>
          <w:sz w:val="28"/>
          <w:szCs w:val="28"/>
        </w:rPr>
        <w:t>（</w:t>
      </w:r>
      <w:r>
        <w:rPr>
          <w:rFonts w:hint="eastAsia" w:eastAsia="仿宋_GB2312"/>
          <w:sz w:val="28"/>
          <w:szCs w:val="28"/>
        </w:rPr>
        <w:t>二</w:t>
      </w:r>
      <w:r>
        <w:rPr>
          <w:rFonts w:eastAsia="仿宋_GB2312"/>
          <w:sz w:val="28"/>
          <w:szCs w:val="28"/>
        </w:rPr>
        <w:t>）机构设置（需公开内设机构数量和下属单位数量及名称）</w:t>
      </w:r>
    </w:p>
    <w:p>
      <w:pPr>
        <w:pStyle w:val="2"/>
        <w:ind w:firstLine="560"/>
        <w:rPr>
          <w:rFonts w:ascii="仿宋_GB2312" w:hAnsi="仿宋" w:eastAsia="仿宋_GB2312"/>
          <w:sz w:val="28"/>
          <w:szCs w:val="28"/>
        </w:rPr>
      </w:pPr>
      <w:r>
        <w:rPr>
          <w:rFonts w:hint="eastAsia" w:ascii="仿宋_GB2312" w:hAnsi="仿宋" w:eastAsia="仿宋_GB2312"/>
          <w:sz w:val="28"/>
          <w:szCs w:val="28"/>
        </w:rPr>
        <w:t>2023年度，纳入本部门决算汇编范围的独立核算单位共 1 个,</w:t>
      </w:r>
      <w:r>
        <w:rPr>
          <w:rFonts w:ascii="仿宋_GB2312" w:hAnsi="仿宋" w:eastAsia="仿宋_GB2312"/>
          <w:sz w:val="28"/>
          <w:szCs w:val="28"/>
        </w:rPr>
        <w:t>无内设机构及下属单位</w:t>
      </w:r>
      <w:r>
        <w:rPr>
          <w:rFonts w:hint="eastAsia" w:ascii="仿宋_GB2312" w:hAnsi="仿宋" w:eastAsia="仿宋_GB2312"/>
          <w:sz w:val="28"/>
          <w:szCs w:val="28"/>
        </w:rPr>
        <w:t>。2023年</w:t>
      </w:r>
      <w:r>
        <w:rPr>
          <w:rFonts w:ascii="仿宋_GB2312" w:hAnsi="仿宋" w:eastAsia="仿宋_GB2312"/>
          <w:sz w:val="28"/>
          <w:szCs w:val="28"/>
        </w:rPr>
        <w:t>末,</w:t>
      </w:r>
      <w:r>
        <w:rPr>
          <w:rFonts w:hint="eastAsia" w:ascii="仿宋_GB2312" w:hAnsi="仿宋" w:eastAsia="仿宋_GB2312"/>
          <w:sz w:val="28"/>
          <w:szCs w:val="28"/>
        </w:rPr>
        <w:t>本</w:t>
      </w:r>
      <w:r>
        <w:rPr>
          <w:rFonts w:ascii="仿宋_GB2312" w:hAnsi="仿宋" w:eastAsia="仿宋_GB2312"/>
          <w:sz w:val="28"/>
          <w:szCs w:val="28"/>
        </w:rPr>
        <w:t>单位人员编制共计</w:t>
      </w:r>
      <w:r>
        <w:rPr>
          <w:rFonts w:hint="eastAsia" w:ascii="仿宋_GB2312" w:hAnsi="仿宋" w:eastAsia="仿宋_GB2312"/>
          <w:sz w:val="28"/>
          <w:szCs w:val="28"/>
        </w:rPr>
        <w:t>10人</w:t>
      </w:r>
      <w:r>
        <w:rPr>
          <w:rFonts w:ascii="仿宋_GB2312" w:hAnsi="仿宋" w:eastAsia="仿宋_GB2312"/>
          <w:sz w:val="28"/>
          <w:szCs w:val="28"/>
        </w:rPr>
        <w:t>,实有</w:t>
      </w:r>
      <w:r>
        <w:rPr>
          <w:rFonts w:hint="eastAsia" w:ascii="仿宋_GB2312" w:hAnsi="仿宋" w:eastAsia="仿宋_GB2312"/>
          <w:sz w:val="28"/>
          <w:szCs w:val="28"/>
        </w:rPr>
        <w:t>在职</w:t>
      </w:r>
      <w:r>
        <w:rPr>
          <w:rFonts w:ascii="仿宋_GB2312" w:hAnsi="仿宋" w:eastAsia="仿宋_GB2312"/>
          <w:sz w:val="28"/>
          <w:szCs w:val="28"/>
        </w:rPr>
        <w:t>人员</w:t>
      </w:r>
      <w:r>
        <w:rPr>
          <w:rFonts w:hint="eastAsia" w:ascii="仿宋_GB2312" w:hAnsi="仿宋" w:eastAsia="仿宋_GB2312"/>
          <w:sz w:val="28"/>
          <w:szCs w:val="28"/>
        </w:rPr>
        <w:t>9人，</w:t>
      </w:r>
      <w:r>
        <w:rPr>
          <w:rFonts w:ascii="仿宋_GB2312" w:hAnsi="仿宋" w:eastAsia="仿宋_GB2312"/>
          <w:sz w:val="28"/>
          <w:szCs w:val="28"/>
        </w:rPr>
        <w:t>无离退休人员</w:t>
      </w:r>
      <w:r>
        <w:rPr>
          <w:rFonts w:hint="eastAsia" w:ascii="仿宋_GB2312" w:hAnsi="仿宋" w:eastAsia="仿宋_GB2312"/>
          <w:sz w:val="28"/>
          <w:szCs w:val="28"/>
        </w:rPr>
        <w:t>。</w:t>
      </w:r>
    </w:p>
    <w:p>
      <w:pPr>
        <w:tabs>
          <w:tab w:val="center" w:pos="6979"/>
        </w:tabs>
        <w:spacing w:line="580" w:lineRule="exact"/>
        <w:outlineLvl w:val="1"/>
        <w:rPr>
          <w:rFonts w:ascii="黑体" w:eastAsia="黑体"/>
          <w:b/>
          <w:sz w:val="28"/>
          <w:szCs w:val="28"/>
        </w:rPr>
      </w:pPr>
      <w:r>
        <w:rPr>
          <w:rFonts w:hint="eastAsia" w:ascii="仿宋_GB2312" w:eastAsia="仿宋_GB2312"/>
          <w:b/>
          <w:sz w:val="32"/>
          <w:szCs w:val="32"/>
        </w:rPr>
        <w:t xml:space="preserve">   </w:t>
      </w:r>
      <w:bookmarkStart w:id="5" w:name="_Toc4799"/>
      <w:r>
        <w:rPr>
          <w:rFonts w:hint="eastAsia" w:ascii="黑体" w:eastAsia="黑体"/>
          <w:b/>
          <w:sz w:val="28"/>
          <w:szCs w:val="28"/>
        </w:rPr>
        <w:t>二、收入支出决算总体情况说明</w:t>
      </w:r>
      <w:bookmarkEnd w:id="5"/>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624.14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减少-11.42，减少-3.53</w:t>
      </w:r>
      <w:r>
        <w:rPr>
          <w:rFonts w:ascii="仿宋_GB2312" w:eastAsia="仿宋_GB2312"/>
          <w:sz w:val="28"/>
          <w:szCs w:val="28"/>
        </w:rPr>
        <w:t>%</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2023年度本年收入合计</w:t>
      </w:r>
      <w:r>
        <w:rPr>
          <w:rFonts w:ascii="仿宋_GB2312" w:hAnsi="仿宋" w:eastAsia="仿宋_GB2312"/>
          <w:sz w:val="32"/>
          <w:szCs w:val="32"/>
        </w:rPr>
        <w:t>312.07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减少-11.42万元，减少-3.53</w:t>
      </w:r>
      <w:r>
        <w:rPr>
          <w:rFonts w:ascii="仿宋_GB2312" w:eastAsia="仿宋_GB2312"/>
          <w:sz w:val="28"/>
          <w:szCs w:val="28"/>
        </w:rPr>
        <w:t>%</w:t>
      </w:r>
      <w:r>
        <w:rPr>
          <w:rFonts w:hint="eastAsia" w:ascii="仿宋_GB2312" w:eastAsia="仿宋_GB2312"/>
          <w:sz w:val="28"/>
          <w:szCs w:val="28"/>
        </w:rPr>
        <w:t>。其中：财政拨款收入</w:t>
      </w:r>
      <w:r>
        <w:rPr>
          <w:rFonts w:ascii="仿宋_GB2312" w:hAnsi="仿宋" w:eastAsia="仿宋_GB2312"/>
          <w:sz w:val="32"/>
          <w:szCs w:val="32"/>
        </w:rPr>
        <w:t>312.07</w:t>
      </w:r>
      <w:r>
        <w:rPr>
          <w:rFonts w:hint="eastAsia" w:ascii="仿宋_GB2312" w:eastAsia="仿宋_GB2312"/>
          <w:sz w:val="28"/>
          <w:szCs w:val="28"/>
        </w:rPr>
        <w:t>万元，占收入合计的10</w:t>
      </w:r>
      <w:r>
        <w:rPr>
          <w:rFonts w:ascii="仿宋_GB2312" w:eastAsia="仿宋_GB2312"/>
          <w:sz w:val="28"/>
          <w:szCs w:val="28"/>
        </w:rPr>
        <w:t>0</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%；经营收入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%；附属单位上缴收入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%；其他收入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spacing w:line="560" w:lineRule="exact"/>
        <w:ind w:firstLine="640"/>
        <w:rPr>
          <w:rFonts w:ascii="仿宋_GB2312" w:eastAsia="仿宋_GB2312" w:cs="Droid Sans"/>
          <w:color w:val="000000"/>
          <w:sz w:val="32"/>
          <w:szCs w:val="32"/>
        </w:rPr>
      </w:pPr>
      <w:r>
        <w:rPr>
          <w:rFonts w:hint="eastAsia" w:ascii="仿宋_GB2312" w:eastAsia="仿宋_GB2312" w:cs="Droid Sans"/>
          <w:color w:val="000000"/>
          <w:sz w:val="32"/>
          <w:szCs w:val="32"/>
        </w:rPr>
        <w:t>（此处插入图表，用上述收入金额制作饼状图，示例如下，无金额类型不必制图）</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2023年度本年支出合计</w:t>
      </w:r>
      <w:r>
        <w:rPr>
          <w:rFonts w:ascii="仿宋_GB2312" w:hAnsi="仿宋" w:eastAsia="仿宋_GB2312"/>
          <w:sz w:val="32"/>
          <w:szCs w:val="32"/>
        </w:rPr>
        <w:t>312.07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减少-11.42，减少-3.53</w:t>
      </w:r>
      <w:r>
        <w:rPr>
          <w:rFonts w:ascii="仿宋_GB2312" w:eastAsia="仿宋_GB2312"/>
          <w:sz w:val="28"/>
          <w:szCs w:val="28"/>
        </w:rPr>
        <w:t>%</w:t>
      </w:r>
      <w:r>
        <w:rPr>
          <w:rFonts w:hint="eastAsia" w:ascii="仿宋_GB2312" w:eastAsia="仿宋_GB2312"/>
          <w:sz w:val="28"/>
          <w:szCs w:val="28"/>
        </w:rPr>
        <w:t>。其中：基本支出</w:t>
      </w:r>
      <w:r>
        <w:rPr>
          <w:rFonts w:ascii="仿宋_GB2312" w:hAnsi="仿宋" w:eastAsia="仿宋_GB2312"/>
          <w:sz w:val="32"/>
          <w:szCs w:val="32"/>
        </w:rPr>
        <w:t>277.59</w:t>
      </w:r>
      <w:r>
        <w:rPr>
          <w:rFonts w:hint="eastAsia" w:ascii="仿宋_GB2312" w:eastAsia="仿宋_GB2312"/>
          <w:sz w:val="28"/>
          <w:szCs w:val="28"/>
        </w:rPr>
        <w:t>万元，占支出合计的</w:t>
      </w:r>
      <w:r>
        <w:rPr>
          <w:rFonts w:ascii="仿宋_GB2312" w:eastAsia="仿宋_GB2312"/>
          <w:sz w:val="28"/>
          <w:szCs w:val="28"/>
        </w:rPr>
        <w:t>88.95</w:t>
      </w:r>
      <w:r>
        <w:rPr>
          <w:rFonts w:hint="eastAsia" w:ascii="仿宋_GB2312" w:eastAsia="仿宋_GB2312"/>
          <w:sz w:val="28"/>
          <w:szCs w:val="28"/>
        </w:rPr>
        <w:t>%；项目支出</w:t>
      </w:r>
      <w:r>
        <w:rPr>
          <w:rFonts w:ascii="仿宋_GB2312" w:hAnsi="仿宋" w:eastAsia="仿宋_GB2312"/>
          <w:sz w:val="32"/>
          <w:szCs w:val="32"/>
        </w:rPr>
        <w:t>34.48</w:t>
      </w:r>
      <w:r>
        <w:rPr>
          <w:rFonts w:hint="eastAsia" w:ascii="仿宋_GB2312" w:eastAsia="仿宋_GB2312"/>
          <w:sz w:val="28"/>
          <w:szCs w:val="28"/>
        </w:rPr>
        <w:t>万元，占支出合计的</w:t>
      </w:r>
      <w:r>
        <w:rPr>
          <w:rFonts w:ascii="仿宋_GB2312" w:eastAsia="仿宋_GB2312"/>
          <w:sz w:val="28"/>
          <w:szCs w:val="28"/>
        </w:rPr>
        <w:t>11.05</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w:t>
      </w:r>
    </w:p>
    <w:p>
      <w:pPr>
        <w:pStyle w:val="3"/>
        <w:ind w:firstLine="642"/>
        <w:jc w:val="center"/>
        <w:rPr>
          <w:rFonts w:ascii="仿宋_GB2312" w:eastAsia="仿宋_GB2312"/>
          <w:color w:val="000000"/>
          <w:sz w:val="32"/>
        </w:rPr>
      </w:pPr>
      <w:bookmarkStart w:id="6" w:name="_Toc22045"/>
      <w:r>
        <w:rPr>
          <w:rFonts w:hint="eastAsia" w:ascii="仿宋_GB2312" w:eastAsia="仿宋_GB2312"/>
          <w:color w:val="000000"/>
          <w:sz w:val="32"/>
        </w:rPr>
        <w:t>图2：基本支出和项目支出情况</w:t>
      </w:r>
      <w:bookmarkEnd w:id="6"/>
    </w:p>
    <w:p>
      <w:pPr>
        <w:jc w:val="center"/>
        <w:rPr>
          <w:rFonts w:ascii="黑体" w:eastAsia="黑体"/>
          <w:b/>
          <w:sz w:val="28"/>
          <w:szCs w:val="28"/>
        </w:rPr>
      </w:pPr>
      <w:r>
        <w:rPr>
          <w:rFonts w:hint="eastAsia" w:ascii="黑体" w:eastAsia="黑体"/>
          <w:b/>
          <w:sz w:val="28"/>
          <w:szCs w:val="28"/>
        </w:rPr>
        <w:drawing>
          <wp:inline distT="0" distB="0" distL="0" distR="0">
            <wp:extent cx="4648200" cy="2428875"/>
            <wp:effectExtent l="0" t="0" r="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48" w:firstLineChars="196"/>
        <w:outlineLvl w:val="1"/>
        <w:rPr>
          <w:rFonts w:ascii="黑体" w:eastAsia="黑体"/>
          <w:b/>
          <w:sz w:val="28"/>
          <w:szCs w:val="28"/>
        </w:rPr>
      </w:pPr>
      <w:bookmarkStart w:id="7" w:name="_Toc19454"/>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bookmarkEnd w:id="7"/>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624.14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减少-11.42，减少-3.53</w:t>
      </w:r>
      <w:r>
        <w:rPr>
          <w:rFonts w:ascii="仿宋_GB2312" w:eastAsia="仿宋_GB2312"/>
          <w:sz w:val="28"/>
          <w:szCs w:val="28"/>
        </w:rPr>
        <w:t>%</w:t>
      </w:r>
      <w:r>
        <w:rPr>
          <w:rFonts w:hint="eastAsia" w:ascii="仿宋_GB2312" w:eastAsia="仿宋_GB2312"/>
          <w:sz w:val="28"/>
          <w:szCs w:val="28"/>
        </w:rPr>
        <w:t>。</w:t>
      </w:r>
    </w:p>
    <w:p>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主要原因：工资福利</w:t>
      </w:r>
      <w:r>
        <w:rPr>
          <w:rFonts w:ascii="仿宋_GB2312" w:eastAsia="仿宋_GB2312"/>
          <w:sz w:val="28"/>
          <w:szCs w:val="28"/>
        </w:rPr>
        <w:t>支出财政拨款收入</w:t>
      </w:r>
      <w:r>
        <w:rPr>
          <w:rFonts w:hint="eastAsia" w:ascii="仿宋_GB2312" w:eastAsia="仿宋_GB2312"/>
          <w:sz w:val="28"/>
          <w:szCs w:val="28"/>
        </w:rPr>
        <w:t>较</w:t>
      </w:r>
      <w:r>
        <w:rPr>
          <w:rFonts w:ascii="仿宋_GB2312" w:eastAsia="仿宋_GB2312"/>
          <w:sz w:val="28"/>
          <w:szCs w:val="28"/>
        </w:rPr>
        <w:t>上年减少</w:t>
      </w:r>
      <w:r>
        <w:rPr>
          <w:rFonts w:hint="eastAsia" w:ascii="仿宋_GB2312" w:eastAsia="仿宋_GB2312"/>
          <w:sz w:val="28"/>
          <w:szCs w:val="28"/>
        </w:rPr>
        <w:t>10.71万元</w:t>
      </w:r>
      <w:r>
        <w:rPr>
          <w:rFonts w:ascii="仿宋_GB2312" w:eastAsia="仿宋_GB2312"/>
          <w:sz w:val="28"/>
          <w:szCs w:val="28"/>
        </w:rPr>
        <w:t>，购房补贴支出</w:t>
      </w:r>
      <w:r>
        <w:rPr>
          <w:rFonts w:hint="eastAsia" w:ascii="仿宋_GB2312" w:eastAsia="仿宋_GB2312"/>
          <w:sz w:val="28"/>
          <w:szCs w:val="28"/>
        </w:rPr>
        <w:t>财政拨款</w:t>
      </w:r>
      <w:r>
        <w:rPr>
          <w:rFonts w:ascii="仿宋_GB2312" w:eastAsia="仿宋_GB2312"/>
          <w:sz w:val="28"/>
          <w:szCs w:val="28"/>
        </w:rPr>
        <w:t>收入较上年减少</w:t>
      </w:r>
      <w:r>
        <w:rPr>
          <w:rFonts w:hint="eastAsia" w:ascii="仿宋_GB2312" w:eastAsia="仿宋_GB2312"/>
          <w:sz w:val="28"/>
          <w:szCs w:val="28"/>
        </w:rPr>
        <w:t>2.44万元</w:t>
      </w:r>
      <w:r>
        <w:rPr>
          <w:rFonts w:ascii="仿宋_GB2312" w:eastAsia="仿宋_GB2312"/>
          <w:sz w:val="28"/>
          <w:szCs w:val="28"/>
        </w:rPr>
        <w:t>，</w:t>
      </w:r>
      <w:r>
        <w:rPr>
          <w:rFonts w:hint="eastAsia" w:ascii="仿宋_GB2312" w:eastAsia="仿宋_GB2312"/>
          <w:sz w:val="28"/>
          <w:szCs w:val="28"/>
        </w:rPr>
        <w:t>因上年</w:t>
      </w:r>
      <w:r>
        <w:rPr>
          <w:rFonts w:ascii="仿宋_GB2312" w:eastAsia="仿宋_GB2312"/>
          <w:sz w:val="28"/>
          <w:szCs w:val="28"/>
        </w:rPr>
        <w:t>度事业单位工作人员</w:t>
      </w:r>
      <w:r>
        <w:rPr>
          <w:rFonts w:hint="eastAsia" w:ascii="仿宋_GB2312" w:eastAsia="仿宋_GB2312"/>
          <w:sz w:val="28"/>
          <w:szCs w:val="28"/>
        </w:rPr>
        <w:t>工资</w:t>
      </w:r>
      <w:r>
        <w:rPr>
          <w:rFonts w:ascii="仿宋_GB2312" w:eastAsia="仿宋_GB2312"/>
          <w:sz w:val="28"/>
          <w:szCs w:val="28"/>
        </w:rPr>
        <w:t>改革、基本工资调增</w:t>
      </w:r>
      <w:r>
        <w:rPr>
          <w:rFonts w:hint="eastAsia" w:ascii="仿宋_GB2312" w:eastAsia="仿宋_GB2312"/>
          <w:sz w:val="28"/>
          <w:szCs w:val="28"/>
        </w:rPr>
        <w:t>、以及本</w:t>
      </w:r>
      <w:r>
        <w:rPr>
          <w:rFonts w:ascii="仿宋_GB2312" w:eastAsia="仿宋_GB2312"/>
          <w:sz w:val="28"/>
          <w:szCs w:val="28"/>
        </w:rPr>
        <w:t>单位新入职员工执行转正工资并补发</w:t>
      </w:r>
      <w:r>
        <w:rPr>
          <w:rFonts w:hint="eastAsia" w:ascii="仿宋_GB2312" w:eastAsia="仿宋_GB2312"/>
          <w:sz w:val="28"/>
          <w:szCs w:val="28"/>
        </w:rPr>
        <w:t>，职工购房补贴</w:t>
      </w:r>
      <w:r>
        <w:rPr>
          <w:rFonts w:ascii="仿宋_GB2312" w:eastAsia="仿宋_GB2312"/>
          <w:sz w:val="28"/>
          <w:szCs w:val="28"/>
        </w:rPr>
        <w:t>补发</w:t>
      </w:r>
      <w:r>
        <w:rPr>
          <w:rFonts w:hint="eastAsia" w:ascii="仿宋_GB2312" w:eastAsia="仿宋_GB2312"/>
          <w:sz w:val="28"/>
          <w:szCs w:val="28"/>
        </w:rPr>
        <w:t>等</w:t>
      </w:r>
      <w:r>
        <w:rPr>
          <w:rFonts w:ascii="仿宋_GB2312" w:eastAsia="仿宋_GB2312"/>
          <w:sz w:val="28"/>
          <w:szCs w:val="28"/>
        </w:rPr>
        <w:t>原因导致</w:t>
      </w:r>
      <w:r>
        <w:rPr>
          <w:rFonts w:hint="eastAsia" w:ascii="仿宋_GB2312" w:eastAsia="仿宋_GB2312"/>
          <w:sz w:val="28"/>
          <w:szCs w:val="28"/>
        </w:rPr>
        <w:t>上年度</w:t>
      </w:r>
      <w:r>
        <w:rPr>
          <w:rFonts w:ascii="仿宋_GB2312" w:eastAsia="仿宋_GB2312"/>
          <w:sz w:val="28"/>
          <w:szCs w:val="28"/>
        </w:rPr>
        <w:t>工资福利支出财政拨款收入及</w:t>
      </w:r>
      <w:r>
        <w:rPr>
          <w:rFonts w:hint="eastAsia" w:ascii="仿宋_GB2312" w:eastAsia="仿宋_GB2312"/>
          <w:sz w:val="28"/>
          <w:szCs w:val="28"/>
        </w:rPr>
        <w:t>购房补贴</w:t>
      </w:r>
      <w:r>
        <w:rPr>
          <w:rFonts w:ascii="仿宋_GB2312" w:eastAsia="仿宋_GB2312"/>
          <w:sz w:val="28"/>
          <w:szCs w:val="28"/>
        </w:rPr>
        <w:t>财政拨款收入较多</w:t>
      </w:r>
    </w:p>
    <w:p>
      <w:pPr>
        <w:pStyle w:val="2"/>
        <w:ind w:firstLine="420"/>
      </w:pPr>
    </w:p>
    <w:p>
      <w:pPr>
        <w:pStyle w:val="2"/>
        <w:ind w:firstLine="420"/>
      </w:pPr>
    </w:p>
    <w:p>
      <w:pPr>
        <w:tabs>
          <w:tab w:val="center" w:pos="6979"/>
        </w:tabs>
        <w:spacing w:line="580" w:lineRule="exact"/>
        <w:ind w:firstLine="548" w:firstLineChars="196"/>
        <w:outlineLvl w:val="1"/>
        <w:rPr>
          <w:rFonts w:ascii="黑体" w:eastAsia="黑体"/>
          <w:b/>
          <w:sz w:val="28"/>
          <w:szCs w:val="28"/>
        </w:rPr>
      </w:pPr>
      <w:bookmarkStart w:id="8" w:name="_Toc18816"/>
      <w:r>
        <w:rPr>
          <w:rFonts w:hint="eastAsia" w:ascii="黑体" w:eastAsia="黑体"/>
          <w:b/>
          <w:sz w:val="28"/>
          <w:szCs w:val="28"/>
        </w:rPr>
        <w:t>四、一般公共预算财政拨款支出决算情况说明</w:t>
      </w:r>
      <w:bookmarkEnd w:id="8"/>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2023年度一般公共预算财政拨款支出</w:t>
      </w:r>
      <w:r>
        <w:rPr>
          <w:rFonts w:ascii="仿宋_GB2312" w:hAnsi="仿宋" w:eastAsia="仿宋_GB2312"/>
          <w:sz w:val="32"/>
          <w:szCs w:val="32"/>
        </w:rPr>
        <w:t>312.07</w:t>
      </w:r>
      <w:r>
        <w:rPr>
          <w:rFonts w:hint="eastAsia" w:ascii="仿宋_GB2312" w:eastAsia="仿宋_GB2312"/>
          <w:sz w:val="28"/>
          <w:szCs w:val="28"/>
        </w:rPr>
        <w:t xml:space="preserve">万元，主要用于以下方面（按大类）： </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spacing w:line="580" w:lineRule="exact"/>
        <w:ind w:firstLine="560" w:firstLineChars="200"/>
        <w:outlineLvl w:val="1"/>
        <w:rPr>
          <w:rFonts w:ascii="仿宋_GB2312" w:eastAsia="仿宋_GB2312"/>
          <w:sz w:val="28"/>
          <w:szCs w:val="28"/>
        </w:rPr>
      </w:pPr>
      <w:bookmarkStart w:id="9" w:name="_Toc30711"/>
      <w:r>
        <w:rPr>
          <w:rFonts w:hint="eastAsia" w:ascii="仿宋_GB2312" w:eastAsia="仿宋_GB2312"/>
          <w:sz w:val="28"/>
          <w:szCs w:val="28"/>
        </w:rPr>
        <w:t>1、公共安全支出（类）司法（款）社区矫正（项）。</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2023年度决算34.48万元，比2023年年初预算减少9.04万元，下降</w:t>
      </w:r>
      <w:r>
        <w:rPr>
          <w:rFonts w:ascii="仿宋_GB2312" w:eastAsia="仿宋_GB2312"/>
          <w:sz w:val="28"/>
          <w:szCs w:val="28"/>
        </w:rPr>
        <w:t>20.77</w:t>
      </w:r>
      <w:r>
        <w:rPr>
          <w:rFonts w:hint="eastAsia" w:ascii="仿宋_GB2312" w:eastAsia="仿宋_GB2312"/>
          <w:sz w:val="28"/>
          <w:szCs w:val="28"/>
        </w:rPr>
        <w:t>%。主要原因：1、受社区矫正对象列管数量、实际需求以及教育讲师安排变动等因素的影响，相关业务活动经费缩减；2、因工作计划变更，宣传类经费缩减；3、受办公场所设施维保需求变动的影响，办公场所维修保养类经费缩减。</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2、公共安全支出（类）司法（款）事业运行（项）。</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2023年度决算</w:t>
      </w:r>
      <w:r>
        <w:rPr>
          <w:rFonts w:ascii="仿宋_GB2312" w:eastAsia="仿宋_GB2312"/>
          <w:sz w:val="28"/>
          <w:szCs w:val="28"/>
        </w:rPr>
        <w:t>186.57</w:t>
      </w:r>
      <w:r>
        <w:rPr>
          <w:rFonts w:hint="eastAsia" w:ascii="仿宋_GB2312" w:eastAsia="仿宋_GB2312"/>
          <w:sz w:val="28"/>
          <w:szCs w:val="28"/>
        </w:rPr>
        <w:t>万元，比2023年年初预算减少6.59万元，下降</w:t>
      </w:r>
      <w:r>
        <w:rPr>
          <w:rFonts w:ascii="仿宋_GB2312" w:eastAsia="仿宋_GB2312"/>
          <w:sz w:val="28"/>
          <w:szCs w:val="28"/>
        </w:rPr>
        <w:t>3.4</w:t>
      </w:r>
      <w:r>
        <w:rPr>
          <w:rFonts w:hint="eastAsia" w:ascii="仿宋_GB2312" w:eastAsia="仿宋_GB2312"/>
          <w:sz w:val="28"/>
          <w:szCs w:val="28"/>
        </w:rPr>
        <w:t>%。主要原因：工资福利</w:t>
      </w:r>
      <w:r>
        <w:rPr>
          <w:rFonts w:ascii="仿宋_GB2312" w:eastAsia="仿宋_GB2312"/>
          <w:sz w:val="28"/>
          <w:szCs w:val="28"/>
        </w:rPr>
        <w:t>支出</w:t>
      </w:r>
      <w:r>
        <w:rPr>
          <w:rFonts w:hint="eastAsia" w:ascii="仿宋_GB2312" w:eastAsia="仿宋_GB2312"/>
          <w:sz w:val="28"/>
          <w:szCs w:val="28"/>
        </w:rPr>
        <w:t>较</w:t>
      </w:r>
      <w:r>
        <w:rPr>
          <w:rFonts w:ascii="仿宋_GB2312" w:eastAsia="仿宋_GB2312"/>
          <w:sz w:val="28"/>
          <w:szCs w:val="28"/>
        </w:rPr>
        <w:t>上年减少，购房补贴支出较上年减少，</w:t>
      </w:r>
      <w:r>
        <w:rPr>
          <w:rFonts w:hint="eastAsia" w:ascii="仿宋_GB2312" w:eastAsia="仿宋_GB2312"/>
          <w:sz w:val="28"/>
          <w:szCs w:val="28"/>
        </w:rPr>
        <w:t>因上年</w:t>
      </w:r>
      <w:r>
        <w:rPr>
          <w:rFonts w:ascii="仿宋_GB2312" w:eastAsia="仿宋_GB2312"/>
          <w:sz w:val="28"/>
          <w:szCs w:val="28"/>
        </w:rPr>
        <w:t>度事业单位工作人员</w:t>
      </w:r>
      <w:r>
        <w:rPr>
          <w:rFonts w:hint="eastAsia" w:ascii="仿宋_GB2312" w:eastAsia="仿宋_GB2312"/>
          <w:sz w:val="28"/>
          <w:szCs w:val="28"/>
        </w:rPr>
        <w:t>工资</w:t>
      </w:r>
      <w:r>
        <w:rPr>
          <w:rFonts w:ascii="仿宋_GB2312" w:eastAsia="仿宋_GB2312"/>
          <w:sz w:val="28"/>
          <w:szCs w:val="28"/>
        </w:rPr>
        <w:t>改革、基本工资调增</w:t>
      </w:r>
      <w:r>
        <w:rPr>
          <w:rFonts w:hint="eastAsia" w:ascii="仿宋_GB2312" w:eastAsia="仿宋_GB2312"/>
          <w:sz w:val="28"/>
          <w:szCs w:val="28"/>
        </w:rPr>
        <w:t>、以及本</w:t>
      </w:r>
      <w:r>
        <w:rPr>
          <w:rFonts w:ascii="仿宋_GB2312" w:eastAsia="仿宋_GB2312"/>
          <w:sz w:val="28"/>
          <w:szCs w:val="28"/>
        </w:rPr>
        <w:t>单位新入职员工执行转正工资并补发</w:t>
      </w:r>
      <w:r>
        <w:rPr>
          <w:rFonts w:hint="eastAsia" w:ascii="仿宋_GB2312" w:eastAsia="仿宋_GB2312"/>
          <w:sz w:val="28"/>
          <w:szCs w:val="28"/>
        </w:rPr>
        <w:t>，职工购房补贴</w:t>
      </w:r>
      <w:r>
        <w:rPr>
          <w:rFonts w:ascii="仿宋_GB2312" w:eastAsia="仿宋_GB2312"/>
          <w:sz w:val="28"/>
          <w:szCs w:val="28"/>
        </w:rPr>
        <w:t>补发</w:t>
      </w:r>
      <w:r>
        <w:rPr>
          <w:rFonts w:hint="eastAsia" w:ascii="仿宋_GB2312" w:eastAsia="仿宋_GB2312"/>
          <w:sz w:val="28"/>
          <w:szCs w:val="28"/>
        </w:rPr>
        <w:t>等</w:t>
      </w:r>
      <w:r>
        <w:rPr>
          <w:rFonts w:ascii="仿宋_GB2312" w:eastAsia="仿宋_GB2312"/>
          <w:sz w:val="28"/>
          <w:szCs w:val="28"/>
        </w:rPr>
        <w:t>原因导致</w:t>
      </w:r>
      <w:r>
        <w:rPr>
          <w:rFonts w:hint="eastAsia" w:ascii="仿宋_GB2312" w:eastAsia="仿宋_GB2312"/>
          <w:sz w:val="28"/>
          <w:szCs w:val="28"/>
        </w:rPr>
        <w:t>上年度</w:t>
      </w:r>
      <w:r>
        <w:rPr>
          <w:rFonts w:ascii="仿宋_GB2312" w:eastAsia="仿宋_GB2312"/>
          <w:sz w:val="28"/>
          <w:szCs w:val="28"/>
        </w:rPr>
        <w:t>工资福利支出财政拨款收入及</w:t>
      </w:r>
      <w:r>
        <w:rPr>
          <w:rFonts w:hint="eastAsia" w:ascii="仿宋_GB2312" w:eastAsia="仿宋_GB2312"/>
          <w:sz w:val="28"/>
          <w:szCs w:val="28"/>
        </w:rPr>
        <w:t>购房补贴</w:t>
      </w:r>
      <w:r>
        <w:rPr>
          <w:rFonts w:ascii="仿宋_GB2312" w:eastAsia="仿宋_GB2312"/>
          <w:sz w:val="28"/>
          <w:szCs w:val="28"/>
        </w:rPr>
        <w:t>财政拨款收入较多</w:t>
      </w:r>
      <w:r>
        <w:rPr>
          <w:rFonts w:hint="eastAsia" w:ascii="仿宋_GB2312" w:eastAsia="仿宋_GB2312"/>
          <w:sz w:val="28"/>
          <w:szCs w:val="28"/>
        </w:rPr>
        <w:t>。</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3、社会保障和就业支出（类）行政事业单位养老支出（款）机关事业单位基本养老保险缴费支出（项）。</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2023年度决算</w:t>
      </w:r>
      <w:r>
        <w:rPr>
          <w:rFonts w:ascii="仿宋_GB2312" w:eastAsia="仿宋_GB2312"/>
          <w:sz w:val="28"/>
          <w:szCs w:val="28"/>
        </w:rPr>
        <w:t>19.30</w:t>
      </w:r>
      <w:r>
        <w:rPr>
          <w:rFonts w:hint="eastAsia" w:ascii="仿宋_GB2312" w:eastAsia="仿宋_GB2312"/>
          <w:sz w:val="28"/>
          <w:szCs w:val="28"/>
        </w:rPr>
        <w:t>万元，比2023年年初预算减少</w:t>
      </w:r>
      <w:r>
        <w:rPr>
          <w:rFonts w:ascii="仿宋_GB2312" w:eastAsia="仿宋_GB2312"/>
          <w:sz w:val="28"/>
          <w:szCs w:val="28"/>
        </w:rPr>
        <w:t>4.34</w:t>
      </w:r>
      <w:r>
        <w:rPr>
          <w:rFonts w:hint="eastAsia" w:ascii="仿宋_GB2312" w:eastAsia="仿宋_GB2312"/>
          <w:sz w:val="28"/>
          <w:szCs w:val="28"/>
        </w:rPr>
        <w:t>万元，下降</w:t>
      </w:r>
      <w:r>
        <w:rPr>
          <w:rFonts w:ascii="仿宋_GB2312" w:eastAsia="仿宋_GB2312"/>
          <w:sz w:val="28"/>
          <w:szCs w:val="28"/>
        </w:rPr>
        <w:t>18.34</w:t>
      </w:r>
      <w:r>
        <w:rPr>
          <w:rFonts w:hint="eastAsia" w:ascii="仿宋_GB2312" w:eastAsia="仿宋_GB2312"/>
          <w:sz w:val="28"/>
          <w:szCs w:val="28"/>
        </w:rPr>
        <w:t>%。主要原因：缴费基数调整。</w:t>
      </w:r>
    </w:p>
    <w:p>
      <w:pPr>
        <w:spacing w:line="580" w:lineRule="exact"/>
        <w:ind w:firstLine="560" w:firstLineChars="200"/>
        <w:outlineLvl w:val="1"/>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、社会保障和就业支出（类）行政事业单位养老支出（款）机关事业单位职业年金缴费支出（项）。</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2023年度决算</w:t>
      </w:r>
      <w:r>
        <w:rPr>
          <w:rFonts w:ascii="仿宋_GB2312" w:eastAsia="仿宋_GB2312"/>
          <w:sz w:val="28"/>
          <w:szCs w:val="28"/>
        </w:rPr>
        <w:t>9.65</w:t>
      </w:r>
      <w:r>
        <w:rPr>
          <w:rFonts w:hint="eastAsia" w:ascii="仿宋_GB2312" w:eastAsia="仿宋_GB2312"/>
          <w:sz w:val="28"/>
          <w:szCs w:val="28"/>
        </w:rPr>
        <w:t>万元，比2023年年初预算减少</w:t>
      </w:r>
      <w:r>
        <w:rPr>
          <w:rFonts w:ascii="仿宋_GB2312" w:eastAsia="仿宋_GB2312"/>
          <w:sz w:val="28"/>
          <w:szCs w:val="28"/>
        </w:rPr>
        <w:t>2.17</w:t>
      </w:r>
      <w:r>
        <w:rPr>
          <w:rFonts w:hint="eastAsia" w:ascii="仿宋_GB2312" w:eastAsia="仿宋_GB2312"/>
          <w:sz w:val="28"/>
          <w:szCs w:val="28"/>
        </w:rPr>
        <w:t>万元，下降</w:t>
      </w:r>
      <w:r>
        <w:rPr>
          <w:rFonts w:ascii="仿宋_GB2312" w:eastAsia="仿宋_GB2312"/>
          <w:sz w:val="28"/>
          <w:szCs w:val="28"/>
        </w:rPr>
        <w:t>18.36</w:t>
      </w:r>
      <w:r>
        <w:rPr>
          <w:rFonts w:hint="eastAsia" w:ascii="仿宋_GB2312" w:eastAsia="仿宋_GB2312"/>
          <w:sz w:val="28"/>
          <w:szCs w:val="28"/>
        </w:rPr>
        <w:t>%。主要原因：缴费基数调整。</w:t>
      </w:r>
    </w:p>
    <w:p>
      <w:pPr>
        <w:spacing w:line="580" w:lineRule="exact"/>
        <w:ind w:firstLine="560" w:firstLineChars="200"/>
        <w:outlineLvl w:val="1"/>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、卫生健康支出(类)</w:t>
      </w:r>
      <w:r>
        <w:rPr>
          <w:rFonts w:hint="eastAsia"/>
        </w:rPr>
        <w:t xml:space="preserve"> </w:t>
      </w:r>
      <w:r>
        <w:rPr>
          <w:rFonts w:hint="eastAsia" w:ascii="仿宋_GB2312" w:eastAsia="仿宋_GB2312"/>
          <w:sz w:val="28"/>
          <w:szCs w:val="28"/>
        </w:rPr>
        <w:t>行政事业单位医疗(款)</w:t>
      </w:r>
      <w:r>
        <w:rPr>
          <w:rFonts w:hint="eastAsia"/>
        </w:rPr>
        <w:t xml:space="preserve"> </w:t>
      </w:r>
      <w:r>
        <w:rPr>
          <w:rFonts w:hint="eastAsia" w:ascii="仿宋_GB2312" w:eastAsia="仿宋_GB2312"/>
          <w:sz w:val="28"/>
          <w:szCs w:val="28"/>
        </w:rPr>
        <w:t>事业单位医疗(项)。</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2023年度决算</w:t>
      </w:r>
      <w:r>
        <w:rPr>
          <w:rFonts w:ascii="仿宋_GB2312" w:eastAsia="仿宋_GB2312"/>
          <w:sz w:val="28"/>
          <w:szCs w:val="28"/>
        </w:rPr>
        <w:t>21.96</w:t>
      </w:r>
      <w:r>
        <w:rPr>
          <w:rFonts w:hint="eastAsia" w:ascii="仿宋_GB2312" w:eastAsia="仿宋_GB2312"/>
          <w:sz w:val="28"/>
          <w:szCs w:val="28"/>
        </w:rPr>
        <w:t>万元，比2023年年初预算增加</w:t>
      </w:r>
      <w:r>
        <w:rPr>
          <w:rFonts w:ascii="仿宋_GB2312" w:eastAsia="仿宋_GB2312"/>
          <w:sz w:val="28"/>
          <w:szCs w:val="28"/>
        </w:rPr>
        <w:t>2.29</w:t>
      </w:r>
      <w:r>
        <w:rPr>
          <w:rFonts w:hint="eastAsia" w:ascii="仿宋_GB2312" w:eastAsia="仿宋_GB2312"/>
          <w:sz w:val="28"/>
          <w:szCs w:val="28"/>
        </w:rPr>
        <w:t>万元，增长</w:t>
      </w:r>
      <w:r>
        <w:rPr>
          <w:rFonts w:ascii="仿宋_GB2312" w:eastAsia="仿宋_GB2312"/>
          <w:sz w:val="28"/>
          <w:szCs w:val="28"/>
        </w:rPr>
        <w:t>11.64</w:t>
      </w:r>
      <w:r>
        <w:rPr>
          <w:rFonts w:hint="eastAsia" w:ascii="仿宋_GB2312" w:eastAsia="仿宋_GB2312"/>
          <w:sz w:val="28"/>
          <w:szCs w:val="28"/>
        </w:rPr>
        <w:t>%。主要原因：缴费基数调整。</w:t>
      </w:r>
    </w:p>
    <w:p>
      <w:pPr>
        <w:spacing w:line="580" w:lineRule="exact"/>
        <w:ind w:firstLine="560" w:firstLineChars="200"/>
        <w:outlineLvl w:val="1"/>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、住房保障支出(类) 住房改革支出(款)</w:t>
      </w:r>
      <w:r>
        <w:rPr>
          <w:rFonts w:hint="eastAsia"/>
        </w:rPr>
        <w:t xml:space="preserve"> </w:t>
      </w:r>
      <w:r>
        <w:rPr>
          <w:rFonts w:hint="eastAsia" w:ascii="仿宋_GB2312" w:eastAsia="仿宋_GB2312"/>
          <w:sz w:val="28"/>
          <w:szCs w:val="28"/>
        </w:rPr>
        <w:t>住房公积金(项)。</w:t>
      </w:r>
    </w:p>
    <w:p>
      <w:pPr>
        <w:spacing w:line="580" w:lineRule="exact"/>
        <w:ind w:firstLine="560" w:firstLineChars="200"/>
        <w:outlineLvl w:val="1"/>
        <w:rPr>
          <w:rFonts w:ascii="仿宋_GB2312" w:eastAsia="仿宋_GB2312"/>
          <w:sz w:val="28"/>
          <w:szCs w:val="28"/>
        </w:rPr>
      </w:pPr>
      <w:r>
        <w:rPr>
          <w:rFonts w:hint="eastAsia" w:ascii="仿宋_GB2312" w:eastAsia="仿宋_GB2312"/>
          <w:sz w:val="28"/>
          <w:szCs w:val="28"/>
        </w:rPr>
        <w:t>2023年度决算</w:t>
      </w:r>
      <w:r>
        <w:rPr>
          <w:rFonts w:ascii="仿宋_GB2312" w:eastAsia="仿宋_GB2312"/>
          <w:sz w:val="28"/>
          <w:szCs w:val="28"/>
        </w:rPr>
        <w:t>20.59</w:t>
      </w:r>
      <w:r>
        <w:rPr>
          <w:rFonts w:hint="eastAsia" w:ascii="仿宋_GB2312" w:eastAsia="仿宋_GB2312"/>
          <w:sz w:val="28"/>
          <w:szCs w:val="28"/>
        </w:rPr>
        <w:t>万元，比2023年年初预算增加0</w:t>
      </w:r>
      <w:r>
        <w:rPr>
          <w:rFonts w:ascii="仿宋_GB2312" w:eastAsia="仿宋_GB2312"/>
          <w:sz w:val="28"/>
          <w:szCs w:val="28"/>
        </w:rPr>
        <w:t>.92</w:t>
      </w:r>
      <w:r>
        <w:rPr>
          <w:rFonts w:hint="eastAsia" w:ascii="仿宋_GB2312" w:eastAsia="仿宋_GB2312"/>
          <w:sz w:val="28"/>
          <w:szCs w:val="28"/>
        </w:rPr>
        <w:t>万元，增长4</w:t>
      </w:r>
      <w:r>
        <w:rPr>
          <w:rFonts w:ascii="仿宋_GB2312" w:eastAsia="仿宋_GB2312"/>
          <w:sz w:val="28"/>
          <w:szCs w:val="28"/>
        </w:rPr>
        <w:t>.68</w:t>
      </w:r>
      <w:r>
        <w:rPr>
          <w:rFonts w:hint="eastAsia" w:ascii="仿宋_GB2312" w:eastAsia="仿宋_GB2312"/>
          <w:sz w:val="28"/>
          <w:szCs w:val="28"/>
        </w:rPr>
        <w:t>%。主要原因：缴费基数调整。</w:t>
      </w:r>
    </w:p>
    <w:p>
      <w:pPr>
        <w:spacing w:line="580" w:lineRule="exact"/>
        <w:ind w:firstLine="560" w:firstLineChars="200"/>
        <w:outlineLvl w:val="1"/>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、住房保障支出(类) 住房改革支出(款)</w:t>
      </w:r>
      <w:r>
        <w:rPr>
          <w:rFonts w:hint="eastAsia"/>
        </w:rPr>
        <w:t xml:space="preserve"> </w:t>
      </w:r>
      <w:r>
        <w:rPr>
          <w:rFonts w:hint="eastAsia" w:ascii="仿宋_GB2312" w:eastAsia="仿宋_GB2312"/>
          <w:sz w:val="28"/>
          <w:szCs w:val="28"/>
        </w:rPr>
        <w:t>购房补贴(项)。</w:t>
      </w:r>
    </w:p>
    <w:p>
      <w:pPr>
        <w:pStyle w:val="2"/>
        <w:ind w:firstLine="560"/>
      </w:pPr>
      <w:r>
        <w:rPr>
          <w:rFonts w:hint="eastAsia" w:ascii="仿宋_GB2312" w:eastAsia="仿宋_GB2312"/>
          <w:sz w:val="28"/>
          <w:szCs w:val="28"/>
        </w:rPr>
        <w:t>2023年度决算</w:t>
      </w:r>
      <w:r>
        <w:rPr>
          <w:rFonts w:ascii="仿宋_GB2312" w:eastAsia="仿宋_GB2312"/>
          <w:sz w:val="28"/>
          <w:szCs w:val="28"/>
        </w:rPr>
        <w:t>19.52</w:t>
      </w:r>
      <w:r>
        <w:rPr>
          <w:rFonts w:hint="eastAsia" w:ascii="仿宋_GB2312" w:eastAsia="仿宋_GB2312"/>
          <w:sz w:val="28"/>
          <w:szCs w:val="28"/>
        </w:rPr>
        <w:t>万元，比2023年年初预算增加1</w:t>
      </w:r>
      <w:r>
        <w:rPr>
          <w:rFonts w:ascii="仿宋_GB2312" w:eastAsia="仿宋_GB2312"/>
          <w:sz w:val="28"/>
          <w:szCs w:val="28"/>
        </w:rPr>
        <w:t>.24</w:t>
      </w:r>
      <w:r>
        <w:rPr>
          <w:rFonts w:hint="eastAsia" w:ascii="仿宋_GB2312" w:eastAsia="仿宋_GB2312"/>
          <w:sz w:val="28"/>
          <w:szCs w:val="28"/>
        </w:rPr>
        <w:t>万元，增长</w:t>
      </w:r>
      <w:r>
        <w:rPr>
          <w:rFonts w:ascii="仿宋_GB2312" w:eastAsia="仿宋_GB2312"/>
          <w:sz w:val="28"/>
          <w:szCs w:val="28"/>
        </w:rPr>
        <w:t>6.78</w:t>
      </w:r>
      <w:r>
        <w:rPr>
          <w:rFonts w:hint="eastAsia" w:ascii="仿宋_GB2312" w:eastAsia="仿宋_GB2312"/>
          <w:sz w:val="28"/>
          <w:szCs w:val="28"/>
        </w:rPr>
        <w:t>%。主要原因：缴费基数调整。</w:t>
      </w:r>
    </w:p>
    <w:p>
      <w:pPr>
        <w:spacing w:line="580" w:lineRule="exact"/>
        <w:ind w:firstLine="560" w:firstLineChars="200"/>
        <w:outlineLvl w:val="1"/>
        <w:rPr>
          <w:rFonts w:ascii="仿宋_GB2312" w:eastAsia="仿宋_GB2312"/>
          <w:sz w:val="28"/>
          <w:szCs w:val="28"/>
        </w:rPr>
      </w:pPr>
      <w:r>
        <w:rPr>
          <w:rFonts w:hint="eastAsia" w:ascii="黑体" w:eastAsia="黑体"/>
          <w:b/>
          <w:sz w:val="28"/>
          <w:szCs w:val="28"/>
        </w:rPr>
        <w:t>五、政府性基金预算财政拨款支出决算情况说明</w:t>
      </w:r>
      <w:bookmarkEnd w:id="9"/>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2023年度政府性基金预算财政拨款支出</w:t>
      </w:r>
      <w:r>
        <w:rPr>
          <w:rFonts w:ascii="仿宋_GB2312" w:eastAsia="仿宋_GB2312"/>
          <w:sz w:val="28"/>
          <w:szCs w:val="28"/>
        </w:rPr>
        <w:t>0</w:t>
      </w:r>
      <w:r>
        <w:rPr>
          <w:rFonts w:hint="eastAsia" w:ascii="仿宋_GB2312" w:eastAsia="仿宋_GB2312"/>
          <w:sz w:val="28"/>
          <w:szCs w:val="28"/>
        </w:rPr>
        <w:t xml:space="preserve">万元， </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pPr>
        <w:pStyle w:val="2"/>
        <w:ind w:firstLine="560"/>
        <w:rPr>
          <w:rFonts w:ascii="仿宋_GB2312" w:eastAsia="仿宋_GB2312"/>
          <w:sz w:val="28"/>
          <w:szCs w:val="28"/>
        </w:rPr>
      </w:pPr>
      <w:r>
        <w:rPr>
          <w:rFonts w:hint="eastAsia" w:ascii="仿宋_GB2312" w:eastAsia="仿宋_GB2312"/>
          <w:sz w:val="28"/>
          <w:szCs w:val="28"/>
        </w:rPr>
        <w:t>本年度未安排政府性基金预算财政拨款收支。</w:t>
      </w:r>
    </w:p>
    <w:p>
      <w:pPr>
        <w:pStyle w:val="2"/>
        <w:ind w:firstLine="560"/>
        <w:rPr>
          <w:rFonts w:ascii="仿宋_GB2312" w:eastAsia="仿宋_GB2312"/>
          <w:sz w:val="28"/>
          <w:szCs w:val="28"/>
        </w:rPr>
      </w:pPr>
    </w:p>
    <w:p>
      <w:pPr>
        <w:pStyle w:val="2"/>
        <w:ind w:firstLine="420"/>
      </w:pPr>
    </w:p>
    <w:p>
      <w:pPr>
        <w:spacing w:line="580" w:lineRule="exact"/>
        <w:ind w:firstLine="560" w:firstLineChars="200"/>
        <w:outlineLvl w:val="1"/>
        <w:rPr>
          <w:rFonts w:ascii="黑体" w:eastAsia="黑体"/>
          <w:b/>
          <w:sz w:val="28"/>
          <w:szCs w:val="28"/>
        </w:rPr>
      </w:pPr>
      <w:bookmarkStart w:id="10" w:name="_Toc27211"/>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bookmarkEnd w:id="10"/>
    </w:p>
    <w:p>
      <w:pPr>
        <w:ind w:firstLine="537" w:firstLineChars="192"/>
        <w:rPr>
          <w:rFonts w:ascii="仿宋_GB2312" w:eastAsia="仿宋_GB2312"/>
          <w:sz w:val="28"/>
          <w:szCs w:val="28"/>
        </w:rPr>
      </w:pPr>
      <w:r>
        <w:rPr>
          <w:rFonts w:hint="eastAsia" w:ascii="仿宋_GB2312" w:eastAsia="仿宋_GB2312"/>
          <w:sz w:val="28"/>
          <w:szCs w:val="28"/>
        </w:rPr>
        <w:t>2023年度国有资本经营预算财政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60" w:firstLineChars="200"/>
      </w:pPr>
      <w:r>
        <w:rPr>
          <w:rFonts w:hint="eastAsia" w:ascii="仿宋_GB2312" w:hAnsi="仿宋" w:eastAsia="仿宋_GB2312" w:cs="仿宋"/>
          <w:color w:val="000000"/>
          <w:sz w:val="28"/>
          <w:szCs w:val="28"/>
        </w:rPr>
        <w:t>本年度未安排国有资本经营预算财政拨款收支。</w:t>
      </w:r>
    </w:p>
    <w:p>
      <w:pPr>
        <w:spacing w:line="580" w:lineRule="exact"/>
        <w:ind w:firstLine="548" w:firstLineChars="196"/>
        <w:outlineLvl w:val="1"/>
        <w:rPr>
          <w:rFonts w:ascii="黑体" w:eastAsia="黑体"/>
          <w:sz w:val="28"/>
          <w:szCs w:val="28"/>
        </w:rPr>
      </w:pPr>
      <w:bookmarkStart w:id="11" w:name="_Toc533"/>
      <w:r>
        <w:rPr>
          <w:rFonts w:hint="eastAsia" w:ascii="黑体" w:eastAsia="黑体"/>
          <w:b/>
          <w:sz w:val="28"/>
          <w:szCs w:val="28"/>
        </w:rPr>
        <w:t>七、财政拨款基本支出决算情况说明</w:t>
      </w:r>
      <w:bookmarkEnd w:id="11"/>
    </w:p>
    <w:p>
      <w:pPr>
        <w:tabs>
          <w:tab w:val="center" w:pos="6979"/>
        </w:tabs>
        <w:spacing w:line="580" w:lineRule="exact"/>
        <w:ind w:firstLine="548" w:firstLineChars="196"/>
        <w:rPr>
          <w:rFonts w:ascii="宋体" w:hAnsi="宋体"/>
          <w:b/>
          <w:spacing w:val="40"/>
          <w:sz w:val="32"/>
          <w:szCs w:val="32"/>
        </w:rPr>
      </w:pPr>
      <w:r>
        <w:rPr>
          <w:rFonts w:hint="eastAsia" w:ascii="仿宋_GB2312" w:eastAsia="仿宋_GB2312"/>
          <w:sz w:val="28"/>
          <w:szCs w:val="28"/>
        </w:rPr>
        <w:t>2023年度使用一般公共预算财政拨款安排基本支出</w:t>
      </w:r>
      <w:r>
        <w:rPr>
          <w:rFonts w:ascii="仿宋_GB2312" w:eastAsia="仿宋_GB2312"/>
          <w:sz w:val="28"/>
          <w:szCs w:val="28"/>
        </w:rPr>
        <w:t>277.59</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办公费、水费、电费、邮电费、取暖费、工会经费、福利费、其他商品和服务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w:t>
      </w:r>
    </w:p>
    <w:p>
      <w:pPr>
        <w:rPr>
          <w:rFonts w:ascii="宋体" w:hAnsi="宋体" w:cs="宋体"/>
          <w:b/>
          <w:bCs/>
          <w:spacing w:val="40"/>
          <w:kern w:val="0"/>
          <w:sz w:val="44"/>
          <w:szCs w:val="44"/>
        </w:rPr>
      </w:pPr>
      <w:r>
        <w:br w:type="page"/>
      </w:r>
      <w:bookmarkStart w:id="12" w:name="_Toc30362"/>
      <w:r>
        <w:rPr>
          <w:rFonts w:hint="eastAsia" w:ascii="宋体" w:hAnsi="宋体" w:cs="宋体"/>
          <w:b/>
          <w:bCs/>
          <w:spacing w:val="40"/>
          <w:kern w:val="0"/>
          <w:sz w:val="44"/>
          <w:szCs w:val="44"/>
        </w:rPr>
        <w:t>第二部分</w:t>
      </w:r>
      <w:r>
        <w:rPr>
          <w:rFonts w:hint="eastAsia" w:ascii="宋体" w:hAnsi="宋体"/>
          <w:b/>
          <w:spacing w:val="40"/>
          <w:sz w:val="44"/>
          <w:szCs w:val="44"/>
        </w:rPr>
        <w:t>2023年度</w:t>
      </w:r>
      <w:r>
        <w:rPr>
          <w:rFonts w:hint="eastAsia" w:ascii="宋体" w:hAnsi="宋体" w:cs="宋体"/>
          <w:b/>
          <w:spacing w:val="40"/>
          <w:kern w:val="0"/>
          <w:sz w:val="44"/>
          <w:szCs w:val="44"/>
        </w:rPr>
        <w:t>其他重要事项的情况说明</w:t>
      </w:r>
      <w:bookmarkEnd w:id="12"/>
    </w:p>
    <w:p>
      <w:pPr>
        <w:spacing w:line="560" w:lineRule="exact"/>
        <w:ind w:firstLine="560" w:firstLineChars="200"/>
        <w:rPr>
          <w:rFonts w:ascii="黑体" w:eastAsia="黑体"/>
          <w:sz w:val="28"/>
          <w:szCs w:val="28"/>
        </w:rPr>
      </w:pPr>
    </w:p>
    <w:p>
      <w:pPr>
        <w:spacing w:line="560" w:lineRule="exact"/>
        <w:ind w:firstLine="560" w:firstLineChars="200"/>
        <w:outlineLvl w:val="1"/>
        <w:rPr>
          <w:rFonts w:ascii="黑体" w:eastAsia="黑体"/>
          <w:sz w:val="28"/>
          <w:szCs w:val="28"/>
        </w:rPr>
      </w:pPr>
      <w:bookmarkStart w:id="13" w:name="_Toc3281"/>
      <w:r>
        <w:rPr>
          <w:rFonts w:hint="eastAsia" w:ascii="黑体" w:eastAsia="黑体"/>
          <w:sz w:val="28"/>
          <w:szCs w:val="28"/>
        </w:rPr>
        <w:t>一、“三公”经费财政拨款决算情况</w:t>
      </w:r>
      <w:bookmarkEnd w:id="13"/>
    </w:p>
    <w:p>
      <w:pPr>
        <w:spacing w:line="560" w:lineRule="exact"/>
        <w:ind w:firstLine="600"/>
        <w:rPr>
          <w:rFonts w:ascii="仿宋_GB2312" w:eastAsia="仿宋_GB2312"/>
          <w:sz w:val="28"/>
          <w:szCs w:val="28"/>
        </w:rPr>
      </w:pPr>
      <w:r>
        <w:rPr>
          <w:rFonts w:hint="eastAsia" w:ascii="仿宋_GB2312" w:eastAsia="仿宋_GB2312"/>
          <w:sz w:val="28"/>
          <w:szCs w:val="28"/>
        </w:rPr>
        <w:t>“三公”经费包括本部门/单位所属</w:t>
      </w:r>
      <w:r>
        <w:rPr>
          <w:rFonts w:ascii="仿宋_GB2312" w:eastAsia="仿宋_GB2312"/>
          <w:bCs/>
          <w:sz w:val="28"/>
          <w:szCs w:val="28"/>
        </w:rPr>
        <w:t>1</w:t>
      </w:r>
      <w:r>
        <w:rPr>
          <w:rFonts w:hint="eastAsia" w:ascii="仿宋_GB2312" w:eastAsia="仿宋_GB2312"/>
          <w:bCs/>
          <w:sz w:val="28"/>
          <w:szCs w:val="28"/>
        </w:rPr>
        <w:t>个</w:t>
      </w:r>
      <w:r>
        <w:rPr>
          <w:rFonts w:hint="eastAsia" w:ascii="仿宋_GB2312" w:eastAsia="仿宋_GB2312"/>
          <w:sz w:val="28"/>
          <w:szCs w:val="28"/>
        </w:rPr>
        <w:t>事业单位。2023年度“三公”经费财政拨款决算数</w:t>
      </w:r>
      <w:r>
        <w:rPr>
          <w:rFonts w:ascii="仿宋_GB2312" w:eastAsia="仿宋_GB2312"/>
          <w:sz w:val="28"/>
          <w:szCs w:val="28"/>
        </w:rPr>
        <w:t>0</w:t>
      </w:r>
      <w:r>
        <w:rPr>
          <w:rFonts w:hint="eastAsia" w:ascii="仿宋_GB2312" w:eastAsia="仿宋_GB2312"/>
          <w:sz w:val="28"/>
          <w:szCs w:val="28"/>
        </w:rPr>
        <w:t xml:space="preserve">万元， </w:t>
      </w:r>
    </w:p>
    <w:p>
      <w:pPr>
        <w:spacing w:line="560" w:lineRule="exact"/>
        <w:ind w:firstLine="700" w:firstLineChars="250"/>
      </w:pPr>
      <w:r>
        <w:rPr>
          <w:rFonts w:hint="eastAsia" w:ascii="仿宋_GB2312" w:eastAsia="仿宋_GB2312"/>
          <w:sz w:val="28"/>
          <w:szCs w:val="28"/>
        </w:rPr>
        <w:t>本部门本年度未安排政府性基金财政拨款“三公”经费相关支出。</w:t>
      </w:r>
    </w:p>
    <w:p>
      <w:pPr>
        <w:tabs>
          <w:tab w:val="center" w:pos="6979"/>
        </w:tabs>
        <w:ind w:firstLine="554" w:firstLineChars="198"/>
        <w:outlineLvl w:val="1"/>
        <w:rPr>
          <w:rFonts w:ascii="黑体" w:eastAsia="黑体"/>
          <w:sz w:val="28"/>
          <w:szCs w:val="28"/>
        </w:rPr>
      </w:pPr>
      <w:bookmarkStart w:id="14" w:name="_Toc14471"/>
      <w:r>
        <w:rPr>
          <w:rFonts w:hint="eastAsia" w:ascii="黑体" w:eastAsia="黑体"/>
          <w:sz w:val="28"/>
          <w:szCs w:val="28"/>
        </w:rPr>
        <w:t>二、机关运行经费支出情况</w:t>
      </w:r>
      <w:bookmarkEnd w:id="14"/>
    </w:p>
    <w:p>
      <w:pPr>
        <w:ind w:firstLine="537" w:firstLineChars="192"/>
        <w:rPr>
          <w:rFonts w:eastAsia="仿宋_GB2312"/>
        </w:rPr>
      </w:pPr>
      <w:r>
        <w:rPr>
          <w:rFonts w:hint="eastAsia" w:ascii="仿宋_GB2312" w:eastAsia="仿宋_GB2312"/>
          <w:sz w:val="28"/>
          <w:szCs w:val="28"/>
        </w:rPr>
        <w:t>本单位为全额拨款事业单位，不属于机关运行经费支出统计范围。</w:t>
      </w:r>
    </w:p>
    <w:p>
      <w:pPr>
        <w:ind w:left="540"/>
        <w:outlineLvl w:val="1"/>
        <w:rPr>
          <w:rFonts w:ascii="黑体" w:eastAsia="黑体"/>
          <w:sz w:val="28"/>
          <w:szCs w:val="28"/>
        </w:rPr>
      </w:pPr>
      <w:bookmarkStart w:id="15" w:name="_Toc19779"/>
      <w:r>
        <w:rPr>
          <w:rFonts w:hint="eastAsia" w:ascii="黑体" w:eastAsia="黑体"/>
          <w:sz w:val="28"/>
          <w:szCs w:val="28"/>
        </w:rPr>
        <w:t>三、政府采购支出情况</w:t>
      </w:r>
      <w:bookmarkEnd w:id="15"/>
    </w:p>
    <w:p>
      <w:pPr>
        <w:ind w:firstLine="537" w:firstLineChars="192"/>
        <w:rPr>
          <w:rFonts w:ascii="仿宋_GB2312" w:eastAsia="仿宋_GB2312"/>
          <w:sz w:val="28"/>
          <w:szCs w:val="28"/>
          <w:highlight w:val="yellow"/>
        </w:rPr>
      </w:pPr>
      <w:r>
        <w:rPr>
          <w:rFonts w:hint="eastAsia" w:ascii="仿宋_GB2312" w:eastAsia="仿宋_GB2312"/>
          <w:sz w:val="28"/>
          <w:szCs w:val="28"/>
        </w:rPr>
        <w:t>2023年度政府采购支出总额</w:t>
      </w:r>
      <w:r>
        <w:rPr>
          <w:rFonts w:ascii="仿宋_GB2312" w:eastAsia="仿宋_GB2312"/>
          <w:sz w:val="28"/>
          <w:szCs w:val="28"/>
        </w:rPr>
        <w:t>19.12</w:t>
      </w:r>
      <w:r>
        <w:rPr>
          <w:rFonts w:hint="eastAsia" w:ascii="仿宋_GB2312" w:eastAsia="仿宋_GB2312"/>
          <w:sz w:val="28"/>
          <w:szCs w:val="28"/>
        </w:rPr>
        <w:t>万元，其中：政府采购货物支出</w:t>
      </w:r>
      <w:r>
        <w:rPr>
          <w:rFonts w:ascii="仿宋_GB2312" w:eastAsia="仿宋_GB2312"/>
          <w:sz w:val="28"/>
          <w:szCs w:val="28"/>
        </w:rPr>
        <w:t>0.15</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18.98</w:t>
      </w:r>
      <w:r>
        <w:rPr>
          <w:rFonts w:hint="eastAsia" w:ascii="仿宋_GB2312" w:eastAsia="仿宋_GB2312"/>
          <w:sz w:val="28"/>
          <w:szCs w:val="28"/>
        </w:rPr>
        <w:t>万元。授予中小企业合同金额</w:t>
      </w:r>
      <w:r>
        <w:rPr>
          <w:rFonts w:ascii="仿宋_GB2312" w:eastAsia="仿宋_GB2312"/>
          <w:sz w:val="28"/>
          <w:szCs w:val="28"/>
        </w:rPr>
        <w:t>0</w:t>
      </w:r>
      <w:r>
        <w:rPr>
          <w:rFonts w:hint="eastAsia" w:ascii="仿宋_GB2312" w:eastAsia="仿宋_GB2312"/>
          <w:sz w:val="28"/>
          <w:szCs w:val="28"/>
        </w:rPr>
        <w:t>万元，占政府采购支出总额的</w:t>
      </w:r>
      <w:r>
        <w:rPr>
          <w:rFonts w:ascii="仿宋_GB2312" w:eastAsia="仿宋_GB2312"/>
          <w:sz w:val="28"/>
          <w:szCs w:val="28"/>
        </w:rPr>
        <w:t>0</w:t>
      </w:r>
      <w:r>
        <w:rPr>
          <w:rFonts w:hint="eastAsia" w:ascii="仿宋_GB2312" w:eastAsia="仿宋_GB2312"/>
          <w:sz w:val="28"/>
          <w:szCs w:val="28"/>
        </w:rPr>
        <w:t>%，其中：授予小微企业合同金额</w:t>
      </w:r>
      <w:r>
        <w:rPr>
          <w:rFonts w:ascii="仿宋_GB2312" w:eastAsia="仿宋_GB2312"/>
          <w:sz w:val="28"/>
          <w:szCs w:val="28"/>
        </w:rPr>
        <w:t>0</w:t>
      </w:r>
      <w:r>
        <w:rPr>
          <w:rFonts w:hint="eastAsia" w:ascii="仿宋_GB2312" w:eastAsia="仿宋_GB2312"/>
          <w:sz w:val="28"/>
          <w:szCs w:val="28"/>
        </w:rPr>
        <w:t>万元，占政府采购支出总额的</w:t>
      </w:r>
      <w:r>
        <w:rPr>
          <w:rFonts w:ascii="仿宋_GB2312" w:eastAsia="仿宋_GB2312"/>
          <w:sz w:val="28"/>
          <w:szCs w:val="28"/>
        </w:rPr>
        <w:t>0</w:t>
      </w:r>
      <w:r>
        <w:rPr>
          <w:rFonts w:hint="eastAsia" w:ascii="仿宋_GB2312" w:eastAsia="仿宋_GB2312"/>
          <w:sz w:val="28"/>
          <w:szCs w:val="28"/>
        </w:rPr>
        <w:t>%。</w:t>
      </w:r>
    </w:p>
    <w:p>
      <w:pPr>
        <w:ind w:firstLine="560" w:firstLineChars="200"/>
        <w:outlineLvl w:val="1"/>
        <w:rPr>
          <w:rFonts w:ascii="黑体" w:eastAsia="黑体"/>
          <w:sz w:val="28"/>
          <w:szCs w:val="28"/>
        </w:rPr>
      </w:pPr>
      <w:bookmarkStart w:id="16" w:name="_Toc24234"/>
      <w:r>
        <w:rPr>
          <w:rFonts w:hint="eastAsia" w:ascii="黑体" w:eastAsia="黑体"/>
          <w:sz w:val="28"/>
          <w:szCs w:val="28"/>
        </w:rPr>
        <w:t>四、国有资产占用情况</w:t>
      </w:r>
      <w:bookmarkEnd w:id="16"/>
    </w:p>
    <w:p>
      <w:pPr>
        <w:ind w:firstLine="560" w:firstLineChars="200"/>
        <w:rPr>
          <w:rFonts w:ascii="仿宋_GB2312" w:eastAsia="仿宋_GB2312"/>
          <w:sz w:val="32"/>
          <w:szCs w:val="32"/>
        </w:rPr>
      </w:pPr>
      <w:r>
        <w:rPr>
          <w:rFonts w:hint="eastAsia" w:ascii="仿宋_GB2312" w:eastAsia="仿宋_GB2312"/>
          <w:sz w:val="28"/>
          <w:szCs w:val="28"/>
        </w:rPr>
        <w:t>截止2023年12月31日，本部门固定资产总额</w:t>
      </w:r>
      <w:r>
        <w:rPr>
          <w:rFonts w:ascii="仿宋_GB2312" w:eastAsia="仿宋_GB2312"/>
          <w:sz w:val="28"/>
          <w:szCs w:val="28"/>
        </w:rPr>
        <w:t>0</w:t>
      </w:r>
      <w:r>
        <w:rPr>
          <w:rFonts w:hint="eastAsia" w:ascii="仿宋_GB2312" w:eastAsia="仿宋_GB2312"/>
          <w:sz w:val="28"/>
          <w:szCs w:val="28"/>
        </w:rPr>
        <w:t>万元，其中：汽车（使用各类资金安排的机动车辆，包括机要通信用车、应急保障用车、执法执勤用车、特种专业技术用车以及其他按照规定配备的公务用车）</w:t>
      </w:r>
      <w:r>
        <w:rPr>
          <w:rFonts w:ascii="仿宋_GB2312" w:eastAsia="仿宋_GB2312"/>
          <w:sz w:val="28"/>
          <w:szCs w:val="28"/>
        </w:rPr>
        <w:t>0</w:t>
      </w:r>
      <w:r>
        <w:rPr>
          <w:rFonts w:hint="eastAsia" w:ascii="仿宋_GB2312" w:eastAsia="仿宋_GB2312"/>
          <w:sz w:val="28"/>
          <w:szCs w:val="28"/>
        </w:rPr>
        <w:t>辆，</w:t>
      </w:r>
      <w:r>
        <w:rPr>
          <w:rFonts w:ascii="仿宋_GB2312" w:eastAsia="仿宋_GB2312"/>
          <w:sz w:val="28"/>
          <w:szCs w:val="28"/>
        </w:rPr>
        <w:t>0</w:t>
      </w:r>
      <w:r>
        <w:rPr>
          <w:rFonts w:hint="eastAsia" w:ascii="仿宋_GB2312" w:eastAsia="仿宋_GB2312"/>
          <w:sz w:val="28"/>
          <w:szCs w:val="28"/>
        </w:rPr>
        <w:t>万元；单价100万元以上的设备</w:t>
      </w:r>
      <w:r>
        <w:rPr>
          <w:rFonts w:ascii="仿宋_GB2312" w:eastAsia="仿宋_GB2312"/>
          <w:sz w:val="28"/>
          <w:szCs w:val="28"/>
        </w:rPr>
        <w:t>0</w:t>
      </w:r>
      <w:r>
        <w:rPr>
          <w:rFonts w:hint="eastAsia" w:ascii="仿宋_GB2312" w:eastAsia="仿宋_GB2312"/>
          <w:sz w:val="28"/>
          <w:szCs w:val="28"/>
        </w:rPr>
        <w:t>台（套），</w:t>
      </w:r>
      <w:r>
        <w:rPr>
          <w:rFonts w:ascii="仿宋_GB2312" w:eastAsia="仿宋_GB2312"/>
          <w:sz w:val="28"/>
          <w:szCs w:val="28"/>
        </w:rPr>
        <w:t>0</w:t>
      </w:r>
      <w:r>
        <w:rPr>
          <w:rFonts w:hint="eastAsia" w:ascii="仿宋_GB2312" w:eastAsia="仿宋_GB2312"/>
          <w:sz w:val="28"/>
          <w:szCs w:val="28"/>
        </w:rPr>
        <w:t>万元。</w:t>
      </w:r>
    </w:p>
    <w:p>
      <w:pPr>
        <w:ind w:firstLine="537" w:firstLineChars="192"/>
        <w:outlineLvl w:val="1"/>
        <w:rPr>
          <w:rFonts w:ascii="黑体" w:eastAsia="黑体"/>
          <w:sz w:val="28"/>
          <w:szCs w:val="28"/>
        </w:rPr>
      </w:pPr>
      <w:bookmarkStart w:id="17" w:name="_Toc13840"/>
    </w:p>
    <w:p>
      <w:pPr>
        <w:ind w:firstLine="537" w:firstLineChars="192"/>
        <w:outlineLvl w:val="1"/>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bookmarkEnd w:id="17"/>
    </w:p>
    <w:p>
      <w:pPr>
        <w:ind w:firstLine="537" w:firstLineChars="192"/>
        <w:rPr>
          <w:rFonts w:ascii="仿宋_GB2312" w:eastAsia="仿宋_GB2312"/>
          <w:sz w:val="28"/>
          <w:szCs w:val="28"/>
        </w:rPr>
      </w:pPr>
      <w:r>
        <w:rPr>
          <w:rFonts w:hint="eastAsia" w:ascii="仿宋_GB2312" w:eastAsia="仿宋_GB2312"/>
          <w:sz w:val="28"/>
          <w:szCs w:val="28"/>
        </w:rPr>
        <w:t>2023年度</w:t>
      </w:r>
      <w:r>
        <w:rPr>
          <w:rFonts w:ascii="仿宋_GB2312" w:eastAsia="仿宋_GB2312"/>
          <w:sz w:val="28"/>
          <w:szCs w:val="28"/>
        </w:rPr>
        <w:t>政府购买服务决算0</w:t>
      </w:r>
      <w:r>
        <w:rPr>
          <w:rFonts w:hint="eastAsia" w:ascii="仿宋_GB2312" w:eastAsia="仿宋_GB2312"/>
          <w:sz w:val="28"/>
          <w:szCs w:val="28"/>
        </w:rPr>
        <w:t>万元。</w:t>
      </w:r>
    </w:p>
    <w:p>
      <w:pPr>
        <w:ind w:firstLine="560" w:firstLineChars="200"/>
        <w:jc w:val="left"/>
        <w:outlineLvl w:val="1"/>
        <w:rPr>
          <w:rFonts w:ascii="仿宋_GB2312" w:eastAsia="仿宋_GB2312"/>
          <w:color w:val="000000"/>
          <w:sz w:val="32"/>
          <w:szCs w:val="32"/>
        </w:rPr>
      </w:pPr>
      <w:bookmarkStart w:id="18" w:name="_Toc23993"/>
      <w:r>
        <w:rPr>
          <w:rFonts w:hint="eastAsia" w:ascii="黑体" w:eastAsia="黑体"/>
          <w:sz w:val="28"/>
          <w:szCs w:val="28"/>
        </w:rPr>
        <w:t>六、</w:t>
      </w:r>
      <w:r>
        <w:rPr>
          <w:rFonts w:ascii="黑体" w:eastAsia="黑体"/>
          <w:sz w:val="28"/>
          <w:szCs w:val="28"/>
        </w:rPr>
        <w:t>专业名词解释</w:t>
      </w:r>
      <w:bookmarkEnd w:id="18"/>
    </w:p>
    <w:p>
      <w:pPr>
        <w:ind w:firstLine="560" w:firstLineChars="200"/>
        <w:rPr>
          <w:rFonts w:ascii="仿宋_GB2312" w:eastAsia="仿宋_GB2312"/>
          <w:sz w:val="28"/>
          <w:szCs w:val="28"/>
        </w:rPr>
      </w:pPr>
      <w:r>
        <w:rPr>
          <w:rFonts w:hint="eastAsia" w:ascii="仿宋_GB2312" w:eastAsia="仿宋_GB2312"/>
          <w:sz w:val="28"/>
          <w:szCs w:val="28"/>
        </w:rPr>
        <w:t>1.财政拨款收入：指单位从同级财政部门取得的财政预算资金。</w:t>
      </w:r>
    </w:p>
    <w:p>
      <w:pPr>
        <w:ind w:firstLine="560" w:firstLineChars="200"/>
        <w:rPr>
          <w:rFonts w:ascii="仿宋_GB2312" w:eastAsia="仿宋_GB2312"/>
          <w:sz w:val="28"/>
          <w:szCs w:val="28"/>
        </w:rPr>
      </w:pPr>
      <w:r>
        <w:rPr>
          <w:rFonts w:hint="eastAsia" w:ascii="仿宋_GB2312" w:eastAsia="仿宋_GB2312"/>
          <w:sz w:val="28"/>
          <w:szCs w:val="28"/>
        </w:rPr>
        <w:t>2.事业收入：指事业单位开展专业业务活动及辅助活动取得的收入。</w:t>
      </w:r>
    </w:p>
    <w:p>
      <w:pPr>
        <w:ind w:firstLine="560" w:firstLineChars="200"/>
        <w:rPr>
          <w:rFonts w:ascii="仿宋_GB2312" w:eastAsia="仿宋_GB2312"/>
          <w:sz w:val="28"/>
          <w:szCs w:val="28"/>
        </w:rPr>
      </w:pPr>
      <w:r>
        <w:rPr>
          <w:rFonts w:hint="eastAsia" w:ascii="仿宋_GB2312" w:eastAsia="仿宋_GB2312"/>
          <w:sz w:val="28"/>
          <w:szCs w:val="28"/>
        </w:rPr>
        <w:t>3.经营收入：指事业单位在专业业务活动及其辅助活动之外开展非独立核算经营活动取得的收入。</w:t>
      </w:r>
    </w:p>
    <w:p>
      <w:pPr>
        <w:ind w:firstLine="560" w:firstLineChars="200"/>
        <w:rPr>
          <w:rFonts w:ascii="仿宋_GB2312" w:eastAsia="仿宋_GB2312"/>
          <w:sz w:val="28"/>
          <w:szCs w:val="28"/>
        </w:rPr>
      </w:pPr>
      <w:r>
        <w:rPr>
          <w:rFonts w:hint="eastAsia" w:ascii="仿宋_GB2312" w:eastAsia="仿宋_GB2312"/>
          <w:sz w:val="28"/>
          <w:szCs w:val="28"/>
        </w:rPr>
        <w:t>4.其他收入：指单位取得的除上述收入以外的各项收入。主要是按规定动用的售房收入、存款利息收入等。</w:t>
      </w:r>
    </w:p>
    <w:p>
      <w:pPr>
        <w:ind w:firstLine="560" w:firstLineChars="200"/>
        <w:rPr>
          <w:rFonts w:ascii="仿宋_GB2312" w:eastAsia="仿宋_GB2312"/>
          <w:sz w:val="28"/>
          <w:szCs w:val="28"/>
        </w:rPr>
      </w:pPr>
      <w:r>
        <w:rPr>
          <w:rFonts w:hint="eastAsia" w:ascii="仿宋_GB2312" w:eastAsia="仿宋_GB2312"/>
          <w:sz w:val="28"/>
          <w:szCs w:val="28"/>
        </w:rPr>
        <w:t>5.年初结转和结余：指单位以前年度尚未完成、结转到本年按有关规定继续使用的资金。</w:t>
      </w:r>
    </w:p>
    <w:p>
      <w:pPr>
        <w:ind w:firstLine="560" w:firstLineChars="200"/>
        <w:rPr>
          <w:rFonts w:ascii="仿宋_GB2312" w:eastAsia="仿宋_GB2312"/>
          <w:sz w:val="28"/>
          <w:szCs w:val="28"/>
        </w:rPr>
      </w:pPr>
      <w:r>
        <w:rPr>
          <w:rFonts w:hint="eastAsia" w:ascii="仿宋_GB2312" w:eastAsia="仿宋_GB2312"/>
          <w:sz w:val="28"/>
          <w:szCs w:val="28"/>
        </w:rPr>
        <w:t>6.基本支出：指为保障机构正常运转、完成日常工作任务而发生的人员支出和公用支出。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7.项目支出：指在基本支出之外为完成特定行政任务或事业发展目标所发生的支出。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8.“三公”经费：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9</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10</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560" w:firstLineChars="200"/>
        <w:rPr>
          <w:rFonts w:ascii="仿宋_GB2312" w:eastAsia="仿宋_GB2312"/>
          <w:sz w:val="28"/>
          <w:szCs w:val="28"/>
        </w:rPr>
      </w:pPr>
      <w:r>
        <w:rPr>
          <w:rFonts w:hint="eastAsia" w:ascii="仿宋_GB2312" w:eastAsia="仿宋_GB2312"/>
          <w:sz w:val="28"/>
          <w:szCs w:val="28"/>
        </w:rPr>
        <w:t>11</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ascii="仿宋_GB2312" w:eastAsia="仿宋_GB2312"/>
          <w:b/>
          <w:bCs/>
          <w:sz w:val="28"/>
          <w:szCs w:val="28"/>
        </w:rPr>
      </w:pPr>
      <w:r>
        <w:rPr>
          <w:rFonts w:hint="eastAsia" w:ascii="仿宋_GB2312" w:eastAsia="仿宋_GB2312"/>
          <w:b/>
          <w:bCs/>
          <w:sz w:val="28"/>
          <w:szCs w:val="28"/>
        </w:rPr>
        <w:t>12.各单位需根据自身业务职能，补充当年使用的所有支出功能分类项级科目名词解释，例如：</w:t>
      </w:r>
    </w:p>
    <w:p>
      <w:pPr>
        <w:ind w:firstLine="560" w:firstLineChars="200"/>
        <w:rPr>
          <w:rFonts w:ascii="仿宋_GB2312" w:eastAsia="仿宋_GB2312"/>
          <w:b/>
          <w:bCs/>
          <w:sz w:val="28"/>
          <w:szCs w:val="28"/>
        </w:rPr>
      </w:pPr>
      <w:r>
        <w:rPr>
          <w:rFonts w:hint="eastAsia" w:ascii="仿宋_GB2312" w:eastAsia="仿宋_GB2312"/>
          <w:b/>
          <w:bCs/>
          <w:sz w:val="28"/>
          <w:szCs w:val="28"/>
        </w:rPr>
        <w:t>一般公共服务支出（类）人大事务（款）行政运行（项）：反映行政单位（包括实行公务员管理的事业单位）的基本支出。</w:t>
      </w:r>
    </w:p>
    <w:p>
      <w:pPr>
        <w:pStyle w:val="2"/>
        <w:ind w:firstLine="560"/>
        <w:rPr>
          <w:rFonts w:ascii="仿宋_GB2312" w:eastAsia="仿宋_GB2312"/>
          <w:sz w:val="28"/>
          <w:szCs w:val="28"/>
        </w:rPr>
      </w:pPr>
    </w:p>
    <w:p>
      <w:pPr>
        <w:rPr>
          <w:rFonts w:ascii="宋体" w:hAnsi="宋体" w:cs="宋体"/>
          <w:b/>
          <w:bCs/>
          <w:sz w:val="44"/>
          <w:szCs w:val="44"/>
        </w:rPr>
      </w:pPr>
      <w:r>
        <w:br w:type="page"/>
      </w:r>
      <w:bookmarkStart w:id="19" w:name="_Toc11038"/>
      <w:r>
        <w:rPr>
          <w:rFonts w:hint="eastAsia" w:ascii="宋体" w:hAnsi="宋体" w:cs="宋体"/>
          <w:b/>
          <w:bCs/>
          <w:sz w:val="44"/>
          <w:szCs w:val="44"/>
        </w:rPr>
        <w:t>第三部分  2023年度部门绩效评价情况</w:t>
      </w:r>
      <w:bookmarkEnd w:id="19"/>
    </w:p>
    <w:p>
      <w:pPr>
        <w:ind w:firstLine="560" w:firstLineChars="200"/>
        <w:rPr>
          <w:rFonts w:ascii="黑体" w:eastAsia="黑体"/>
          <w:sz w:val="28"/>
          <w:szCs w:val="28"/>
          <w:highlight w:val="yellow"/>
        </w:rPr>
      </w:pPr>
    </w:p>
    <w:p>
      <w:pPr>
        <w:ind w:firstLine="560" w:firstLineChars="200"/>
        <w:outlineLvl w:val="1"/>
        <w:rPr>
          <w:rFonts w:ascii="宋体" w:hAnsi="宋体" w:cs="宋体"/>
          <w:b/>
          <w:sz w:val="32"/>
          <w:szCs w:val="32"/>
        </w:rPr>
      </w:pPr>
      <w:bookmarkStart w:id="20" w:name="_Toc19457"/>
      <w:r>
        <w:rPr>
          <w:rFonts w:hint="eastAsia" w:ascii="宋体" w:hAnsi="宋体" w:cs="宋体"/>
          <w:b/>
          <w:sz w:val="28"/>
          <w:szCs w:val="28"/>
        </w:rPr>
        <w:t>一、 预算绩效工作开展情况</w:t>
      </w:r>
      <w:bookmarkEnd w:id="20"/>
    </w:p>
    <w:p>
      <w:pPr>
        <w:ind w:firstLine="560" w:firstLineChars="200"/>
        <w:rPr>
          <w:rFonts w:ascii="仿宋_GB2312" w:eastAsia="仿宋_GB2312"/>
          <w:sz w:val="28"/>
          <w:szCs w:val="28"/>
        </w:rPr>
      </w:pPr>
      <w:r>
        <w:rPr>
          <w:rFonts w:hint="eastAsia" w:ascii="仿宋_GB2312" w:eastAsia="仿宋_GB2312"/>
          <w:sz w:val="28"/>
          <w:szCs w:val="28"/>
        </w:rPr>
        <w:t>2023年，本部门无超过100万</w:t>
      </w:r>
      <w:r>
        <w:rPr>
          <w:rFonts w:ascii="仿宋_GB2312" w:eastAsia="仿宋_GB2312"/>
          <w:sz w:val="28"/>
          <w:szCs w:val="28"/>
        </w:rPr>
        <w:t>元的重点项目，因此对部门整体绩效进行</w:t>
      </w:r>
      <w:r>
        <w:rPr>
          <w:rFonts w:hint="eastAsia" w:ascii="仿宋_GB2312" w:eastAsia="仿宋_GB2312"/>
          <w:sz w:val="28"/>
          <w:szCs w:val="28"/>
        </w:rPr>
        <w:t>评价，涉及金额</w:t>
      </w:r>
      <w:r>
        <w:rPr>
          <w:rFonts w:ascii="仿宋_GB2312" w:eastAsia="仿宋_GB2312"/>
          <w:sz w:val="28"/>
          <w:szCs w:val="28"/>
        </w:rPr>
        <w:t>312.07</w:t>
      </w:r>
      <w:r>
        <w:rPr>
          <w:rFonts w:hint="eastAsia" w:ascii="仿宋_GB2312" w:eastAsia="仿宋_GB2312"/>
          <w:sz w:val="28"/>
          <w:szCs w:val="28"/>
        </w:rPr>
        <w:t>万元。</w:t>
      </w:r>
    </w:p>
    <w:p>
      <w:pPr>
        <w:ind w:firstLine="560" w:firstLineChars="200"/>
        <w:outlineLvl w:val="1"/>
        <w:rPr>
          <w:rFonts w:ascii="宋体" w:hAnsi="宋体" w:cs="宋体"/>
          <w:b/>
          <w:sz w:val="28"/>
          <w:szCs w:val="28"/>
        </w:rPr>
      </w:pPr>
      <w:r>
        <w:rPr>
          <w:rFonts w:hint="eastAsia" w:ascii="宋体" w:hAnsi="宋体" w:cs="宋体"/>
          <w:b/>
          <w:sz w:val="28"/>
          <w:szCs w:val="28"/>
        </w:rPr>
        <w:t>二、部门整体绩效报告</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（一）部门概况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1.机构设置及职责工作任务情况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承担管理、服务社区矫正</w:t>
      </w:r>
      <w:r>
        <w:rPr>
          <w:rFonts w:ascii="仿宋_GB2312" w:eastAsia="仿宋_GB2312" w:cs="宋体"/>
          <w:bCs/>
          <w:snapToGrid w:val="0"/>
          <w:kern w:val="0"/>
          <w:sz w:val="28"/>
          <w:szCs w:val="28"/>
        </w:rPr>
        <w:t>对象</w:t>
      </w:r>
      <w:r>
        <w:rPr>
          <w:rFonts w:hint="eastAsia" w:ascii="仿宋_GB2312" w:eastAsia="仿宋_GB2312" w:cs="宋体"/>
          <w:bCs/>
          <w:snapToGrid w:val="0"/>
          <w:kern w:val="0"/>
          <w:sz w:val="28"/>
          <w:szCs w:val="28"/>
        </w:rPr>
        <w:t>的公益职能。主要</w:t>
      </w:r>
      <w:r>
        <w:rPr>
          <w:rFonts w:ascii="仿宋_GB2312" w:eastAsia="仿宋_GB2312" w:cs="宋体"/>
          <w:bCs/>
          <w:snapToGrid w:val="0"/>
          <w:kern w:val="0"/>
          <w:sz w:val="28"/>
          <w:szCs w:val="28"/>
        </w:rPr>
        <w:t>包括</w:t>
      </w:r>
      <w:r>
        <w:rPr>
          <w:rFonts w:hint="eastAsia" w:ascii="仿宋_GB2312" w:eastAsia="仿宋_GB2312" w:cs="宋体"/>
          <w:bCs/>
          <w:snapToGrid w:val="0"/>
          <w:kern w:val="0"/>
          <w:sz w:val="28"/>
          <w:szCs w:val="28"/>
        </w:rPr>
        <w:t>组织辖区社区矫正对象进行集中入矫、专项</w:t>
      </w:r>
      <w:r>
        <w:rPr>
          <w:rFonts w:ascii="仿宋_GB2312" w:eastAsia="仿宋_GB2312" w:cs="宋体"/>
          <w:bCs/>
          <w:snapToGrid w:val="0"/>
          <w:kern w:val="0"/>
          <w:sz w:val="28"/>
          <w:szCs w:val="28"/>
        </w:rPr>
        <w:t>、</w:t>
      </w:r>
      <w:r>
        <w:rPr>
          <w:rFonts w:hint="eastAsia" w:ascii="仿宋_GB2312" w:eastAsia="仿宋_GB2312" w:cs="宋体"/>
          <w:bCs/>
          <w:snapToGrid w:val="0"/>
          <w:kern w:val="0"/>
          <w:sz w:val="28"/>
          <w:szCs w:val="28"/>
        </w:rPr>
        <w:t>分类和解矫教育、公益活动；为有需求的社区矫正对象提供社会适应指导、心理咨询和心理辅导，帮助他们克服困难、提高适应社会能力，预防和减少重新违法犯罪；为</w:t>
      </w:r>
      <w:r>
        <w:rPr>
          <w:rFonts w:ascii="仿宋_GB2312" w:eastAsia="仿宋_GB2312" w:cs="宋体"/>
          <w:bCs/>
          <w:snapToGrid w:val="0"/>
          <w:kern w:val="0"/>
          <w:sz w:val="28"/>
          <w:szCs w:val="28"/>
        </w:rPr>
        <w:t>有需求的刑满释放人员提供帮扶救助</w:t>
      </w:r>
      <w:r>
        <w:rPr>
          <w:rFonts w:hint="eastAsia" w:ascii="仿宋_GB2312" w:eastAsia="仿宋_GB2312" w:cs="宋体"/>
          <w:bCs/>
          <w:snapToGrid w:val="0"/>
          <w:kern w:val="0"/>
          <w:sz w:val="28"/>
          <w:szCs w:val="28"/>
        </w:rPr>
        <w:t>，确保社区矫正和</w:t>
      </w:r>
      <w:r>
        <w:rPr>
          <w:rFonts w:ascii="仿宋_GB2312" w:eastAsia="仿宋_GB2312" w:cs="宋体"/>
          <w:bCs/>
          <w:snapToGrid w:val="0"/>
          <w:kern w:val="0"/>
          <w:sz w:val="28"/>
          <w:szCs w:val="28"/>
        </w:rPr>
        <w:t>安置帮教</w:t>
      </w:r>
      <w:r>
        <w:rPr>
          <w:rFonts w:hint="eastAsia" w:ascii="仿宋_GB2312" w:eastAsia="仿宋_GB2312" w:cs="宋体"/>
          <w:bCs/>
          <w:snapToGrid w:val="0"/>
          <w:kern w:val="0"/>
          <w:sz w:val="28"/>
          <w:szCs w:val="28"/>
        </w:rPr>
        <w:t>工作取得实效，以维护地区和谐稳定。</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2.部门整体绩效目标设立情况（包括绩效目标设立依据、目标与职责任务匹配情况、目标合理性等）。</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严格执行相关政策，保障工资及时、足额发放或社保及时、足额缴纳，预算编制科学合理，减少结余资金。提高预算编制质量，严格执行预算，保障单位日常运转。在社会治安综合治理中，</w:t>
      </w:r>
      <w:r>
        <w:rPr>
          <w:rFonts w:ascii="仿宋_GB2312" w:eastAsia="仿宋_GB2312" w:cs="宋体"/>
          <w:bCs/>
          <w:snapToGrid w:val="0"/>
          <w:kern w:val="0"/>
          <w:sz w:val="28"/>
          <w:szCs w:val="28"/>
        </w:rPr>
        <w:t>依据</w:t>
      </w:r>
      <w:r>
        <w:rPr>
          <w:rFonts w:hint="eastAsia" w:ascii="仿宋_GB2312" w:eastAsia="仿宋_GB2312" w:cs="宋体"/>
          <w:bCs/>
          <w:snapToGrid w:val="0"/>
          <w:kern w:val="0"/>
          <w:sz w:val="28"/>
          <w:szCs w:val="28"/>
        </w:rPr>
        <w:t>本辖区历年</w:t>
      </w:r>
      <w:r>
        <w:rPr>
          <w:rFonts w:ascii="仿宋_GB2312" w:eastAsia="仿宋_GB2312" w:cs="宋体"/>
          <w:bCs/>
          <w:snapToGrid w:val="0"/>
          <w:kern w:val="0"/>
          <w:sz w:val="28"/>
          <w:szCs w:val="28"/>
        </w:rPr>
        <w:t>社区矫正对象</w:t>
      </w:r>
      <w:r>
        <w:rPr>
          <w:rFonts w:hint="eastAsia" w:ascii="仿宋_GB2312" w:eastAsia="仿宋_GB2312" w:cs="宋体"/>
          <w:bCs/>
          <w:snapToGrid w:val="0"/>
          <w:kern w:val="0"/>
          <w:sz w:val="28"/>
          <w:szCs w:val="28"/>
        </w:rPr>
        <w:t>列管</w:t>
      </w:r>
      <w:r>
        <w:rPr>
          <w:rFonts w:ascii="仿宋_GB2312" w:eastAsia="仿宋_GB2312" w:cs="宋体"/>
          <w:bCs/>
          <w:snapToGrid w:val="0"/>
          <w:kern w:val="0"/>
          <w:sz w:val="28"/>
          <w:szCs w:val="28"/>
        </w:rPr>
        <w:t>情况，</w:t>
      </w:r>
      <w:r>
        <w:rPr>
          <w:rFonts w:hint="eastAsia" w:ascii="仿宋_GB2312" w:eastAsia="仿宋_GB2312" w:cs="宋体"/>
          <w:bCs/>
          <w:snapToGrid w:val="0"/>
          <w:kern w:val="0"/>
          <w:sz w:val="28"/>
          <w:szCs w:val="28"/>
        </w:rPr>
        <w:t>设立</w:t>
      </w:r>
      <w:r>
        <w:rPr>
          <w:rFonts w:ascii="仿宋_GB2312" w:eastAsia="仿宋_GB2312" w:cs="宋体"/>
          <w:bCs/>
          <w:snapToGrid w:val="0"/>
          <w:kern w:val="0"/>
          <w:sz w:val="28"/>
          <w:szCs w:val="28"/>
        </w:rPr>
        <w:t>绩效目标，</w:t>
      </w:r>
      <w:r>
        <w:rPr>
          <w:rFonts w:hint="eastAsia" w:ascii="仿宋_GB2312" w:eastAsia="仿宋_GB2312" w:cs="宋体"/>
          <w:bCs/>
          <w:snapToGrid w:val="0"/>
          <w:kern w:val="0"/>
          <w:sz w:val="28"/>
          <w:szCs w:val="28"/>
        </w:rPr>
        <w:t>达到以下社会效益：严格按照《</w:t>
      </w:r>
      <w:r>
        <w:rPr>
          <w:rFonts w:hint="eastAsia" w:ascii="仿宋_GB2312" w:eastAsia="仿宋_GB2312" w:cs="宋体"/>
          <w:bCs/>
          <w:snapToGrid w:val="0"/>
          <w:kern w:val="0"/>
          <w:sz w:val="28"/>
          <w:szCs w:val="28"/>
          <w:lang w:eastAsia="zh-CN"/>
        </w:rPr>
        <w:t>中华</w:t>
      </w:r>
      <w:r>
        <w:rPr>
          <w:rFonts w:hint="eastAsia" w:ascii="仿宋_GB2312" w:eastAsia="仿宋_GB2312" w:cs="宋体"/>
          <w:bCs/>
          <w:snapToGrid w:val="0"/>
          <w:kern w:val="0"/>
          <w:sz w:val="28"/>
          <w:szCs w:val="28"/>
        </w:rPr>
        <w:t>人民共和国社区矫正法》、《</w:t>
      </w:r>
      <w:r>
        <w:rPr>
          <w:rFonts w:hint="eastAsia" w:ascii="仿宋_GB2312" w:eastAsia="仿宋_GB2312" w:cs="宋体"/>
          <w:bCs/>
          <w:snapToGrid w:val="0"/>
          <w:kern w:val="0"/>
          <w:sz w:val="28"/>
          <w:szCs w:val="28"/>
          <w:lang w:eastAsia="zh-CN"/>
        </w:rPr>
        <w:t>中华</w:t>
      </w:r>
      <w:r>
        <w:rPr>
          <w:rFonts w:hint="eastAsia" w:ascii="仿宋_GB2312" w:eastAsia="仿宋_GB2312" w:cs="宋体"/>
          <w:bCs/>
          <w:snapToGrid w:val="0"/>
          <w:kern w:val="0"/>
          <w:sz w:val="28"/>
          <w:szCs w:val="28"/>
        </w:rPr>
        <w:t>人民共和国社区矫正实施办法》、《北京市社区矫正实施细则》以及《北京市区县社区矫正中心管理办法（试行）》的相关要求，区社区矫正中心需集中组织辖区内列管社区矫正对象进行入矫教育、专项教育、分类教育、解矫教育以及公益活动；为有需求的社区矫正对象提供社会适应指导、心理咨询和心理辅导，帮助他们克服困难、提高适应社会能力，预防和减少重新违法犯罪，确保社区矫正工作取得实效，以维护地区和谐稳定。</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（二）当年预算执行情况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2023年全年预算数</w:t>
      </w:r>
      <w:r>
        <w:rPr>
          <w:rFonts w:ascii="仿宋_GB2312" w:eastAsia="仿宋_GB2312" w:cs="宋体"/>
          <w:bCs/>
          <w:snapToGrid w:val="0"/>
          <w:kern w:val="0"/>
          <w:sz w:val="28"/>
          <w:szCs w:val="28"/>
        </w:rPr>
        <w:t>315.10</w:t>
      </w:r>
      <w:r>
        <w:rPr>
          <w:rFonts w:hint="eastAsia" w:ascii="仿宋_GB2312" w:eastAsia="仿宋_GB2312" w:cs="宋体"/>
          <w:bCs/>
          <w:snapToGrid w:val="0"/>
          <w:kern w:val="0"/>
          <w:sz w:val="28"/>
          <w:szCs w:val="28"/>
        </w:rPr>
        <w:t>万元，其中，基本支出预算数</w:t>
      </w:r>
      <w:r>
        <w:rPr>
          <w:rFonts w:ascii="仿宋_GB2312" w:eastAsia="仿宋_GB2312" w:cs="宋体"/>
          <w:bCs/>
          <w:snapToGrid w:val="0"/>
          <w:kern w:val="0"/>
          <w:sz w:val="28"/>
          <w:szCs w:val="28"/>
        </w:rPr>
        <w:t>278.35</w:t>
      </w:r>
      <w:r>
        <w:rPr>
          <w:rFonts w:hint="eastAsia" w:ascii="仿宋_GB2312" w:eastAsia="仿宋_GB2312" w:cs="宋体"/>
          <w:bCs/>
          <w:snapToGrid w:val="0"/>
          <w:kern w:val="0"/>
          <w:sz w:val="28"/>
          <w:szCs w:val="28"/>
        </w:rPr>
        <w:t>万元，项目支出预算数</w:t>
      </w:r>
      <w:r>
        <w:rPr>
          <w:rFonts w:ascii="仿宋_GB2312" w:eastAsia="仿宋_GB2312" w:cs="宋体"/>
          <w:bCs/>
          <w:snapToGrid w:val="0"/>
          <w:kern w:val="0"/>
          <w:sz w:val="28"/>
          <w:szCs w:val="28"/>
        </w:rPr>
        <w:t>36.75</w:t>
      </w:r>
      <w:r>
        <w:rPr>
          <w:rFonts w:hint="eastAsia" w:ascii="仿宋_GB2312" w:eastAsia="仿宋_GB2312" w:cs="宋体"/>
          <w:bCs/>
          <w:snapToGrid w:val="0"/>
          <w:kern w:val="0"/>
          <w:sz w:val="28"/>
          <w:szCs w:val="28"/>
        </w:rPr>
        <w:t>万元，其他支出预算数</w:t>
      </w:r>
      <w:r>
        <w:rPr>
          <w:rFonts w:ascii="仿宋_GB2312" w:eastAsia="仿宋_GB2312" w:cs="宋体"/>
          <w:bCs/>
          <w:snapToGrid w:val="0"/>
          <w:kern w:val="0"/>
          <w:sz w:val="28"/>
          <w:szCs w:val="28"/>
        </w:rPr>
        <w:t>0</w:t>
      </w:r>
      <w:r>
        <w:rPr>
          <w:rFonts w:hint="eastAsia" w:ascii="仿宋_GB2312" w:eastAsia="仿宋_GB2312" w:cs="宋体"/>
          <w:bCs/>
          <w:snapToGrid w:val="0"/>
          <w:kern w:val="0"/>
          <w:sz w:val="28"/>
          <w:szCs w:val="28"/>
        </w:rPr>
        <w:t>万元。资金总体支出</w:t>
      </w:r>
      <w:r>
        <w:rPr>
          <w:rFonts w:ascii="仿宋_GB2312" w:eastAsia="仿宋_GB2312" w:cs="宋体"/>
          <w:bCs/>
          <w:snapToGrid w:val="0"/>
          <w:kern w:val="0"/>
          <w:sz w:val="28"/>
          <w:szCs w:val="28"/>
        </w:rPr>
        <w:t>312.07</w:t>
      </w:r>
      <w:r>
        <w:rPr>
          <w:rFonts w:hint="eastAsia" w:ascii="仿宋_GB2312" w:eastAsia="仿宋_GB2312" w:cs="宋体"/>
          <w:bCs/>
          <w:snapToGrid w:val="0"/>
          <w:kern w:val="0"/>
          <w:sz w:val="28"/>
          <w:szCs w:val="28"/>
        </w:rPr>
        <w:t>万元，其中，基本支出</w:t>
      </w:r>
      <w:r>
        <w:rPr>
          <w:rFonts w:ascii="仿宋_GB2312" w:eastAsia="仿宋_GB2312" w:cs="宋体"/>
          <w:bCs/>
          <w:snapToGrid w:val="0"/>
          <w:kern w:val="0"/>
          <w:sz w:val="28"/>
          <w:szCs w:val="28"/>
        </w:rPr>
        <w:t>277.59</w:t>
      </w:r>
      <w:r>
        <w:rPr>
          <w:rFonts w:hint="eastAsia" w:ascii="仿宋_GB2312" w:eastAsia="仿宋_GB2312" w:cs="宋体"/>
          <w:bCs/>
          <w:snapToGrid w:val="0"/>
          <w:kern w:val="0"/>
          <w:sz w:val="28"/>
          <w:szCs w:val="28"/>
        </w:rPr>
        <w:t>万元，项目支出</w:t>
      </w:r>
      <w:r>
        <w:rPr>
          <w:rFonts w:ascii="仿宋_GB2312" w:eastAsia="仿宋_GB2312" w:cs="宋体"/>
          <w:bCs/>
          <w:snapToGrid w:val="0"/>
          <w:kern w:val="0"/>
          <w:sz w:val="28"/>
          <w:szCs w:val="28"/>
        </w:rPr>
        <w:t>34.48</w:t>
      </w:r>
      <w:r>
        <w:rPr>
          <w:rFonts w:hint="eastAsia" w:ascii="仿宋_GB2312" w:eastAsia="仿宋_GB2312" w:cs="宋体"/>
          <w:bCs/>
          <w:snapToGrid w:val="0"/>
          <w:kern w:val="0"/>
          <w:sz w:val="28"/>
          <w:szCs w:val="28"/>
        </w:rPr>
        <w:t>万元，其他支出</w:t>
      </w:r>
      <w:r>
        <w:rPr>
          <w:rFonts w:ascii="仿宋_GB2312" w:eastAsia="仿宋_GB2312" w:cs="宋体"/>
          <w:bCs/>
          <w:snapToGrid w:val="0"/>
          <w:kern w:val="0"/>
          <w:sz w:val="28"/>
          <w:szCs w:val="28"/>
        </w:rPr>
        <w:t>0</w:t>
      </w:r>
      <w:r>
        <w:rPr>
          <w:rFonts w:hint="eastAsia" w:ascii="仿宋_GB2312" w:eastAsia="仿宋_GB2312" w:cs="宋体"/>
          <w:bCs/>
          <w:snapToGrid w:val="0"/>
          <w:kern w:val="0"/>
          <w:sz w:val="28"/>
          <w:szCs w:val="28"/>
        </w:rPr>
        <w:t>万元。预算执行率为</w:t>
      </w:r>
      <w:r>
        <w:rPr>
          <w:rFonts w:ascii="仿宋_GB2312" w:eastAsia="仿宋_GB2312" w:cs="宋体"/>
          <w:bCs/>
          <w:snapToGrid w:val="0"/>
          <w:kern w:val="0"/>
          <w:sz w:val="28"/>
          <w:szCs w:val="28"/>
        </w:rPr>
        <w:t>99.04%</w:t>
      </w:r>
      <w:r>
        <w:rPr>
          <w:rFonts w:hint="eastAsia" w:ascii="仿宋_GB2312" w:eastAsia="仿宋_GB2312" w:cs="宋体"/>
          <w:bCs/>
          <w:snapToGrid w:val="0"/>
          <w:kern w:val="0"/>
          <w:sz w:val="28"/>
          <w:szCs w:val="28"/>
        </w:rPr>
        <w:t>。</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（三）整体绩效目标实现情况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1.产出完成情况分析</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产出数量</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组织辖区社区矫正对象进行集中入矫、专项</w:t>
      </w:r>
      <w:r>
        <w:rPr>
          <w:rFonts w:ascii="仿宋_GB2312" w:eastAsia="仿宋_GB2312" w:cs="宋体"/>
          <w:bCs/>
          <w:snapToGrid w:val="0"/>
          <w:kern w:val="0"/>
          <w:sz w:val="28"/>
          <w:szCs w:val="28"/>
        </w:rPr>
        <w:t>、</w:t>
      </w:r>
      <w:r>
        <w:rPr>
          <w:rFonts w:hint="eastAsia" w:ascii="仿宋_GB2312" w:eastAsia="仿宋_GB2312" w:cs="宋体"/>
          <w:bCs/>
          <w:snapToGrid w:val="0"/>
          <w:kern w:val="0"/>
          <w:sz w:val="28"/>
          <w:szCs w:val="28"/>
        </w:rPr>
        <w:t>分类和解矫教育、公益活动；为</w:t>
      </w:r>
      <w:r>
        <w:rPr>
          <w:rFonts w:ascii="仿宋_GB2312" w:eastAsia="仿宋_GB2312" w:cs="宋体"/>
          <w:bCs/>
          <w:snapToGrid w:val="0"/>
          <w:kern w:val="0"/>
          <w:sz w:val="28"/>
          <w:szCs w:val="28"/>
        </w:rPr>
        <w:t>有需求的社区矫正对象提供社会适应指导、心理咨询和心理辅导</w:t>
      </w:r>
      <w:r>
        <w:rPr>
          <w:rFonts w:hint="eastAsia" w:ascii="仿宋_GB2312" w:eastAsia="仿宋_GB2312" w:cs="宋体"/>
          <w:bCs/>
          <w:snapToGrid w:val="0"/>
          <w:kern w:val="0"/>
          <w:sz w:val="28"/>
          <w:szCs w:val="28"/>
        </w:rPr>
        <w:t>，</w:t>
      </w:r>
      <w:r>
        <w:rPr>
          <w:rFonts w:ascii="仿宋_GB2312" w:eastAsia="仿宋_GB2312" w:cs="宋体"/>
          <w:bCs/>
          <w:snapToGrid w:val="0"/>
          <w:kern w:val="0"/>
          <w:sz w:val="28"/>
          <w:szCs w:val="28"/>
        </w:rPr>
        <w:t>帮助他们克服困难、提高适应社会能力，预防和减少重新违法犯罪。</w:t>
      </w:r>
      <w:r>
        <w:rPr>
          <w:rFonts w:hint="eastAsia" w:ascii="仿宋_GB2312" w:eastAsia="仿宋_GB2312" w:cs="宋体"/>
          <w:bCs/>
          <w:snapToGrid w:val="0"/>
          <w:kern w:val="0"/>
          <w:sz w:val="28"/>
          <w:szCs w:val="28"/>
        </w:rPr>
        <w:t>目标1</w:t>
      </w:r>
      <w:r>
        <w:rPr>
          <w:rFonts w:ascii="仿宋_GB2312" w:eastAsia="仿宋_GB2312" w:cs="宋体"/>
          <w:bCs/>
          <w:snapToGrid w:val="0"/>
          <w:kern w:val="0"/>
          <w:sz w:val="28"/>
          <w:szCs w:val="28"/>
        </w:rPr>
        <w:t>00</w:t>
      </w:r>
      <w:r>
        <w:rPr>
          <w:rFonts w:hint="eastAsia" w:ascii="仿宋_GB2312" w:eastAsia="仿宋_GB2312" w:cs="宋体"/>
          <w:bCs/>
          <w:snapToGrid w:val="0"/>
          <w:kern w:val="0"/>
          <w:sz w:val="28"/>
          <w:szCs w:val="28"/>
        </w:rPr>
        <w:t>人/年，已全额</w:t>
      </w:r>
      <w:r>
        <w:rPr>
          <w:rFonts w:ascii="仿宋_GB2312" w:eastAsia="仿宋_GB2312" w:cs="宋体"/>
          <w:bCs/>
          <w:snapToGrid w:val="0"/>
          <w:kern w:val="0"/>
          <w:sz w:val="28"/>
          <w:szCs w:val="28"/>
        </w:rPr>
        <w:t>完成。</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产出质量</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有效预防和减少了重新违法犯罪。</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产出进度</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 xml:space="preserve">1.时间过半,任务过半；2.完成区政府绩效考核的支出进度指标；3.项目支出符合计划进度。  </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 xml:space="preserve">产出成本                 </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 xml:space="preserve">各项支出控制在预算范围内。                    </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2.效果实现情况分析</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经济效益</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为区域经济发展提供了和谐</w:t>
      </w:r>
      <w:r>
        <w:rPr>
          <w:rFonts w:ascii="仿宋_GB2312" w:eastAsia="仿宋_GB2312" w:cs="宋体"/>
          <w:bCs/>
          <w:snapToGrid w:val="0"/>
          <w:kern w:val="0"/>
          <w:sz w:val="28"/>
          <w:szCs w:val="28"/>
        </w:rPr>
        <w:t>稳定的社会环境</w:t>
      </w:r>
      <w:r>
        <w:rPr>
          <w:rFonts w:hint="eastAsia" w:ascii="仿宋_GB2312" w:eastAsia="仿宋_GB2312" w:cs="宋体"/>
          <w:bCs/>
          <w:snapToGrid w:val="0"/>
          <w:kern w:val="0"/>
          <w:sz w:val="28"/>
          <w:szCs w:val="28"/>
        </w:rPr>
        <w:t>。</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社会效益</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社区矫正工作取得实效，以维护地区和谐稳定。</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可持续性影响</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不断推进我区社区</w:t>
      </w:r>
      <w:r>
        <w:rPr>
          <w:rFonts w:ascii="仿宋_GB2312" w:eastAsia="仿宋_GB2312" w:cs="宋体"/>
          <w:bCs/>
          <w:snapToGrid w:val="0"/>
          <w:kern w:val="0"/>
          <w:sz w:val="28"/>
          <w:szCs w:val="28"/>
        </w:rPr>
        <w:t>矫正工作</w:t>
      </w:r>
      <w:r>
        <w:rPr>
          <w:rFonts w:hint="eastAsia" w:ascii="仿宋_GB2312" w:eastAsia="仿宋_GB2312" w:cs="宋体"/>
          <w:bCs/>
          <w:snapToGrid w:val="0"/>
          <w:kern w:val="0"/>
          <w:sz w:val="28"/>
          <w:szCs w:val="28"/>
        </w:rPr>
        <w:t>取得实效，以维护地区和谐稳定。</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（四）预算管理情况分析</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1.财务管理</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财务管理制度健全性</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依据</w:t>
      </w:r>
      <w:r>
        <w:rPr>
          <w:rFonts w:ascii="仿宋_GB2312" w:eastAsia="仿宋_GB2312" w:cs="宋体"/>
          <w:bCs/>
          <w:snapToGrid w:val="0"/>
          <w:kern w:val="0"/>
          <w:sz w:val="28"/>
          <w:szCs w:val="28"/>
        </w:rPr>
        <w:t>区司法局管理制度，结合实际，本单位建立健全了财务管理</w:t>
      </w:r>
      <w:r>
        <w:rPr>
          <w:rFonts w:hint="eastAsia" w:ascii="仿宋_GB2312" w:eastAsia="仿宋_GB2312" w:cs="宋体"/>
          <w:bCs/>
          <w:snapToGrid w:val="0"/>
          <w:kern w:val="0"/>
          <w:sz w:val="28"/>
          <w:szCs w:val="28"/>
        </w:rPr>
        <w:t>相关各项制度。</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资金使用合规性和安全性</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各项</w:t>
      </w:r>
      <w:r>
        <w:rPr>
          <w:rFonts w:ascii="仿宋_GB2312" w:eastAsia="仿宋_GB2312" w:cs="宋体"/>
          <w:bCs/>
          <w:snapToGrid w:val="0"/>
          <w:kern w:val="0"/>
          <w:sz w:val="28"/>
          <w:szCs w:val="28"/>
        </w:rPr>
        <w:t>资金使用均严格</w:t>
      </w:r>
      <w:r>
        <w:rPr>
          <w:rFonts w:hint="eastAsia" w:ascii="仿宋_GB2312" w:eastAsia="仿宋_GB2312" w:cs="宋体"/>
          <w:bCs/>
          <w:snapToGrid w:val="0"/>
          <w:kern w:val="0"/>
          <w:sz w:val="28"/>
          <w:szCs w:val="28"/>
        </w:rPr>
        <w:t>遵循</w:t>
      </w:r>
      <w:r>
        <w:rPr>
          <w:rFonts w:ascii="仿宋_GB2312" w:eastAsia="仿宋_GB2312" w:cs="宋体"/>
          <w:bCs/>
          <w:snapToGrid w:val="0"/>
          <w:kern w:val="0"/>
          <w:sz w:val="28"/>
          <w:szCs w:val="28"/>
        </w:rPr>
        <w:t>财务管理制度，</w:t>
      </w:r>
      <w:r>
        <w:rPr>
          <w:rFonts w:hint="eastAsia" w:ascii="仿宋_GB2312" w:eastAsia="仿宋_GB2312" w:cs="宋体"/>
          <w:bCs/>
          <w:snapToGrid w:val="0"/>
          <w:kern w:val="0"/>
          <w:sz w:val="28"/>
          <w:szCs w:val="28"/>
        </w:rPr>
        <w:t>按照</w:t>
      </w:r>
      <w:r>
        <w:rPr>
          <w:rFonts w:ascii="仿宋_GB2312" w:eastAsia="仿宋_GB2312" w:cs="宋体"/>
          <w:bCs/>
          <w:snapToGrid w:val="0"/>
          <w:kern w:val="0"/>
          <w:sz w:val="28"/>
          <w:szCs w:val="28"/>
        </w:rPr>
        <w:t>年度预算</w:t>
      </w:r>
      <w:r>
        <w:rPr>
          <w:rFonts w:hint="eastAsia" w:ascii="仿宋_GB2312" w:eastAsia="仿宋_GB2312" w:cs="宋体"/>
          <w:bCs/>
          <w:snapToGrid w:val="0"/>
          <w:kern w:val="0"/>
          <w:sz w:val="28"/>
          <w:szCs w:val="28"/>
        </w:rPr>
        <w:t>支出</w:t>
      </w:r>
      <w:r>
        <w:rPr>
          <w:rFonts w:ascii="仿宋_GB2312" w:eastAsia="仿宋_GB2312" w:cs="宋体"/>
          <w:bCs/>
          <w:snapToGrid w:val="0"/>
          <w:kern w:val="0"/>
          <w:sz w:val="28"/>
          <w:szCs w:val="28"/>
        </w:rPr>
        <w:t>，</w:t>
      </w:r>
      <w:r>
        <w:rPr>
          <w:rFonts w:hint="eastAsia" w:ascii="仿宋_GB2312" w:eastAsia="仿宋_GB2312" w:cs="宋体"/>
          <w:bCs/>
          <w:snapToGrid w:val="0"/>
          <w:kern w:val="0"/>
          <w:sz w:val="28"/>
          <w:szCs w:val="28"/>
        </w:rPr>
        <w:t>每一笔</w:t>
      </w:r>
      <w:r>
        <w:rPr>
          <w:rFonts w:ascii="仿宋_GB2312" w:eastAsia="仿宋_GB2312" w:cs="宋体"/>
          <w:bCs/>
          <w:snapToGrid w:val="0"/>
          <w:kern w:val="0"/>
          <w:sz w:val="28"/>
          <w:szCs w:val="28"/>
        </w:rPr>
        <w:t>支出均按照</w:t>
      </w:r>
      <w:r>
        <w:rPr>
          <w:rFonts w:hint="eastAsia" w:ascii="仿宋_GB2312" w:eastAsia="仿宋_GB2312" w:cs="宋体"/>
          <w:bCs/>
          <w:snapToGrid w:val="0"/>
          <w:kern w:val="0"/>
          <w:sz w:val="28"/>
          <w:szCs w:val="28"/>
        </w:rPr>
        <w:t>相应</w:t>
      </w:r>
      <w:r>
        <w:rPr>
          <w:rFonts w:ascii="仿宋_GB2312" w:eastAsia="仿宋_GB2312" w:cs="宋体"/>
          <w:bCs/>
          <w:snapToGrid w:val="0"/>
          <w:kern w:val="0"/>
          <w:sz w:val="28"/>
          <w:szCs w:val="28"/>
        </w:rPr>
        <w:t>的</w:t>
      </w:r>
      <w:r>
        <w:rPr>
          <w:rFonts w:hint="eastAsia" w:ascii="仿宋_GB2312" w:eastAsia="仿宋_GB2312" w:cs="宋体"/>
          <w:bCs/>
          <w:snapToGrid w:val="0"/>
          <w:kern w:val="0"/>
          <w:sz w:val="28"/>
          <w:szCs w:val="28"/>
        </w:rPr>
        <w:t>审批</w:t>
      </w:r>
      <w:r>
        <w:rPr>
          <w:rFonts w:ascii="仿宋_GB2312" w:eastAsia="仿宋_GB2312" w:cs="宋体"/>
          <w:bCs/>
          <w:snapToGrid w:val="0"/>
          <w:kern w:val="0"/>
          <w:sz w:val="28"/>
          <w:szCs w:val="28"/>
        </w:rPr>
        <w:t>权限及流程进行审核，</w:t>
      </w:r>
      <w:r>
        <w:rPr>
          <w:rFonts w:hint="eastAsia" w:ascii="仿宋_GB2312" w:eastAsia="仿宋_GB2312" w:cs="宋体"/>
          <w:bCs/>
          <w:snapToGrid w:val="0"/>
          <w:kern w:val="0"/>
          <w:sz w:val="28"/>
          <w:szCs w:val="28"/>
        </w:rPr>
        <w:t>相关</w:t>
      </w:r>
      <w:r>
        <w:rPr>
          <w:rFonts w:ascii="仿宋_GB2312" w:eastAsia="仿宋_GB2312" w:cs="宋体"/>
          <w:bCs/>
          <w:snapToGrid w:val="0"/>
          <w:kern w:val="0"/>
          <w:sz w:val="28"/>
          <w:szCs w:val="28"/>
        </w:rPr>
        <w:t>财务凭证</w:t>
      </w:r>
      <w:r>
        <w:rPr>
          <w:rFonts w:hint="eastAsia" w:ascii="仿宋_GB2312" w:eastAsia="仿宋_GB2312" w:cs="宋体"/>
          <w:bCs/>
          <w:snapToGrid w:val="0"/>
          <w:kern w:val="0"/>
          <w:sz w:val="28"/>
          <w:szCs w:val="28"/>
        </w:rPr>
        <w:t>及</w:t>
      </w:r>
      <w:r>
        <w:rPr>
          <w:rFonts w:ascii="仿宋_GB2312" w:eastAsia="仿宋_GB2312" w:cs="宋体"/>
          <w:bCs/>
          <w:snapToGrid w:val="0"/>
          <w:kern w:val="0"/>
          <w:sz w:val="28"/>
          <w:szCs w:val="28"/>
        </w:rPr>
        <w:t>签字手续齐全后支出</w:t>
      </w:r>
      <w:r>
        <w:rPr>
          <w:rFonts w:hint="eastAsia" w:ascii="仿宋_GB2312" w:eastAsia="仿宋_GB2312" w:cs="宋体"/>
          <w:bCs/>
          <w:snapToGrid w:val="0"/>
          <w:kern w:val="0"/>
          <w:sz w:val="28"/>
          <w:szCs w:val="28"/>
        </w:rPr>
        <w:t>，</w:t>
      </w:r>
      <w:r>
        <w:rPr>
          <w:rFonts w:ascii="仿宋_GB2312" w:eastAsia="仿宋_GB2312" w:cs="宋体"/>
          <w:bCs/>
          <w:snapToGrid w:val="0"/>
          <w:kern w:val="0"/>
          <w:sz w:val="28"/>
          <w:szCs w:val="28"/>
        </w:rPr>
        <w:t>并对报销手续严格审核</w:t>
      </w:r>
      <w:r>
        <w:rPr>
          <w:rFonts w:hint="eastAsia" w:ascii="仿宋_GB2312" w:eastAsia="仿宋_GB2312" w:cs="宋体"/>
          <w:bCs/>
          <w:snapToGrid w:val="0"/>
          <w:kern w:val="0"/>
          <w:sz w:val="28"/>
          <w:szCs w:val="28"/>
        </w:rPr>
        <w:t>。</w:t>
      </w:r>
      <w:r>
        <w:rPr>
          <w:rFonts w:ascii="仿宋_GB2312" w:eastAsia="仿宋_GB2312" w:cs="宋体"/>
          <w:bCs/>
          <w:snapToGrid w:val="0"/>
          <w:kern w:val="0"/>
          <w:sz w:val="28"/>
          <w:szCs w:val="28"/>
        </w:rPr>
        <w:t>确保支出的合理性</w:t>
      </w:r>
      <w:r>
        <w:rPr>
          <w:rFonts w:hint="eastAsia" w:ascii="仿宋_GB2312" w:eastAsia="仿宋_GB2312" w:cs="宋体"/>
          <w:bCs/>
          <w:snapToGrid w:val="0"/>
          <w:kern w:val="0"/>
          <w:sz w:val="28"/>
          <w:szCs w:val="28"/>
        </w:rPr>
        <w:t>、</w:t>
      </w:r>
      <w:r>
        <w:rPr>
          <w:rFonts w:ascii="仿宋_GB2312" w:eastAsia="仿宋_GB2312" w:cs="宋体"/>
          <w:bCs/>
          <w:snapToGrid w:val="0"/>
          <w:kern w:val="0"/>
          <w:sz w:val="28"/>
          <w:szCs w:val="28"/>
        </w:rPr>
        <w:t>规范性</w:t>
      </w:r>
      <w:r>
        <w:rPr>
          <w:rFonts w:hint="eastAsia" w:ascii="仿宋_GB2312" w:eastAsia="仿宋_GB2312" w:cs="宋体"/>
          <w:bCs/>
          <w:snapToGrid w:val="0"/>
          <w:kern w:val="0"/>
          <w:sz w:val="28"/>
          <w:szCs w:val="28"/>
        </w:rPr>
        <w:t>和</w:t>
      </w:r>
      <w:r>
        <w:rPr>
          <w:rFonts w:ascii="仿宋_GB2312" w:eastAsia="仿宋_GB2312" w:cs="宋体"/>
          <w:bCs/>
          <w:snapToGrid w:val="0"/>
          <w:kern w:val="0"/>
          <w:sz w:val="28"/>
          <w:szCs w:val="28"/>
        </w:rPr>
        <w:t>安全性</w:t>
      </w:r>
      <w:r>
        <w:rPr>
          <w:rFonts w:hint="eastAsia" w:ascii="仿宋_GB2312" w:eastAsia="仿宋_GB2312" w:cs="宋体"/>
          <w:bCs/>
          <w:snapToGrid w:val="0"/>
          <w:kern w:val="0"/>
          <w:sz w:val="28"/>
          <w:szCs w:val="28"/>
        </w:rPr>
        <w:t>。</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会计基础信息完善性</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财务</w:t>
      </w:r>
      <w:r>
        <w:rPr>
          <w:rFonts w:ascii="仿宋_GB2312" w:eastAsia="仿宋_GB2312" w:cs="宋体"/>
          <w:bCs/>
          <w:snapToGrid w:val="0"/>
          <w:kern w:val="0"/>
          <w:sz w:val="28"/>
          <w:szCs w:val="28"/>
        </w:rPr>
        <w:t>人员</w:t>
      </w:r>
      <w:r>
        <w:rPr>
          <w:rFonts w:hint="eastAsia" w:ascii="仿宋_GB2312" w:eastAsia="仿宋_GB2312" w:cs="宋体"/>
          <w:bCs/>
          <w:snapToGrid w:val="0"/>
          <w:kern w:val="0"/>
          <w:sz w:val="28"/>
          <w:szCs w:val="28"/>
        </w:rPr>
        <w:t>切实做好年终收支、往来款项清理结算和记账</w:t>
      </w:r>
      <w:r>
        <w:rPr>
          <w:rFonts w:ascii="仿宋_GB2312" w:eastAsia="仿宋_GB2312" w:cs="宋体"/>
          <w:bCs/>
          <w:snapToGrid w:val="0"/>
          <w:kern w:val="0"/>
          <w:sz w:val="28"/>
          <w:szCs w:val="28"/>
        </w:rPr>
        <w:t>及</w:t>
      </w:r>
      <w:r>
        <w:rPr>
          <w:rFonts w:hint="eastAsia" w:ascii="仿宋_GB2312" w:eastAsia="仿宋_GB2312" w:cs="宋体"/>
          <w:bCs/>
          <w:snapToGrid w:val="0"/>
          <w:kern w:val="0"/>
          <w:sz w:val="28"/>
          <w:szCs w:val="28"/>
        </w:rPr>
        <w:t>对账工作，加强财务与资产数据对账，切实做到账表相符、账实相符，做到会计基础信息完善</w:t>
      </w:r>
      <w:r>
        <w:rPr>
          <w:rFonts w:ascii="仿宋_GB2312" w:eastAsia="仿宋_GB2312" w:cs="宋体"/>
          <w:bCs/>
          <w:snapToGrid w:val="0"/>
          <w:kern w:val="0"/>
          <w:sz w:val="28"/>
          <w:szCs w:val="28"/>
        </w:rPr>
        <w:t>准确</w:t>
      </w:r>
      <w:r>
        <w:rPr>
          <w:rFonts w:hint="eastAsia" w:ascii="仿宋_GB2312" w:eastAsia="仿宋_GB2312" w:cs="宋体"/>
          <w:bCs/>
          <w:snapToGrid w:val="0"/>
          <w:kern w:val="0"/>
          <w:sz w:val="28"/>
          <w:szCs w:val="28"/>
        </w:rPr>
        <w:t>。</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2.资产管理</w:t>
      </w:r>
    </w:p>
    <w:p>
      <w:pPr>
        <w:spacing w:line="360" w:lineRule="auto"/>
        <w:ind w:firstLine="560" w:firstLineChars="200"/>
        <w:rPr>
          <w:rFonts w:ascii="仿宋_GB2312" w:eastAsia="仿宋_GB2312" w:cs="宋体"/>
          <w:bCs/>
          <w:snapToGrid w:val="0"/>
          <w:kern w:val="0"/>
          <w:sz w:val="28"/>
          <w:szCs w:val="28"/>
        </w:rPr>
      </w:pPr>
      <w:r>
        <w:rPr>
          <w:rFonts w:ascii="仿宋_GB2312" w:eastAsia="仿宋_GB2312" w:cs="宋体"/>
          <w:bCs/>
          <w:snapToGrid w:val="0"/>
          <w:kern w:val="0"/>
          <w:sz w:val="28"/>
          <w:szCs w:val="28"/>
        </w:rPr>
        <w:t>本单位</w:t>
      </w:r>
      <w:r>
        <w:rPr>
          <w:rFonts w:hint="eastAsia" w:ascii="仿宋_GB2312" w:eastAsia="仿宋_GB2312" w:cs="宋体"/>
          <w:bCs/>
          <w:snapToGrid w:val="0"/>
          <w:kern w:val="0"/>
          <w:sz w:val="28"/>
          <w:szCs w:val="28"/>
        </w:rPr>
        <w:t>依然</w:t>
      </w:r>
      <w:r>
        <w:rPr>
          <w:rFonts w:ascii="仿宋_GB2312" w:eastAsia="仿宋_GB2312" w:cs="宋体"/>
          <w:bCs/>
          <w:snapToGrid w:val="0"/>
          <w:kern w:val="0"/>
          <w:sz w:val="28"/>
          <w:szCs w:val="28"/>
        </w:rPr>
        <w:t>高度重视资产管理工作</w:t>
      </w:r>
      <w:r>
        <w:rPr>
          <w:rFonts w:hint="eastAsia" w:ascii="仿宋_GB2312" w:eastAsia="仿宋_GB2312" w:cs="宋体"/>
          <w:bCs/>
          <w:snapToGrid w:val="0"/>
          <w:kern w:val="0"/>
          <w:sz w:val="28"/>
          <w:szCs w:val="28"/>
        </w:rPr>
        <w:t>，依据区</w:t>
      </w:r>
      <w:r>
        <w:rPr>
          <w:rFonts w:ascii="仿宋_GB2312" w:eastAsia="仿宋_GB2312" w:cs="宋体"/>
          <w:bCs/>
          <w:snapToGrid w:val="0"/>
          <w:kern w:val="0"/>
          <w:sz w:val="28"/>
          <w:szCs w:val="28"/>
        </w:rPr>
        <w:t>司法局相关规定</w:t>
      </w:r>
      <w:r>
        <w:rPr>
          <w:rFonts w:hint="eastAsia" w:ascii="仿宋_GB2312" w:eastAsia="仿宋_GB2312" w:cs="宋体"/>
          <w:bCs/>
          <w:snapToGrid w:val="0"/>
          <w:kern w:val="0"/>
          <w:sz w:val="28"/>
          <w:szCs w:val="28"/>
        </w:rPr>
        <w:t>结合</w:t>
      </w:r>
      <w:r>
        <w:rPr>
          <w:rFonts w:ascii="仿宋_GB2312" w:eastAsia="仿宋_GB2312" w:cs="宋体"/>
          <w:bCs/>
          <w:snapToGrid w:val="0"/>
          <w:kern w:val="0"/>
          <w:sz w:val="28"/>
          <w:szCs w:val="28"/>
        </w:rPr>
        <w:t>实际，制定了</w:t>
      </w:r>
      <w:r>
        <w:rPr>
          <w:rFonts w:hint="eastAsia" w:ascii="仿宋_GB2312" w:eastAsia="仿宋_GB2312" w:cs="宋体"/>
          <w:bCs/>
          <w:snapToGrid w:val="0"/>
          <w:kern w:val="0"/>
          <w:sz w:val="28"/>
          <w:szCs w:val="28"/>
        </w:rPr>
        <w:t>资产管理制度</w:t>
      </w:r>
      <w:r>
        <w:rPr>
          <w:rFonts w:ascii="仿宋_GB2312" w:eastAsia="仿宋_GB2312" w:cs="宋体"/>
          <w:bCs/>
          <w:snapToGrid w:val="0"/>
          <w:kern w:val="0"/>
          <w:sz w:val="28"/>
          <w:szCs w:val="28"/>
        </w:rPr>
        <w:t>，并严格落实</w:t>
      </w:r>
      <w:r>
        <w:rPr>
          <w:rFonts w:hint="eastAsia" w:ascii="仿宋_GB2312" w:eastAsia="仿宋_GB2312" w:cs="宋体"/>
          <w:bCs/>
          <w:snapToGrid w:val="0"/>
          <w:kern w:val="0"/>
          <w:sz w:val="28"/>
          <w:szCs w:val="28"/>
        </w:rPr>
        <w:t>，做到资产配置</w:t>
      </w:r>
      <w:r>
        <w:rPr>
          <w:rFonts w:ascii="仿宋_GB2312" w:eastAsia="仿宋_GB2312" w:cs="宋体"/>
          <w:bCs/>
          <w:snapToGrid w:val="0"/>
          <w:kern w:val="0"/>
          <w:sz w:val="28"/>
          <w:szCs w:val="28"/>
        </w:rPr>
        <w:t>、使用合理</w:t>
      </w:r>
      <w:r>
        <w:rPr>
          <w:rFonts w:hint="eastAsia" w:ascii="仿宋_GB2312" w:eastAsia="仿宋_GB2312" w:cs="宋体"/>
          <w:bCs/>
          <w:snapToGrid w:val="0"/>
          <w:kern w:val="0"/>
          <w:sz w:val="28"/>
          <w:szCs w:val="28"/>
        </w:rPr>
        <w:t>，管理</w:t>
      </w:r>
      <w:r>
        <w:rPr>
          <w:rFonts w:ascii="仿宋_GB2312" w:eastAsia="仿宋_GB2312" w:cs="宋体"/>
          <w:bCs/>
          <w:snapToGrid w:val="0"/>
          <w:kern w:val="0"/>
          <w:sz w:val="28"/>
          <w:szCs w:val="28"/>
        </w:rPr>
        <w:t>有序。</w:t>
      </w:r>
      <w:r>
        <w:rPr>
          <w:rFonts w:hint="eastAsia" w:ascii="仿宋_GB2312" w:eastAsia="仿宋_GB2312" w:cs="宋体"/>
          <w:bCs/>
          <w:snapToGrid w:val="0"/>
          <w:kern w:val="0"/>
          <w:sz w:val="28"/>
          <w:szCs w:val="28"/>
        </w:rPr>
        <w:t>2</w:t>
      </w:r>
      <w:r>
        <w:rPr>
          <w:rFonts w:ascii="仿宋_GB2312" w:eastAsia="仿宋_GB2312" w:cs="宋体"/>
          <w:bCs/>
          <w:snapToGrid w:val="0"/>
          <w:kern w:val="0"/>
          <w:sz w:val="28"/>
          <w:szCs w:val="28"/>
        </w:rPr>
        <w:t>023</w:t>
      </w:r>
      <w:r>
        <w:rPr>
          <w:rFonts w:hint="eastAsia" w:ascii="仿宋_GB2312" w:eastAsia="仿宋_GB2312" w:cs="宋体"/>
          <w:bCs/>
          <w:snapToGrid w:val="0"/>
          <w:kern w:val="0"/>
          <w:sz w:val="28"/>
          <w:szCs w:val="28"/>
        </w:rPr>
        <w:t>年度</w:t>
      </w:r>
      <w:r>
        <w:rPr>
          <w:rFonts w:ascii="仿宋_GB2312" w:eastAsia="仿宋_GB2312" w:cs="宋体"/>
          <w:bCs/>
          <w:snapToGrid w:val="0"/>
          <w:kern w:val="0"/>
          <w:sz w:val="28"/>
          <w:szCs w:val="28"/>
        </w:rPr>
        <w:t>，本单位资产</w:t>
      </w:r>
      <w:r>
        <w:rPr>
          <w:rFonts w:hint="eastAsia" w:ascii="仿宋_GB2312" w:eastAsia="仿宋_GB2312" w:cs="宋体"/>
          <w:bCs/>
          <w:snapToGrid w:val="0"/>
          <w:kern w:val="0"/>
          <w:sz w:val="28"/>
          <w:szCs w:val="28"/>
        </w:rPr>
        <w:t>无处置</w:t>
      </w:r>
      <w:r>
        <w:rPr>
          <w:rFonts w:ascii="仿宋_GB2312" w:eastAsia="仿宋_GB2312" w:cs="宋体"/>
          <w:bCs/>
          <w:snapToGrid w:val="0"/>
          <w:kern w:val="0"/>
          <w:sz w:val="28"/>
          <w:szCs w:val="28"/>
        </w:rPr>
        <w:t>、收益</w:t>
      </w:r>
      <w:r>
        <w:rPr>
          <w:rFonts w:hint="eastAsia" w:ascii="仿宋_GB2312" w:eastAsia="仿宋_GB2312" w:cs="宋体"/>
          <w:bCs/>
          <w:snapToGrid w:val="0"/>
          <w:kern w:val="0"/>
          <w:sz w:val="28"/>
          <w:szCs w:val="28"/>
        </w:rPr>
        <w:t>等</w:t>
      </w:r>
      <w:r>
        <w:rPr>
          <w:rFonts w:ascii="仿宋_GB2312" w:eastAsia="仿宋_GB2312" w:cs="宋体"/>
          <w:bCs/>
          <w:snapToGrid w:val="0"/>
          <w:kern w:val="0"/>
          <w:sz w:val="28"/>
          <w:szCs w:val="28"/>
        </w:rPr>
        <w:t>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3.绩效管理</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在部门预算编制中，按照项目轻重缓急和成熟度安排预算，从严从紧安排各项支出，非刚性非重点支出做到应压尽压、可压尽压，大力压减一般性支出，全面实施预算绩效管理。</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4.结转结余率</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本年度</w:t>
      </w:r>
      <w:r>
        <w:rPr>
          <w:rFonts w:ascii="仿宋_GB2312" w:eastAsia="仿宋_GB2312" w:cs="宋体"/>
          <w:bCs/>
          <w:snapToGrid w:val="0"/>
          <w:kern w:val="0"/>
          <w:sz w:val="28"/>
          <w:szCs w:val="28"/>
        </w:rPr>
        <w:t>无</w:t>
      </w:r>
      <w:r>
        <w:rPr>
          <w:rFonts w:hint="eastAsia" w:ascii="仿宋_GB2312" w:eastAsia="仿宋_GB2312" w:cs="宋体"/>
          <w:bCs/>
          <w:snapToGrid w:val="0"/>
          <w:kern w:val="0"/>
          <w:sz w:val="28"/>
          <w:szCs w:val="28"/>
        </w:rPr>
        <w:t>结转</w:t>
      </w:r>
      <w:r>
        <w:rPr>
          <w:rFonts w:ascii="仿宋_GB2312" w:eastAsia="仿宋_GB2312" w:cs="宋体"/>
          <w:bCs/>
          <w:snapToGrid w:val="0"/>
          <w:kern w:val="0"/>
          <w:sz w:val="28"/>
          <w:szCs w:val="28"/>
        </w:rPr>
        <w:t>结余情况。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5.部门预决算差异率</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2023年部门预决算差异率-5.7</w:t>
      </w:r>
      <w:r>
        <w:rPr>
          <w:rFonts w:ascii="仿宋_GB2312" w:eastAsia="仿宋_GB2312" w:cs="宋体"/>
          <w:bCs/>
          <w:snapToGrid w:val="0"/>
          <w:kern w:val="0"/>
          <w:sz w:val="28"/>
          <w:szCs w:val="28"/>
        </w:rPr>
        <w:t>%。</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（五）总体评价结论</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1.评价得分情况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总体评价为100分</w:t>
      </w:r>
      <w:r>
        <w:rPr>
          <w:rFonts w:ascii="仿宋_GB2312" w:eastAsia="仿宋_GB2312" w:cs="宋体"/>
          <w:bCs/>
          <w:snapToGrid w:val="0"/>
          <w:kern w:val="0"/>
          <w:sz w:val="28"/>
          <w:szCs w:val="28"/>
        </w:rPr>
        <w:t>。</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2.存在的问题及原因分析</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无</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（六）措施建议</w:t>
      </w:r>
    </w:p>
    <w:p>
      <w:pPr>
        <w:ind w:firstLine="560" w:firstLineChars="200"/>
        <w:outlineLvl w:val="1"/>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严格执行相关政策，进一步提高预算编制质量，确保预算编制科学合理，严格执行预算，遵循</w:t>
      </w:r>
      <w:r>
        <w:rPr>
          <w:rFonts w:ascii="仿宋_GB2312" w:eastAsia="仿宋_GB2312" w:cs="宋体"/>
          <w:bCs/>
          <w:snapToGrid w:val="0"/>
          <w:kern w:val="0"/>
          <w:sz w:val="28"/>
          <w:szCs w:val="28"/>
        </w:rPr>
        <w:t>财务管理制度，</w:t>
      </w:r>
      <w:r>
        <w:rPr>
          <w:rFonts w:hint="eastAsia" w:ascii="仿宋_GB2312" w:eastAsia="仿宋_GB2312" w:cs="宋体"/>
          <w:bCs/>
          <w:snapToGrid w:val="0"/>
          <w:kern w:val="0"/>
          <w:sz w:val="28"/>
          <w:szCs w:val="28"/>
        </w:rPr>
        <w:t>按照</w:t>
      </w:r>
      <w:r>
        <w:rPr>
          <w:rFonts w:ascii="仿宋_GB2312" w:eastAsia="仿宋_GB2312" w:cs="宋体"/>
          <w:bCs/>
          <w:snapToGrid w:val="0"/>
          <w:kern w:val="0"/>
          <w:sz w:val="28"/>
          <w:szCs w:val="28"/>
        </w:rPr>
        <w:t>年度预算</w:t>
      </w:r>
      <w:r>
        <w:rPr>
          <w:rFonts w:hint="eastAsia" w:ascii="仿宋_GB2312" w:eastAsia="仿宋_GB2312" w:cs="宋体"/>
          <w:bCs/>
          <w:snapToGrid w:val="0"/>
          <w:kern w:val="0"/>
          <w:sz w:val="28"/>
          <w:szCs w:val="28"/>
        </w:rPr>
        <w:t>支出，保障单位日常运转。在社会治安综合治理中，</w:t>
      </w:r>
      <w:r>
        <w:rPr>
          <w:rFonts w:hint="eastAsia" w:ascii="仿宋_GB2312" w:hAnsi="仿宋" w:eastAsia="仿宋_GB2312"/>
          <w:sz w:val="28"/>
          <w:szCs w:val="28"/>
        </w:rPr>
        <w:t>强化责任落实，严格</w:t>
      </w:r>
      <w:r>
        <w:rPr>
          <w:rFonts w:ascii="仿宋_GB2312" w:hAnsi="仿宋" w:eastAsia="仿宋_GB2312"/>
          <w:sz w:val="28"/>
          <w:szCs w:val="28"/>
        </w:rPr>
        <w:t>按照社区矫正相关法律法规开展矫正教育工作</w:t>
      </w:r>
      <w:r>
        <w:rPr>
          <w:rFonts w:hint="eastAsia" w:ascii="仿宋_GB2312" w:hAnsi="仿宋" w:eastAsia="仿宋_GB2312"/>
          <w:sz w:val="28"/>
          <w:szCs w:val="28"/>
        </w:rPr>
        <w:t>，</w:t>
      </w:r>
      <w:r>
        <w:rPr>
          <w:rFonts w:hint="eastAsia" w:ascii="仿宋_GB2312" w:eastAsia="仿宋_GB2312" w:cs="宋体"/>
          <w:bCs/>
          <w:snapToGrid w:val="0"/>
          <w:kern w:val="0"/>
          <w:sz w:val="28"/>
          <w:szCs w:val="28"/>
        </w:rPr>
        <w:t>预防和减少重新违法犯罪，确保社区矫正工作取得实效，以维护地区和谐稳定。</w:t>
      </w:r>
    </w:p>
    <w:p>
      <w:pPr>
        <w:rPr>
          <w:rFonts w:ascii="黑体" w:hAnsi="黑体" w:eastAsia="黑体" w:cs="黑体"/>
          <w:sz w:val="32"/>
          <w:szCs w:val="32"/>
        </w:rPr>
      </w:pPr>
    </w:p>
    <w:p>
      <w:pPr>
        <w:ind w:firstLine="560" w:firstLineChars="200"/>
        <w:outlineLvl w:val="1"/>
        <w:rPr>
          <w:rFonts w:ascii="宋体" w:hAnsi="宋体" w:cs="宋体"/>
          <w:b/>
          <w:sz w:val="28"/>
          <w:szCs w:val="28"/>
        </w:rPr>
      </w:pPr>
      <w:bookmarkStart w:id="21" w:name="_Toc2965"/>
      <w:r>
        <w:rPr>
          <w:rFonts w:hint="eastAsia" w:ascii="宋体" w:hAnsi="宋体" w:cs="宋体"/>
          <w:b/>
          <w:sz w:val="28"/>
          <w:szCs w:val="28"/>
        </w:rPr>
        <w:t>三、</w:t>
      </w:r>
      <w:r>
        <w:rPr>
          <w:rFonts w:hint="eastAsia" w:ascii="宋体" w:hAnsi="宋体" w:cs="宋体"/>
          <w:b/>
          <w:bCs/>
          <w:sz w:val="28"/>
          <w:szCs w:val="28"/>
        </w:rPr>
        <w:t>西城区社区</w:t>
      </w:r>
      <w:r>
        <w:rPr>
          <w:rFonts w:ascii="宋体" w:hAnsi="宋体" w:cs="宋体"/>
          <w:b/>
          <w:bCs/>
          <w:sz w:val="28"/>
          <w:szCs w:val="28"/>
        </w:rPr>
        <w:t>矫正中心工作经费</w:t>
      </w:r>
      <w:r>
        <w:rPr>
          <w:rFonts w:hint="eastAsia" w:ascii="宋体" w:hAnsi="宋体" w:cs="宋体"/>
          <w:b/>
          <w:sz w:val="28"/>
          <w:szCs w:val="28"/>
        </w:rPr>
        <w:t>项目绩效评价报告</w:t>
      </w:r>
      <w:bookmarkEnd w:id="21"/>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(一)基本情况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1、项目概况。包括项目背景、主要内容及实施情况、资金投入和使用情况等。</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该</w:t>
      </w:r>
      <w:r>
        <w:rPr>
          <w:rFonts w:ascii="仿宋_GB2312" w:eastAsia="仿宋_GB2312" w:cs="宋体"/>
          <w:bCs/>
          <w:snapToGrid w:val="0"/>
          <w:kern w:val="0"/>
          <w:sz w:val="28"/>
          <w:szCs w:val="28"/>
        </w:rPr>
        <w:t>项目经费</w:t>
      </w:r>
      <w:r>
        <w:rPr>
          <w:rFonts w:hint="eastAsia" w:ascii="仿宋_GB2312" w:eastAsia="仿宋_GB2312" w:cs="宋体"/>
          <w:bCs/>
          <w:snapToGrid w:val="0"/>
          <w:kern w:val="0"/>
          <w:sz w:val="28"/>
          <w:szCs w:val="28"/>
        </w:rPr>
        <w:t>旨在社会治安综合治理中，达到以下社会效益：严格按照《</w:t>
      </w:r>
      <w:r>
        <w:rPr>
          <w:rFonts w:hint="eastAsia" w:ascii="仿宋_GB2312" w:eastAsia="仿宋_GB2312" w:cs="宋体"/>
          <w:bCs/>
          <w:snapToGrid w:val="0"/>
          <w:kern w:val="0"/>
          <w:sz w:val="28"/>
          <w:szCs w:val="28"/>
          <w:lang w:eastAsia="zh-CN"/>
        </w:rPr>
        <w:t>中华</w:t>
      </w:r>
      <w:r>
        <w:rPr>
          <w:rFonts w:hint="eastAsia" w:ascii="仿宋_GB2312" w:eastAsia="仿宋_GB2312" w:cs="宋体"/>
          <w:bCs/>
          <w:snapToGrid w:val="0"/>
          <w:kern w:val="0"/>
          <w:sz w:val="28"/>
          <w:szCs w:val="28"/>
        </w:rPr>
        <w:t>人民共和国社区矫正法》、《</w:t>
      </w:r>
      <w:r>
        <w:rPr>
          <w:rFonts w:hint="eastAsia" w:ascii="仿宋_GB2312" w:eastAsia="仿宋_GB2312" w:cs="宋体"/>
          <w:bCs/>
          <w:snapToGrid w:val="0"/>
          <w:kern w:val="0"/>
          <w:sz w:val="28"/>
          <w:szCs w:val="28"/>
          <w:lang w:eastAsia="zh-CN"/>
        </w:rPr>
        <w:t>中华</w:t>
      </w:r>
      <w:r>
        <w:rPr>
          <w:rFonts w:hint="eastAsia" w:ascii="仿宋_GB2312" w:eastAsia="仿宋_GB2312" w:cs="宋体"/>
          <w:bCs/>
          <w:snapToGrid w:val="0"/>
          <w:kern w:val="0"/>
          <w:sz w:val="28"/>
          <w:szCs w:val="28"/>
        </w:rPr>
        <w:t>人民共和国社区矫正实施办法》、《北京市社区矫正实施细则》以及《北京市区县社区矫正中心管理办法（试行）》的相关要求，区社区矫正中心需集中组织辖区内列管社区矫正对象进行入矫教育、专项教育、分类教育、解矫教育以及公益活动；为有需求的社区矫正对象提供社会适应指导、心理咨询和心理辅导，帮助他们克服困难、提高适应社会能力，预防和减少重新违法犯罪，确保社区矫正工作取得实效，以维护地区和谐稳定。</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根据</w:t>
      </w:r>
      <w:r>
        <w:rPr>
          <w:rFonts w:ascii="仿宋_GB2312" w:eastAsia="仿宋_GB2312" w:cs="宋体"/>
          <w:bCs/>
          <w:snapToGrid w:val="0"/>
          <w:kern w:val="0"/>
          <w:sz w:val="28"/>
          <w:szCs w:val="28"/>
        </w:rPr>
        <w:t>财政部</w:t>
      </w:r>
      <w:r>
        <w:rPr>
          <w:rFonts w:hint="eastAsia" w:ascii="仿宋_GB2312" w:eastAsia="仿宋_GB2312" w:cs="宋体"/>
          <w:bCs/>
          <w:snapToGrid w:val="0"/>
          <w:kern w:val="0"/>
          <w:sz w:val="28"/>
          <w:szCs w:val="28"/>
        </w:rPr>
        <w:t>、司</w:t>
      </w:r>
      <w:r>
        <w:rPr>
          <w:rFonts w:ascii="仿宋_GB2312" w:eastAsia="仿宋_GB2312" w:cs="宋体"/>
          <w:bCs/>
          <w:snapToGrid w:val="0"/>
          <w:kern w:val="0"/>
          <w:sz w:val="28"/>
          <w:szCs w:val="28"/>
        </w:rPr>
        <w:t>法部</w:t>
      </w:r>
      <w:r>
        <w:rPr>
          <w:rFonts w:hint="eastAsia" w:ascii="仿宋_GB2312" w:eastAsia="仿宋_GB2312" w:cs="宋体"/>
          <w:bCs/>
          <w:snapToGrid w:val="0"/>
          <w:kern w:val="0"/>
          <w:sz w:val="28"/>
          <w:szCs w:val="28"/>
        </w:rPr>
        <w:t>联合下发《关于</w:t>
      </w:r>
      <w:r>
        <w:rPr>
          <w:rFonts w:ascii="仿宋_GB2312" w:eastAsia="仿宋_GB2312" w:cs="宋体"/>
          <w:bCs/>
          <w:snapToGrid w:val="0"/>
          <w:kern w:val="0"/>
          <w:sz w:val="28"/>
          <w:szCs w:val="28"/>
        </w:rPr>
        <w:t>进一步加强社区矫正经费保障工作的意见</w:t>
      </w:r>
      <w:r>
        <w:rPr>
          <w:rFonts w:hint="eastAsia" w:ascii="仿宋_GB2312" w:eastAsia="仿宋_GB2312" w:cs="宋体"/>
          <w:bCs/>
          <w:snapToGrid w:val="0"/>
          <w:kern w:val="0"/>
          <w:sz w:val="28"/>
          <w:szCs w:val="28"/>
        </w:rPr>
        <w:t>》（财行[2012]402号）和市财政局、市司法局《关于进一步加强社区矫正经费保障工作的意见》（京财公检法[2014]2865号）的规定，区社区矫正</w:t>
      </w:r>
      <w:r>
        <w:rPr>
          <w:rFonts w:ascii="仿宋_GB2312" w:eastAsia="仿宋_GB2312" w:cs="宋体"/>
          <w:bCs/>
          <w:snapToGrid w:val="0"/>
          <w:kern w:val="0"/>
          <w:sz w:val="28"/>
          <w:szCs w:val="28"/>
        </w:rPr>
        <w:t>中心</w:t>
      </w:r>
      <w:r>
        <w:rPr>
          <w:rFonts w:hint="eastAsia" w:ascii="仿宋_GB2312" w:eastAsia="仿宋_GB2312" w:cs="宋体"/>
          <w:bCs/>
          <w:snapToGrid w:val="0"/>
          <w:kern w:val="0"/>
          <w:sz w:val="28"/>
          <w:szCs w:val="28"/>
        </w:rPr>
        <w:t>在承担社区矫正对象各类集中教育、社会适应指导、心理矫正等教育管理工作中涉及的社</w:t>
      </w:r>
      <w:r>
        <w:rPr>
          <w:rFonts w:ascii="仿宋_GB2312" w:eastAsia="仿宋_GB2312" w:cs="宋体"/>
          <w:bCs/>
          <w:snapToGrid w:val="0"/>
          <w:kern w:val="0"/>
          <w:sz w:val="28"/>
          <w:szCs w:val="28"/>
        </w:rPr>
        <w:t>区矫正经费开支</w:t>
      </w:r>
      <w:r>
        <w:rPr>
          <w:rFonts w:hint="eastAsia" w:ascii="仿宋_GB2312" w:eastAsia="仿宋_GB2312" w:cs="宋体"/>
          <w:bCs/>
          <w:snapToGrid w:val="0"/>
          <w:kern w:val="0"/>
          <w:sz w:val="28"/>
          <w:szCs w:val="28"/>
        </w:rPr>
        <w:t>包括：社区矫正</w:t>
      </w:r>
      <w:r>
        <w:rPr>
          <w:rFonts w:ascii="仿宋_GB2312" w:eastAsia="仿宋_GB2312" w:cs="宋体"/>
          <w:bCs/>
          <w:snapToGrid w:val="0"/>
          <w:kern w:val="0"/>
          <w:sz w:val="28"/>
          <w:szCs w:val="28"/>
        </w:rPr>
        <w:t>工作指导管理费</w:t>
      </w:r>
      <w:r>
        <w:rPr>
          <w:rFonts w:hint="eastAsia" w:ascii="仿宋_GB2312" w:eastAsia="仿宋_GB2312" w:cs="宋体"/>
          <w:bCs/>
          <w:snapToGrid w:val="0"/>
          <w:kern w:val="0"/>
          <w:sz w:val="28"/>
          <w:szCs w:val="28"/>
        </w:rPr>
        <w:t>、社</w:t>
      </w:r>
      <w:r>
        <w:rPr>
          <w:rFonts w:ascii="仿宋_GB2312" w:eastAsia="仿宋_GB2312" w:cs="宋体"/>
          <w:bCs/>
          <w:snapToGrid w:val="0"/>
          <w:kern w:val="0"/>
          <w:sz w:val="28"/>
          <w:szCs w:val="28"/>
        </w:rPr>
        <w:t>区矫正工作经费</w:t>
      </w:r>
      <w:r>
        <w:rPr>
          <w:rFonts w:hint="eastAsia" w:ascii="仿宋_GB2312" w:eastAsia="仿宋_GB2312" w:cs="宋体"/>
          <w:bCs/>
          <w:snapToGrid w:val="0"/>
          <w:kern w:val="0"/>
          <w:sz w:val="28"/>
          <w:szCs w:val="28"/>
        </w:rPr>
        <w:t>、社区矫正设备费以及社区矫正工作辅助人员经费等。</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该项目年初预算</w:t>
      </w:r>
      <w:r>
        <w:rPr>
          <w:rFonts w:ascii="仿宋_GB2312" w:eastAsia="仿宋_GB2312" w:cs="宋体"/>
          <w:bCs/>
          <w:snapToGrid w:val="0"/>
          <w:kern w:val="0"/>
          <w:sz w:val="28"/>
          <w:szCs w:val="28"/>
        </w:rPr>
        <w:t>41</w:t>
      </w:r>
      <w:r>
        <w:rPr>
          <w:rFonts w:hint="eastAsia" w:ascii="仿宋_GB2312" w:eastAsia="仿宋_GB2312" w:cs="宋体"/>
          <w:bCs/>
          <w:snapToGrid w:val="0"/>
          <w:kern w:val="0"/>
          <w:sz w:val="28"/>
          <w:szCs w:val="28"/>
        </w:rPr>
        <w:t>.</w:t>
      </w:r>
      <w:r>
        <w:rPr>
          <w:rFonts w:ascii="仿宋_GB2312" w:eastAsia="仿宋_GB2312" w:cs="宋体"/>
          <w:bCs/>
          <w:snapToGrid w:val="0"/>
          <w:kern w:val="0"/>
          <w:sz w:val="28"/>
          <w:szCs w:val="28"/>
        </w:rPr>
        <w:t>75</w:t>
      </w:r>
      <w:r>
        <w:rPr>
          <w:rFonts w:hint="eastAsia" w:ascii="仿宋_GB2312" w:eastAsia="仿宋_GB2312" w:cs="宋体"/>
          <w:bCs/>
          <w:snapToGrid w:val="0"/>
          <w:kern w:val="0"/>
          <w:sz w:val="28"/>
          <w:szCs w:val="28"/>
        </w:rPr>
        <w:t>万</w:t>
      </w:r>
      <w:r>
        <w:rPr>
          <w:rFonts w:ascii="仿宋_GB2312" w:eastAsia="仿宋_GB2312" w:cs="宋体"/>
          <w:bCs/>
          <w:snapToGrid w:val="0"/>
          <w:kern w:val="0"/>
          <w:sz w:val="28"/>
          <w:szCs w:val="28"/>
        </w:rPr>
        <w:t>元,按</w:t>
      </w:r>
      <w:r>
        <w:rPr>
          <w:rFonts w:hint="eastAsia" w:ascii="仿宋_GB2312" w:eastAsia="仿宋_GB2312" w:cs="宋体"/>
          <w:bCs/>
          <w:snapToGrid w:val="0"/>
          <w:kern w:val="0"/>
          <w:sz w:val="28"/>
          <w:szCs w:val="28"/>
        </w:rPr>
        <w:t>区</w:t>
      </w:r>
      <w:r>
        <w:rPr>
          <w:rFonts w:ascii="仿宋_GB2312" w:eastAsia="仿宋_GB2312" w:cs="宋体"/>
          <w:bCs/>
          <w:snapToGrid w:val="0"/>
          <w:kern w:val="0"/>
          <w:sz w:val="28"/>
          <w:szCs w:val="28"/>
        </w:rPr>
        <w:t>财政要求</w:t>
      </w:r>
      <w:r>
        <w:rPr>
          <w:rFonts w:hint="eastAsia" w:ascii="仿宋_GB2312" w:eastAsia="仿宋_GB2312" w:cs="宋体"/>
          <w:bCs/>
          <w:snapToGrid w:val="0"/>
          <w:kern w:val="0"/>
          <w:sz w:val="28"/>
          <w:szCs w:val="28"/>
        </w:rPr>
        <w:t>调减经费</w:t>
      </w:r>
      <w:r>
        <w:rPr>
          <w:rFonts w:ascii="仿宋_GB2312" w:eastAsia="仿宋_GB2312" w:cs="宋体"/>
          <w:bCs/>
          <w:snapToGrid w:val="0"/>
          <w:kern w:val="0"/>
          <w:sz w:val="28"/>
          <w:szCs w:val="28"/>
        </w:rPr>
        <w:t>5</w:t>
      </w:r>
      <w:r>
        <w:rPr>
          <w:rFonts w:hint="eastAsia" w:ascii="仿宋_GB2312" w:eastAsia="仿宋_GB2312" w:cs="宋体"/>
          <w:bCs/>
          <w:snapToGrid w:val="0"/>
          <w:kern w:val="0"/>
          <w:sz w:val="28"/>
          <w:szCs w:val="28"/>
        </w:rPr>
        <w:t>万</w:t>
      </w:r>
      <w:r>
        <w:rPr>
          <w:rFonts w:ascii="仿宋_GB2312" w:eastAsia="仿宋_GB2312" w:cs="宋体"/>
          <w:bCs/>
          <w:snapToGrid w:val="0"/>
          <w:kern w:val="0"/>
          <w:sz w:val="28"/>
          <w:szCs w:val="28"/>
        </w:rPr>
        <w:t>元</w:t>
      </w:r>
      <w:r>
        <w:rPr>
          <w:rFonts w:hint="eastAsia" w:ascii="仿宋_GB2312" w:eastAsia="仿宋_GB2312" w:cs="宋体"/>
          <w:bCs/>
          <w:snapToGrid w:val="0"/>
          <w:kern w:val="0"/>
          <w:sz w:val="28"/>
          <w:szCs w:val="28"/>
        </w:rPr>
        <w:t>,调减</w:t>
      </w:r>
      <w:r>
        <w:rPr>
          <w:rFonts w:ascii="仿宋_GB2312" w:eastAsia="仿宋_GB2312" w:cs="宋体"/>
          <w:bCs/>
          <w:snapToGrid w:val="0"/>
          <w:kern w:val="0"/>
          <w:sz w:val="28"/>
          <w:szCs w:val="28"/>
        </w:rPr>
        <w:t>后预算数</w:t>
      </w:r>
      <w:r>
        <w:rPr>
          <w:rFonts w:hint="eastAsia" w:ascii="仿宋_GB2312" w:eastAsia="仿宋_GB2312" w:cs="宋体"/>
          <w:bCs/>
          <w:snapToGrid w:val="0"/>
          <w:kern w:val="0"/>
          <w:sz w:val="28"/>
          <w:szCs w:val="28"/>
        </w:rPr>
        <w:t>36.75万元</w:t>
      </w:r>
      <w:r>
        <w:rPr>
          <w:rFonts w:ascii="仿宋_GB2312" w:eastAsia="仿宋_GB2312" w:cs="宋体"/>
          <w:bCs/>
          <w:snapToGrid w:val="0"/>
          <w:kern w:val="0"/>
          <w:sz w:val="28"/>
          <w:szCs w:val="28"/>
        </w:rPr>
        <w:t>，</w:t>
      </w:r>
      <w:r>
        <w:rPr>
          <w:rFonts w:hint="eastAsia" w:ascii="仿宋_GB2312" w:eastAsia="仿宋_GB2312" w:cs="宋体"/>
          <w:bCs/>
          <w:snapToGrid w:val="0"/>
          <w:kern w:val="0"/>
          <w:sz w:val="28"/>
          <w:szCs w:val="28"/>
        </w:rPr>
        <w:t>支出</w:t>
      </w:r>
      <w:r>
        <w:rPr>
          <w:rFonts w:ascii="仿宋_GB2312" w:eastAsia="仿宋_GB2312" w:cs="宋体"/>
          <w:bCs/>
          <w:snapToGrid w:val="0"/>
          <w:kern w:val="0"/>
          <w:sz w:val="28"/>
          <w:szCs w:val="28"/>
        </w:rPr>
        <w:t>34.48</w:t>
      </w:r>
      <w:r>
        <w:rPr>
          <w:rFonts w:hint="eastAsia" w:ascii="仿宋_GB2312" w:eastAsia="仿宋_GB2312" w:cs="宋体"/>
          <w:bCs/>
          <w:snapToGrid w:val="0"/>
          <w:kern w:val="0"/>
          <w:sz w:val="28"/>
          <w:szCs w:val="28"/>
        </w:rPr>
        <w:t>万元，预算</w:t>
      </w:r>
      <w:r>
        <w:rPr>
          <w:rFonts w:ascii="仿宋_GB2312" w:eastAsia="仿宋_GB2312" w:cs="宋体"/>
          <w:bCs/>
          <w:snapToGrid w:val="0"/>
          <w:kern w:val="0"/>
          <w:sz w:val="28"/>
          <w:szCs w:val="28"/>
        </w:rPr>
        <w:t>完成率</w:t>
      </w:r>
      <w:r>
        <w:rPr>
          <w:rFonts w:hint="eastAsia" w:ascii="仿宋_GB2312" w:eastAsia="仿宋_GB2312" w:cs="宋体"/>
          <w:bCs/>
          <w:snapToGrid w:val="0"/>
          <w:kern w:val="0"/>
          <w:sz w:val="28"/>
          <w:szCs w:val="28"/>
        </w:rPr>
        <w:t>93.81%。</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2、项目绩效目标。包括总体目标和阶段性目标。</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总体</w:t>
      </w:r>
      <w:r>
        <w:rPr>
          <w:rFonts w:ascii="仿宋_GB2312" w:eastAsia="仿宋_GB2312" w:cs="宋体"/>
          <w:bCs/>
          <w:snapToGrid w:val="0"/>
          <w:kern w:val="0"/>
          <w:sz w:val="28"/>
          <w:szCs w:val="28"/>
        </w:rPr>
        <w:t>目标：</w:t>
      </w:r>
      <w:r>
        <w:rPr>
          <w:rFonts w:hint="eastAsia" w:ascii="仿宋_GB2312" w:eastAsia="仿宋_GB2312" w:cs="宋体"/>
          <w:bCs/>
          <w:snapToGrid w:val="0"/>
          <w:kern w:val="0"/>
          <w:sz w:val="28"/>
          <w:szCs w:val="28"/>
        </w:rPr>
        <w:t>组织辖区内</w:t>
      </w:r>
      <w:r>
        <w:rPr>
          <w:rFonts w:ascii="仿宋_GB2312" w:eastAsia="仿宋_GB2312" w:cs="宋体"/>
          <w:bCs/>
          <w:snapToGrid w:val="0"/>
          <w:kern w:val="0"/>
          <w:sz w:val="28"/>
          <w:szCs w:val="28"/>
        </w:rPr>
        <w:t>列管</w:t>
      </w:r>
      <w:r>
        <w:rPr>
          <w:rFonts w:hint="eastAsia" w:ascii="仿宋_GB2312" w:eastAsia="仿宋_GB2312" w:cs="宋体"/>
          <w:bCs/>
          <w:snapToGrid w:val="0"/>
          <w:kern w:val="0"/>
          <w:sz w:val="28"/>
          <w:szCs w:val="28"/>
        </w:rPr>
        <w:t>社区矫正对象进行入矫教育、专项</w:t>
      </w:r>
      <w:r>
        <w:rPr>
          <w:rFonts w:ascii="仿宋_GB2312" w:eastAsia="仿宋_GB2312" w:cs="宋体"/>
          <w:bCs/>
          <w:snapToGrid w:val="0"/>
          <w:kern w:val="0"/>
          <w:sz w:val="28"/>
          <w:szCs w:val="28"/>
        </w:rPr>
        <w:t>教育、</w:t>
      </w:r>
      <w:r>
        <w:rPr>
          <w:rFonts w:hint="eastAsia" w:ascii="仿宋_GB2312" w:eastAsia="仿宋_GB2312" w:cs="宋体"/>
          <w:bCs/>
          <w:snapToGrid w:val="0"/>
          <w:kern w:val="0"/>
          <w:sz w:val="28"/>
          <w:szCs w:val="28"/>
        </w:rPr>
        <w:t>分类教育、解矫教育以及公益活动；为有需求的社区矫正对象提供社会适应指导、心理咨询和心理辅导，帮助他们克服困难、提高适应社会能力，预防和减少重新违法犯罪，确保社区矫正工作取得实效，以维护地区和谐稳定。目标1</w:t>
      </w:r>
      <w:r>
        <w:rPr>
          <w:rFonts w:ascii="仿宋_GB2312" w:eastAsia="仿宋_GB2312" w:cs="宋体"/>
          <w:bCs/>
          <w:snapToGrid w:val="0"/>
          <w:kern w:val="0"/>
          <w:sz w:val="28"/>
          <w:szCs w:val="28"/>
        </w:rPr>
        <w:t>00</w:t>
      </w:r>
      <w:r>
        <w:rPr>
          <w:rFonts w:hint="eastAsia" w:ascii="仿宋_GB2312" w:eastAsia="仿宋_GB2312" w:cs="宋体"/>
          <w:bCs/>
          <w:snapToGrid w:val="0"/>
          <w:kern w:val="0"/>
          <w:sz w:val="28"/>
          <w:szCs w:val="28"/>
        </w:rPr>
        <w:t>人/年。</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阶段性目标</w:t>
      </w:r>
      <w:r>
        <w:rPr>
          <w:rFonts w:ascii="仿宋_GB2312" w:eastAsia="仿宋_GB2312" w:cs="宋体"/>
          <w:bCs/>
          <w:snapToGrid w:val="0"/>
          <w:kern w:val="0"/>
          <w:sz w:val="28"/>
          <w:szCs w:val="28"/>
        </w:rPr>
        <w:t>：</w:t>
      </w:r>
      <w:r>
        <w:rPr>
          <w:rFonts w:hint="eastAsia" w:ascii="仿宋_GB2312" w:eastAsia="仿宋_GB2312" w:cs="宋体"/>
          <w:bCs/>
          <w:snapToGrid w:val="0"/>
          <w:kern w:val="0"/>
          <w:sz w:val="28"/>
          <w:szCs w:val="28"/>
        </w:rPr>
        <w:t>平均每季度</w:t>
      </w:r>
      <w:r>
        <w:rPr>
          <w:rFonts w:ascii="仿宋_GB2312" w:eastAsia="仿宋_GB2312" w:cs="宋体"/>
          <w:bCs/>
          <w:snapToGrid w:val="0"/>
          <w:kern w:val="0"/>
          <w:sz w:val="28"/>
          <w:szCs w:val="28"/>
        </w:rPr>
        <w:t>完成各类教育</w:t>
      </w:r>
      <w:r>
        <w:rPr>
          <w:rFonts w:hint="eastAsia" w:ascii="仿宋_GB2312" w:eastAsia="仿宋_GB2312" w:cs="宋体"/>
          <w:bCs/>
          <w:snapToGrid w:val="0"/>
          <w:kern w:val="0"/>
          <w:sz w:val="28"/>
          <w:szCs w:val="28"/>
        </w:rPr>
        <w:t>辅导活动合计25人。</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（二）绩效评价工作开展情况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1、绩效评价目的、对象和范围。</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绩效评价的目的是为了加强财政资金管理，强化支出责任，提高财政资金使用效率。绩效评价的对象是纳入预算管理的财政预算资金。评价范围是202</w:t>
      </w:r>
      <w:r>
        <w:rPr>
          <w:rFonts w:ascii="仿宋_GB2312" w:eastAsia="仿宋_GB2312" w:cs="宋体"/>
          <w:bCs/>
          <w:snapToGrid w:val="0"/>
          <w:kern w:val="0"/>
          <w:sz w:val="28"/>
          <w:szCs w:val="28"/>
        </w:rPr>
        <w:t>3</w:t>
      </w:r>
      <w:r>
        <w:rPr>
          <w:rFonts w:hint="eastAsia" w:ascii="仿宋_GB2312" w:eastAsia="仿宋_GB2312" w:cs="宋体"/>
          <w:bCs/>
          <w:snapToGrid w:val="0"/>
          <w:kern w:val="0"/>
          <w:sz w:val="28"/>
          <w:szCs w:val="28"/>
        </w:rPr>
        <w:t>年预算安排的项目资金。</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2、绩效评价原则、评价指标体系（附表说明）、评价方法、评价标准等。</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绩效评价的原则遵循：1统一领导、分级负责；2.绩效导向、目标控制原则；3.科学规范原则；4.绩效指标相关原则。评价</w:t>
      </w:r>
      <w:r>
        <w:rPr>
          <w:rFonts w:ascii="仿宋_GB2312" w:eastAsia="仿宋_GB2312" w:cs="宋体"/>
          <w:bCs/>
          <w:snapToGrid w:val="0"/>
          <w:kern w:val="0"/>
          <w:sz w:val="28"/>
          <w:szCs w:val="28"/>
        </w:rPr>
        <w:t>指标体系为：</w:t>
      </w:r>
      <w:r>
        <w:rPr>
          <w:rFonts w:hint="eastAsia" w:ascii="仿宋_GB2312" w:eastAsia="仿宋_GB2312" w:cs="宋体"/>
          <w:bCs/>
          <w:snapToGrid w:val="0"/>
          <w:kern w:val="0"/>
          <w:sz w:val="28"/>
          <w:szCs w:val="28"/>
        </w:rPr>
        <w:t>一级指标包括产出指标、效益指标；二级指标质量指标、社会效益指标；三级指标对列管社区矫正对象进行入矫教育、专项教育、分类教育、解矫教育以及公益活动、社区矫正工作取得实效，以维护地区和谐稳定。评价方法采取单位自评，采用定量与定性分析相结合的方法。</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3、绩效评价工作过程。</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绩效评价工作根据职责分工，由财务人员提供年初项目指标体系目标、项目的执行情况，由主任及分管</w:t>
      </w:r>
      <w:r>
        <w:rPr>
          <w:rFonts w:ascii="仿宋_GB2312" w:eastAsia="仿宋_GB2312" w:cs="宋体"/>
          <w:bCs/>
          <w:snapToGrid w:val="0"/>
          <w:kern w:val="0"/>
          <w:sz w:val="28"/>
          <w:szCs w:val="28"/>
        </w:rPr>
        <w:t>财务副主任</w:t>
      </w:r>
      <w:r>
        <w:rPr>
          <w:rFonts w:hint="eastAsia" w:ascii="仿宋_GB2312" w:eastAsia="仿宋_GB2312" w:cs="宋体"/>
          <w:bCs/>
          <w:snapToGrid w:val="0"/>
          <w:kern w:val="0"/>
          <w:sz w:val="28"/>
          <w:szCs w:val="28"/>
        </w:rPr>
        <w:t>按照项目情况进行认真分析，最后得出评价结果。</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（三）综合评价情况及评价结论</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总分为100分，等级一般划分为4档：90（含）-100分为优、80（含）-90分为良、60（含）-80分为中、60分以下为差。</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综合评价结论为优。</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（四）绩效评价指标分析</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1、项目决策情况。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项目的申报经过主任、副主任研究决定，符合社区矫正工作的实际，为确保社区矫正工作取得实效，以维护地区和谐稳定提供保障。</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2、项目过程情况。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项目从申报到财政批复完成，我单位根据项目资金安排情况和项目的实施进度，合理使用项目资金，确保社区矫正工作顺利实施，同时加强项目执行过程的监督，确保项目资金使用合规。</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3、项目产出情况。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我单位开展</w:t>
      </w:r>
      <w:r>
        <w:rPr>
          <w:rFonts w:ascii="仿宋_GB2312" w:eastAsia="仿宋_GB2312" w:cs="宋体"/>
          <w:bCs/>
          <w:snapToGrid w:val="0"/>
          <w:kern w:val="0"/>
          <w:sz w:val="28"/>
          <w:szCs w:val="28"/>
        </w:rPr>
        <w:t>集中</w:t>
      </w:r>
      <w:r>
        <w:rPr>
          <w:rFonts w:hint="eastAsia" w:ascii="仿宋_GB2312" w:eastAsia="仿宋_GB2312" w:cs="宋体"/>
          <w:bCs/>
          <w:snapToGrid w:val="0"/>
          <w:kern w:val="0"/>
          <w:sz w:val="28"/>
          <w:szCs w:val="28"/>
        </w:rPr>
        <w:t>分类</w:t>
      </w:r>
      <w:r>
        <w:rPr>
          <w:rFonts w:ascii="仿宋_GB2312" w:eastAsia="仿宋_GB2312" w:cs="宋体"/>
          <w:bCs/>
          <w:snapToGrid w:val="0"/>
          <w:kern w:val="0"/>
          <w:sz w:val="28"/>
          <w:szCs w:val="28"/>
        </w:rPr>
        <w:t>教育</w:t>
      </w:r>
      <w:r>
        <w:rPr>
          <w:rFonts w:hint="eastAsia" w:ascii="仿宋_GB2312" w:eastAsia="仿宋_GB2312" w:cs="宋体"/>
          <w:bCs/>
          <w:snapToGrid w:val="0"/>
          <w:kern w:val="0"/>
          <w:sz w:val="28"/>
          <w:szCs w:val="28"/>
        </w:rPr>
        <w:t>210人次</w:t>
      </w:r>
      <w:r>
        <w:rPr>
          <w:rFonts w:ascii="仿宋_GB2312" w:eastAsia="仿宋_GB2312" w:cs="宋体"/>
          <w:bCs/>
          <w:snapToGrid w:val="0"/>
          <w:kern w:val="0"/>
          <w:sz w:val="28"/>
          <w:szCs w:val="28"/>
        </w:rPr>
        <w:t>，</w:t>
      </w:r>
      <w:r>
        <w:rPr>
          <w:rFonts w:hint="eastAsia" w:ascii="仿宋_GB2312" w:eastAsia="仿宋_GB2312" w:cs="宋体"/>
          <w:bCs/>
          <w:snapToGrid w:val="0"/>
          <w:kern w:val="0"/>
          <w:sz w:val="28"/>
          <w:szCs w:val="28"/>
        </w:rPr>
        <w:t>为163名新接收的社区矫正对象开展了心理测量，依托15个街道司法所，开展入矫教育164人次，解矫教育125人次。</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4、项目效益情况。</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在社会治安综合治理中，我单位严格按照《</w:t>
      </w:r>
      <w:r>
        <w:rPr>
          <w:rFonts w:hint="eastAsia" w:ascii="仿宋_GB2312" w:eastAsia="仿宋_GB2312" w:cs="宋体"/>
          <w:bCs/>
          <w:snapToGrid w:val="0"/>
          <w:kern w:val="0"/>
          <w:sz w:val="28"/>
          <w:szCs w:val="28"/>
          <w:lang w:eastAsia="zh-CN"/>
        </w:rPr>
        <w:t>中华</w:t>
      </w:r>
      <w:r>
        <w:rPr>
          <w:rFonts w:hint="eastAsia" w:ascii="仿宋_GB2312" w:eastAsia="仿宋_GB2312" w:cs="宋体"/>
          <w:bCs/>
          <w:snapToGrid w:val="0"/>
          <w:kern w:val="0"/>
          <w:sz w:val="28"/>
          <w:szCs w:val="28"/>
        </w:rPr>
        <w:t>人民共和国社区矫正法》、《中</w:t>
      </w:r>
      <w:r>
        <w:rPr>
          <w:rFonts w:hint="eastAsia" w:ascii="仿宋_GB2312" w:eastAsia="仿宋_GB2312" w:cs="宋体"/>
          <w:bCs/>
          <w:snapToGrid w:val="0"/>
          <w:kern w:val="0"/>
          <w:sz w:val="28"/>
          <w:szCs w:val="28"/>
          <w:lang w:eastAsia="zh-CN"/>
        </w:rPr>
        <w:t>华</w:t>
      </w:r>
      <w:bookmarkStart w:id="22" w:name="_GoBack"/>
      <w:bookmarkEnd w:id="22"/>
      <w:r>
        <w:rPr>
          <w:rFonts w:hint="eastAsia" w:ascii="仿宋_GB2312" w:eastAsia="仿宋_GB2312" w:cs="宋体"/>
          <w:bCs/>
          <w:snapToGrid w:val="0"/>
          <w:kern w:val="0"/>
          <w:sz w:val="28"/>
          <w:szCs w:val="28"/>
        </w:rPr>
        <w:t>人民共和国社区矫正实施办法》、《北京市社区矫正实施细则》以及《北京市区县阳光中途之家管理办法（试行）》的相关要求开展</w:t>
      </w:r>
      <w:r>
        <w:rPr>
          <w:rFonts w:ascii="仿宋_GB2312" w:eastAsia="仿宋_GB2312" w:cs="宋体"/>
          <w:bCs/>
          <w:snapToGrid w:val="0"/>
          <w:kern w:val="0"/>
          <w:sz w:val="28"/>
          <w:szCs w:val="28"/>
        </w:rPr>
        <w:t>社区矫正工作, 通过对社区矫正人员管理监督及</w:t>
      </w:r>
      <w:r>
        <w:rPr>
          <w:rFonts w:hint="eastAsia" w:ascii="仿宋_GB2312" w:eastAsia="仿宋_GB2312" w:cs="宋体"/>
          <w:bCs/>
          <w:snapToGrid w:val="0"/>
          <w:kern w:val="0"/>
          <w:sz w:val="28"/>
          <w:szCs w:val="28"/>
        </w:rPr>
        <w:t>法治</w:t>
      </w:r>
      <w:r>
        <w:rPr>
          <w:rFonts w:ascii="仿宋_GB2312" w:eastAsia="仿宋_GB2312" w:cs="宋体"/>
          <w:bCs/>
          <w:snapToGrid w:val="0"/>
          <w:kern w:val="0"/>
          <w:sz w:val="28"/>
          <w:szCs w:val="28"/>
        </w:rPr>
        <w:t>教育，提高了矫正人员的法律意识，减少了再犯罪风险，基本实现了</w:t>
      </w:r>
      <w:r>
        <w:rPr>
          <w:rFonts w:hint="eastAsia" w:ascii="仿宋_GB2312" w:eastAsia="仿宋_GB2312" w:cs="宋体"/>
          <w:bCs/>
          <w:snapToGrid w:val="0"/>
          <w:kern w:val="0"/>
          <w:sz w:val="28"/>
          <w:szCs w:val="28"/>
        </w:rPr>
        <w:t>项目整体绩效目标及预期社会经济效益</w:t>
      </w:r>
      <w:r>
        <w:rPr>
          <w:rFonts w:ascii="仿宋_GB2312" w:eastAsia="仿宋_GB2312" w:cs="宋体"/>
          <w:bCs/>
          <w:snapToGrid w:val="0"/>
          <w:kern w:val="0"/>
          <w:sz w:val="28"/>
          <w:szCs w:val="28"/>
        </w:rPr>
        <w:t>，为创建平安</w:t>
      </w:r>
      <w:r>
        <w:rPr>
          <w:rFonts w:hint="eastAsia" w:ascii="仿宋_GB2312" w:eastAsia="仿宋_GB2312" w:cs="宋体"/>
          <w:bCs/>
          <w:snapToGrid w:val="0"/>
          <w:kern w:val="0"/>
          <w:sz w:val="28"/>
          <w:szCs w:val="28"/>
        </w:rPr>
        <w:t>西城</w:t>
      </w:r>
      <w:r>
        <w:rPr>
          <w:rFonts w:ascii="仿宋_GB2312" w:eastAsia="仿宋_GB2312" w:cs="宋体"/>
          <w:bCs/>
          <w:snapToGrid w:val="0"/>
          <w:kern w:val="0"/>
          <w:sz w:val="28"/>
          <w:szCs w:val="28"/>
        </w:rPr>
        <w:t>，维护社会繁荣稳定作出了</w:t>
      </w:r>
      <w:r>
        <w:rPr>
          <w:rFonts w:hint="eastAsia" w:ascii="仿宋_GB2312" w:eastAsia="仿宋_GB2312" w:cs="宋体"/>
          <w:bCs/>
          <w:snapToGrid w:val="0"/>
          <w:kern w:val="0"/>
          <w:sz w:val="28"/>
          <w:szCs w:val="28"/>
        </w:rPr>
        <w:t>贡献</w:t>
      </w:r>
      <w:r>
        <w:rPr>
          <w:rFonts w:ascii="仿宋_GB2312" w:eastAsia="仿宋_GB2312" w:cs="宋体"/>
          <w:bCs/>
          <w:snapToGrid w:val="0"/>
          <w:kern w:val="0"/>
          <w:sz w:val="28"/>
          <w:szCs w:val="28"/>
        </w:rPr>
        <w:t>。</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（五）主要经验及做法、存在的问题及原因分析</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加强组织领导，加强培训大家齐参与，强化项目资金管理，重视项目预算绩效材料数据收集，认真分析项目的执行情况，并根据项目资金的执行情况，合理安排下年度项目资金。</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（六）有关建议</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无</w:t>
      </w:r>
    </w:p>
    <w:p>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（七）其他需要说明的问题</w:t>
      </w:r>
    </w:p>
    <w:p>
      <w:pPr>
        <w:pStyle w:val="2"/>
        <w:ind w:firstLine="198" w:firstLineChars="62"/>
        <w:rPr>
          <w:rFonts w:ascii="黑体" w:hAnsi="黑体" w:eastAsia="黑体" w:cs="黑体"/>
          <w:sz w:val="32"/>
          <w:szCs w:val="32"/>
        </w:rPr>
      </w:pPr>
      <w:r>
        <w:rPr>
          <w:rFonts w:hint="eastAsia" w:ascii="黑体" w:hAnsi="黑体" w:eastAsia="黑体" w:cs="黑体"/>
          <w:sz w:val="32"/>
          <w:szCs w:val="32"/>
        </w:rPr>
        <w:t xml:space="preserve">  </w:t>
      </w:r>
      <w:r>
        <w:rPr>
          <w:rFonts w:hint="eastAsia" w:ascii="仿宋_GB2312" w:eastAsia="仿宋_GB2312" w:cs="宋体"/>
          <w:bCs/>
          <w:snapToGrid w:val="0"/>
          <w:kern w:val="0"/>
          <w:sz w:val="28"/>
          <w:szCs w:val="28"/>
        </w:rPr>
        <w:t>无</w:t>
      </w:r>
    </w:p>
    <w:p>
      <w:pPr>
        <w:pStyle w:val="2"/>
        <w:ind w:firstLine="0" w:firstLineChars="0"/>
      </w:pPr>
    </w:p>
    <w:p>
      <w:pPr>
        <w:pStyle w:val="2"/>
        <w:ind w:firstLine="420"/>
      </w:pPr>
    </w:p>
    <w:p>
      <w:pPr>
        <w:tabs>
          <w:tab w:val="center" w:pos="6979"/>
        </w:tabs>
        <w:spacing w:before="156" w:beforeLines="50" w:after="156" w:afterLines="50"/>
        <w:jc w:val="center"/>
        <w:outlineLvl w:val="0"/>
        <w:rPr>
          <w:rFonts w:ascii="宋体" w:hAnsi="宋体" w:cs="宋体"/>
          <w:b/>
          <w:bCs/>
          <w:spacing w:val="40"/>
          <w:kern w:val="0"/>
          <w:sz w:val="44"/>
          <w:szCs w:val="44"/>
        </w:rPr>
      </w:pPr>
      <w:r>
        <w:rPr>
          <w:rFonts w:hint="eastAsia" w:ascii="宋体" w:hAnsi="宋体" w:cs="宋体"/>
          <w:b/>
          <w:bCs/>
          <w:spacing w:val="40"/>
          <w:kern w:val="0"/>
          <w:sz w:val="44"/>
          <w:szCs w:val="44"/>
        </w:rPr>
        <w:t>第四部分 2023年度部门决算报表</w:t>
      </w:r>
    </w:p>
    <w:p>
      <w:pPr>
        <w:pStyle w:val="2"/>
        <w:ind w:firstLine="640"/>
        <w:rPr>
          <w:rFonts w:ascii="黑体" w:eastAsia="黑体"/>
          <w:sz w:val="32"/>
          <w:szCs w:val="32"/>
        </w:rPr>
      </w:pPr>
    </w:p>
    <w:p>
      <w:pPr>
        <w:ind w:firstLine="560" w:firstLineChars="200"/>
        <w:rPr>
          <w:rFonts w:ascii="仿宋_GB2312" w:eastAsia="仿宋_GB2312"/>
          <w:sz w:val="28"/>
          <w:szCs w:val="28"/>
        </w:rPr>
      </w:pPr>
      <w:r>
        <w:rPr>
          <w:rFonts w:hint="eastAsia" w:ascii="仿宋_GB2312" w:eastAsia="仿宋_GB2312"/>
          <w:sz w:val="28"/>
          <w:szCs w:val="28"/>
        </w:rPr>
        <w:t>详见附件：2023-北京市西城区</w:t>
      </w:r>
      <w:r>
        <w:rPr>
          <w:rFonts w:ascii="仿宋_GB2312" w:eastAsia="仿宋_GB2312"/>
          <w:sz w:val="28"/>
          <w:szCs w:val="28"/>
        </w:rPr>
        <w:t>社区矫正中心</w:t>
      </w:r>
      <w:r>
        <w:rPr>
          <w:rFonts w:hint="eastAsia" w:ascii="仿宋_GB2312" w:eastAsia="仿宋_GB2312"/>
          <w:sz w:val="28"/>
          <w:szCs w:val="28"/>
        </w:rPr>
        <w:t>-北京市西城区财政局决算公开报表。</w:t>
      </w:r>
    </w:p>
    <w:p>
      <w:pPr>
        <w:pStyle w:val="2"/>
        <w:ind w:firstLine="420"/>
        <w:rPr>
          <w:color w:val="C00000"/>
        </w:rPr>
      </w:pPr>
      <w:r>
        <w:rPr>
          <w:rFonts w:hint="eastAsia"/>
          <w:color w:val="C00000"/>
        </w:rPr>
        <w:t>决算公开报表取表方式：预算管理一体化系统——决算公开——部门公开/单位公开——批量套标导出（需提前完成数据生成等操作）</w:t>
      </w:r>
    </w:p>
    <w:p>
      <w:pPr>
        <w:pStyle w:val="2"/>
        <w:ind w:firstLine="640"/>
        <w:rPr>
          <w:rFonts w:ascii="黑体" w:eastAsia="黑体"/>
          <w:sz w:val="32"/>
          <w:szCs w:val="32"/>
        </w:rPr>
      </w:pPr>
    </w:p>
    <w:p>
      <w:pPr>
        <w:pStyle w:val="2"/>
        <w:ind w:firstLine="420"/>
        <w:rPr>
          <w:rFonts w:ascii="黑体" w:eastAsia="黑体"/>
          <w:sz w:val="32"/>
          <w:szCs w:val="32"/>
        </w:rPr>
      </w:pPr>
      <w:r>
        <w:drawing>
          <wp:inline distT="0" distB="0" distL="0" distR="0">
            <wp:extent cx="7838440" cy="5734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845162" cy="5738663"/>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640"/>
        <w:rPr>
          <w:rFonts w:hint="eastAsia" w:ascii="黑体" w:eastAsia="黑体"/>
          <w:sz w:val="32"/>
          <w:szCs w:val="32"/>
        </w:rPr>
      </w:pPr>
    </w:p>
    <w:p>
      <w:pPr>
        <w:pStyle w:val="2"/>
        <w:ind w:firstLine="420"/>
        <w:rPr>
          <w:rFonts w:ascii="黑体" w:eastAsia="黑体"/>
          <w:sz w:val="32"/>
          <w:szCs w:val="32"/>
        </w:rPr>
      </w:pPr>
      <w:r>
        <w:rPr>
          <w:rFonts w:hint="eastAsia"/>
        </w:rPr>
        <w:drawing>
          <wp:inline distT="0" distB="0" distL="0" distR="0">
            <wp:extent cx="9589770" cy="46386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99650" cy="4643454"/>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420"/>
        <w:rPr>
          <w:rFonts w:ascii="黑体" w:eastAsia="黑体"/>
          <w:sz w:val="32"/>
          <w:szCs w:val="32"/>
        </w:rPr>
      </w:pPr>
      <w:r>
        <w:rPr>
          <w:rFonts w:hint="eastAsia"/>
        </w:rPr>
        <w:drawing>
          <wp:inline distT="0" distB="0" distL="0" distR="0">
            <wp:extent cx="9251315" cy="5381625"/>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254720" cy="5383283"/>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420"/>
        <w:rPr>
          <w:rFonts w:ascii="黑体" w:eastAsia="黑体"/>
          <w:sz w:val="32"/>
          <w:szCs w:val="32"/>
        </w:rPr>
      </w:pPr>
      <w:r>
        <w:rPr>
          <w:rFonts w:hint="eastAsia"/>
        </w:rPr>
        <w:drawing>
          <wp:inline distT="0" distB="0" distL="0" distR="0">
            <wp:extent cx="9058275" cy="54673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058275" cy="5467350"/>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420"/>
        <w:rPr>
          <w:rFonts w:ascii="黑体" w:eastAsia="黑体"/>
          <w:sz w:val="32"/>
          <w:szCs w:val="32"/>
        </w:rPr>
      </w:pPr>
      <w:r>
        <w:rPr>
          <w:rFonts w:hint="eastAsia"/>
        </w:rPr>
        <w:drawing>
          <wp:inline distT="0" distB="0" distL="0" distR="0">
            <wp:extent cx="9523730" cy="6694170"/>
            <wp:effectExtent l="0" t="0" r="127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50663" cy="6713325"/>
                    </a:xfrm>
                    <a:prstGeom prst="rect">
                      <a:avLst/>
                    </a:prstGeom>
                    <a:noFill/>
                    <a:ln>
                      <a:noFill/>
                    </a:ln>
                  </pic:spPr>
                </pic:pic>
              </a:graphicData>
            </a:graphic>
          </wp:inline>
        </w:drawing>
      </w:r>
    </w:p>
    <w:p>
      <w:pPr>
        <w:pStyle w:val="2"/>
        <w:ind w:firstLine="420"/>
        <w:rPr>
          <w:rFonts w:ascii="黑体" w:eastAsia="黑体"/>
          <w:sz w:val="32"/>
          <w:szCs w:val="32"/>
        </w:rPr>
      </w:pPr>
      <w:r>
        <w:rPr>
          <w:rFonts w:hint="eastAsia"/>
        </w:rPr>
        <w:drawing>
          <wp:inline distT="0" distB="0" distL="0" distR="0">
            <wp:extent cx="8486775" cy="54673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486775" cy="5467350"/>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420"/>
        <w:rPr>
          <w:rFonts w:ascii="黑体" w:eastAsia="黑体"/>
          <w:sz w:val="32"/>
          <w:szCs w:val="32"/>
        </w:rPr>
      </w:pPr>
      <w:r>
        <w:rPr>
          <w:rFonts w:hint="eastAsia"/>
        </w:rPr>
        <w:drawing>
          <wp:inline distT="0" distB="0" distL="0" distR="0">
            <wp:extent cx="9534525" cy="65239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43197" cy="6530345"/>
                    </a:xfrm>
                    <a:prstGeom prst="rect">
                      <a:avLst/>
                    </a:prstGeom>
                    <a:noFill/>
                    <a:ln>
                      <a:noFill/>
                    </a:ln>
                  </pic:spPr>
                </pic:pic>
              </a:graphicData>
            </a:graphic>
          </wp:inline>
        </w:drawing>
      </w:r>
    </w:p>
    <w:p>
      <w:pPr>
        <w:pStyle w:val="2"/>
        <w:ind w:firstLine="420"/>
        <w:rPr>
          <w:rFonts w:ascii="黑体" w:eastAsia="黑体"/>
          <w:sz w:val="32"/>
          <w:szCs w:val="32"/>
        </w:rPr>
      </w:pPr>
      <w:r>
        <w:rPr>
          <w:rFonts w:hint="eastAsia"/>
        </w:rPr>
        <w:drawing>
          <wp:inline distT="0" distB="0" distL="0" distR="0">
            <wp:extent cx="9250045" cy="1714500"/>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53380" cy="1715092"/>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420"/>
        <w:rPr>
          <w:rFonts w:ascii="黑体" w:eastAsia="黑体"/>
          <w:sz w:val="32"/>
          <w:szCs w:val="32"/>
        </w:rPr>
      </w:pPr>
      <w:r>
        <w:rPr>
          <w:rFonts w:hint="eastAsia"/>
        </w:rPr>
        <w:drawing>
          <wp:inline distT="0" distB="0" distL="0" distR="0">
            <wp:extent cx="9391650" cy="64668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394449" cy="6469191"/>
                    </a:xfrm>
                    <a:prstGeom prst="rect">
                      <a:avLst/>
                    </a:prstGeom>
                    <a:noFill/>
                    <a:ln>
                      <a:noFill/>
                    </a:ln>
                  </pic:spPr>
                </pic:pic>
              </a:graphicData>
            </a:graphic>
          </wp:inline>
        </w:drawing>
      </w:r>
    </w:p>
    <w:p>
      <w:pPr>
        <w:pStyle w:val="2"/>
        <w:ind w:firstLine="420"/>
        <w:rPr>
          <w:rFonts w:ascii="黑体" w:eastAsia="黑体"/>
          <w:sz w:val="32"/>
          <w:szCs w:val="32"/>
        </w:rPr>
      </w:pPr>
      <w:r>
        <w:rPr>
          <w:rFonts w:hint="eastAsia"/>
        </w:rPr>
        <w:drawing>
          <wp:inline distT="0" distB="0" distL="0" distR="0">
            <wp:extent cx="7753350" cy="24384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753350" cy="2438400"/>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420"/>
        <w:rPr>
          <w:rFonts w:ascii="黑体" w:eastAsia="黑体"/>
          <w:sz w:val="32"/>
          <w:szCs w:val="32"/>
        </w:rPr>
      </w:pPr>
      <w:r>
        <w:rPr>
          <w:rFonts w:hint="eastAsia"/>
        </w:rPr>
        <w:drawing>
          <wp:inline distT="0" distB="0" distL="0" distR="0">
            <wp:extent cx="9251315" cy="2419350"/>
            <wp:effectExtent l="0" t="0" r="698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252008" cy="2419531"/>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420"/>
        <w:rPr>
          <w:rFonts w:ascii="黑体" w:eastAsia="黑体"/>
          <w:sz w:val="32"/>
          <w:szCs w:val="32"/>
        </w:rPr>
      </w:pPr>
      <w:r>
        <w:rPr>
          <w:rFonts w:hint="eastAsia"/>
        </w:rPr>
        <w:drawing>
          <wp:inline distT="0" distB="0" distL="0" distR="0">
            <wp:extent cx="7077075" cy="39338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077075" cy="3933825"/>
                    </a:xfrm>
                    <a:prstGeom prst="rect">
                      <a:avLst/>
                    </a:prstGeom>
                    <a:noFill/>
                    <a:ln>
                      <a:noFill/>
                    </a:ln>
                  </pic:spPr>
                </pic:pic>
              </a:graphicData>
            </a:graphic>
          </wp:inline>
        </w:drawing>
      </w: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420"/>
        <w:rPr>
          <w:rFonts w:ascii="黑体" w:eastAsia="黑体"/>
          <w:sz w:val="32"/>
          <w:szCs w:val="32"/>
        </w:rPr>
      </w:pPr>
      <w:r>
        <w:drawing>
          <wp:inline distT="0" distB="0" distL="0" distR="0">
            <wp:extent cx="6467475" cy="64198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467475" cy="6419850"/>
                    </a:xfrm>
                    <a:prstGeom prst="rect">
                      <a:avLst/>
                    </a:prstGeom>
                    <a:noFill/>
                    <a:ln>
                      <a:noFill/>
                    </a:ln>
                  </pic:spPr>
                </pic:pic>
              </a:graphicData>
            </a:graphic>
          </wp:inline>
        </w:drawing>
      </w:r>
    </w:p>
    <w:p>
      <w:pPr>
        <w:pStyle w:val="2"/>
        <w:ind w:firstLine="640"/>
        <w:rPr>
          <w:rFonts w:hint="eastAsia" w:ascii="黑体" w:eastAsia="黑体"/>
          <w:sz w:val="32"/>
          <w:szCs w:val="32"/>
        </w:rPr>
      </w:pPr>
    </w:p>
    <w:p>
      <w:pPr>
        <w:pStyle w:val="2"/>
        <w:ind w:firstLine="640"/>
        <w:rPr>
          <w:rFonts w:hint="eastAsia" w:ascii="黑体" w:eastAsia="黑体"/>
          <w:sz w:val="32"/>
          <w:szCs w:val="32"/>
        </w:rPr>
      </w:pPr>
    </w:p>
    <w:sectPr>
      <w:footerReference r:id="rId4" w:type="default"/>
      <w:footerReference r:id="rId5" w:type="even"/>
      <w:pgSz w:w="16838" w:h="11906" w:orient="landscape"/>
      <w:pgMar w:top="1134" w:right="1134" w:bottom="1134" w:left="1134" w:header="851" w:footer="68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7</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33</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46"/>
    <w:rsid w:val="00003B03"/>
    <w:rsid w:val="000040E6"/>
    <w:rsid w:val="00006705"/>
    <w:rsid w:val="00011D72"/>
    <w:rsid w:val="0001650C"/>
    <w:rsid w:val="0002379B"/>
    <w:rsid w:val="00027CD5"/>
    <w:rsid w:val="00031912"/>
    <w:rsid w:val="00031B8E"/>
    <w:rsid w:val="00033EC1"/>
    <w:rsid w:val="00034224"/>
    <w:rsid w:val="00040275"/>
    <w:rsid w:val="00040B00"/>
    <w:rsid w:val="0004334A"/>
    <w:rsid w:val="0004719C"/>
    <w:rsid w:val="00047F6E"/>
    <w:rsid w:val="00051B00"/>
    <w:rsid w:val="00052CBE"/>
    <w:rsid w:val="00056D15"/>
    <w:rsid w:val="000601B1"/>
    <w:rsid w:val="00062F55"/>
    <w:rsid w:val="00063034"/>
    <w:rsid w:val="00066E19"/>
    <w:rsid w:val="0006752F"/>
    <w:rsid w:val="00071797"/>
    <w:rsid w:val="00071860"/>
    <w:rsid w:val="0007258E"/>
    <w:rsid w:val="00077A9E"/>
    <w:rsid w:val="00077F4A"/>
    <w:rsid w:val="00077FE5"/>
    <w:rsid w:val="00080447"/>
    <w:rsid w:val="000837EC"/>
    <w:rsid w:val="00085663"/>
    <w:rsid w:val="00095948"/>
    <w:rsid w:val="00095C26"/>
    <w:rsid w:val="00096504"/>
    <w:rsid w:val="00096B86"/>
    <w:rsid w:val="000A15B3"/>
    <w:rsid w:val="000A1770"/>
    <w:rsid w:val="000A26D2"/>
    <w:rsid w:val="000A283C"/>
    <w:rsid w:val="000A6ED1"/>
    <w:rsid w:val="000B15B7"/>
    <w:rsid w:val="000B464D"/>
    <w:rsid w:val="000B70F1"/>
    <w:rsid w:val="000C3BEC"/>
    <w:rsid w:val="000C4611"/>
    <w:rsid w:val="000C622B"/>
    <w:rsid w:val="000D1B61"/>
    <w:rsid w:val="000D6854"/>
    <w:rsid w:val="000E0B26"/>
    <w:rsid w:val="000E3291"/>
    <w:rsid w:val="000F08FE"/>
    <w:rsid w:val="000F208B"/>
    <w:rsid w:val="000F2A48"/>
    <w:rsid w:val="000F49BE"/>
    <w:rsid w:val="00100246"/>
    <w:rsid w:val="0010682D"/>
    <w:rsid w:val="001073C6"/>
    <w:rsid w:val="00107DB5"/>
    <w:rsid w:val="00110BFB"/>
    <w:rsid w:val="00113613"/>
    <w:rsid w:val="0011483D"/>
    <w:rsid w:val="00115724"/>
    <w:rsid w:val="00122BA1"/>
    <w:rsid w:val="00130995"/>
    <w:rsid w:val="00131FF9"/>
    <w:rsid w:val="00132320"/>
    <w:rsid w:val="00135B6A"/>
    <w:rsid w:val="001369A7"/>
    <w:rsid w:val="001428C5"/>
    <w:rsid w:val="001503D8"/>
    <w:rsid w:val="0015381F"/>
    <w:rsid w:val="00157540"/>
    <w:rsid w:val="0016322C"/>
    <w:rsid w:val="00170A8E"/>
    <w:rsid w:val="0017111F"/>
    <w:rsid w:val="00173882"/>
    <w:rsid w:val="00173CF6"/>
    <w:rsid w:val="00175478"/>
    <w:rsid w:val="00177915"/>
    <w:rsid w:val="00180DAD"/>
    <w:rsid w:val="0018370E"/>
    <w:rsid w:val="001852E1"/>
    <w:rsid w:val="00191568"/>
    <w:rsid w:val="00192B5F"/>
    <w:rsid w:val="001A3A6B"/>
    <w:rsid w:val="001A4277"/>
    <w:rsid w:val="001A7D2E"/>
    <w:rsid w:val="001B1DF9"/>
    <w:rsid w:val="001B1E93"/>
    <w:rsid w:val="001B375E"/>
    <w:rsid w:val="001B4A46"/>
    <w:rsid w:val="001B5E87"/>
    <w:rsid w:val="001B5E91"/>
    <w:rsid w:val="001B69BF"/>
    <w:rsid w:val="001B6C84"/>
    <w:rsid w:val="001B7988"/>
    <w:rsid w:val="001C7432"/>
    <w:rsid w:val="001D78D9"/>
    <w:rsid w:val="001E0556"/>
    <w:rsid w:val="001E2355"/>
    <w:rsid w:val="001E2379"/>
    <w:rsid w:val="001E29A9"/>
    <w:rsid w:val="001E2A0E"/>
    <w:rsid w:val="001E4EB9"/>
    <w:rsid w:val="001F5857"/>
    <w:rsid w:val="00206EC3"/>
    <w:rsid w:val="0021047C"/>
    <w:rsid w:val="00211E4E"/>
    <w:rsid w:val="00213D1C"/>
    <w:rsid w:val="00214C3A"/>
    <w:rsid w:val="00217517"/>
    <w:rsid w:val="00222628"/>
    <w:rsid w:val="00222E85"/>
    <w:rsid w:val="002253CB"/>
    <w:rsid w:val="002326DE"/>
    <w:rsid w:val="00234314"/>
    <w:rsid w:val="00241724"/>
    <w:rsid w:val="0024390C"/>
    <w:rsid w:val="002441F4"/>
    <w:rsid w:val="00244204"/>
    <w:rsid w:val="002448A4"/>
    <w:rsid w:val="00245A0A"/>
    <w:rsid w:val="00246C42"/>
    <w:rsid w:val="002515CC"/>
    <w:rsid w:val="00253EC4"/>
    <w:rsid w:val="00254331"/>
    <w:rsid w:val="00254515"/>
    <w:rsid w:val="0025771F"/>
    <w:rsid w:val="0026479D"/>
    <w:rsid w:val="00266004"/>
    <w:rsid w:val="00266BED"/>
    <w:rsid w:val="002673C4"/>
    <w:rsid w:val="002678FD"/>
    <w:rsid w:val="0027112B"/>
    <w:rsid w:val="00271C3F"/>
    <w:rsid w:val="00272460"/>
    <w:rsid w:val="00273070"/>
    <w:rsid w:val="00273852"/>
    <w:rsid w:val="0027394A"/>
    <w:rsid w:val="00274D50"/>
    <w:rsid w:val="002760D5"/>
    <w:rsid w:val="00276289"/>
    <w:rsid w:val="0028081D"/>
    <w:rsid w:val="0028458C"/>
    <w:rsid w:val="002911BD"/>
    <w:rsid w:val="00291C98"/>
    <w:rsid w:val="00294DE9"/>
    <w:rsid w:val="00295FDB"/>
    <w:rsid w:val="00296F1D"/>
    <w:rsid w:val="002A1488"/>
    <w:rsid w:val="002A4C2B"/>
    <w:rsid w:val="002A5682"/>
    <w:rsid w:val="002B19D0"/>
    <w:rsid w:val="002B3682"/>
    <w:rsid w:val="002B3DDB"/>
    <w:rsid w:val="002B5464"/>
    <w:rsid w:val="002B6CEE"/>
    <w:rsid w:val="002C03A3"/>
    <w:rsid w:val="002C0443"/>
    <w:rsid w:val="002C12FB"/>
    <w:rsid w:val="002C24BC"/>
    <w:rsid w:val="002C3C74"/>
    <w:rsid w:val="002C4471"/>
    <w:rsid w:val="002D03C6"/>
    <w:rsid w:val="002D0FDF"/>
    <w:rsid w:val="002D3084"/>
    <w:rsid w:val="002D3955"/>
    <w:rsid w:val="002D68A9"/>
    <w:rsid w:val="002E06AE"/>
    <w:rsid w:val="002E07BF"/>
    <w:rsid w:val="002E4B75"/>
    <w:rsid w:val="002E68DD"/>
    <w:rsid w:val="002F17C2"/>
    <w:rsid w:val="002F32EE"/>
    <w:rsid w:val="002F4054"/>
    <w:rsid w:val="002F5574"/>
    <w:rsid w:val="00301D20"/>
    <w:rsid w:val="00302B19"/>
    <w:rsid w:val="00303428"/>
    <w:rsid w:val="00304971"/>
    <w:rsid w:val="003053C4"/>
    <w:rsid w:val="003058A3"/>
    <w:rsid w:val="00307DA5"/>
    <w:rsid w:val="0031169D"/>
    <w:rsid w:val="0031170D"/>
    <w:rsid w:val="00313E14"/>
    <w:rsid w:val="003167DD"/>
    <w:rsid w:val="003169E0"/>
    <w:rsid w:val="00320C8B"/>
    <w:rsid w:val="00321BD8"/>
    <w:rsid w:val="00325687"/>
    <w:rsid w:val="003272E0"/>
    <w:rsid w:val="00332765"/>
    <w:rsid w:val="00332C14"/>
    <w:rsid w:val="00335079"/>
    <w:rsid w:val="003352CE"/>
    <w:rsid w:val="00336258"/>
    <w:rsid w:val="00337004"/>
    <w:rsid w:val="00341473"/>
    <w:rsid w:val="00341D8E"/>
    <w:rsid w:val="003502B9"/>
    <w:rsid w:val="00351B8F"/>
    <w:rsid w:val="00353226"/>
    <w:rsid w:val="00353717"/>
    <w:rsid w:val="00354630"/>
    <w:rsid w:val="00355824"/>
    <w:rsid w:val="00364395"/>
    <w:rsid w:val="00365A24"/>
    <w:rsid w:val="003712DB"/>
    <w:rsid w:val="00373DDC"/>
    <w:rsid w:val="00382A86"/>
    <w:rsid w:val="00383BCC"/>
    <w:rsid w:val="00385243"/>
    <w:rsid w:val="003925D4"/>
    <w:rsid w:val="0039318C"/>
    <w:rsid w:val="00393286"/>
    <w:rsid w:val="00393366"/>
    <w:rsid w:val="003937DC"/>
    <w:rsid w:val="00393D75"/>
    <w:rsid w:val="00394FE1"/>
    <w:rsid w:val="003A16A8"/>
    <w:rsid w:val="003A2F2D"/>
    <w:rsid w:val="003A43AC"/>
    <w:rsid w:val="003A4EB6"/>
    <w:rsid w:val="003A7AE9"/>
    <w:rsid w:val="003A7BC5"/>
    <w:rsid w:val="003A7FF5"/>
    <w:rsid w:val="003B0352"/>
    <w:rsid w:val="003B4437"/>
    <w:rsid w:val="003B48C4"/>
    <w:rsid w:val="003B5A57"/>
    <w:rsid w:val="003B5E20"/>
    <w:rsid w:val="003B6DAD"/>
    <w:rsid w:val="003B735F"/>
    <w:rsid w:val="003C030C"/>
    <w:rsid w:val="003C185C"/>
    <w:rsid w:val="003C55FC"/>
    <w:rsid w:val="003D0EC3"/>
    <w:rsid w:val="003D7274"/>
    <w:rsid w:val="003E2CB7"/>
    <w:rsid w:val="003E4D82"/>
    <w:rsid w:val="003E5BC1"/>
    <w:rsid w:val="003F0D1B"/>
    <w:rsid w:val="003F1DD6"/>
    <w:rsid w:val="003F5295"/>
    <w:rsid w:val="00401087"/>
    <w:rsid w:val="00402E26"/>
    <w:rsid w:val="0040529F"/>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485"/>
    <w:rsid w:val="00435830"/>
    <w:rsid w:val="0043619C"/>
    <w:rsid w:val="0044475D"/>
    <w:rsid w:val="00444D1E"/>
    <w:rsid w:val="0044571A"/>
    <w:rsid w:val="0044705D"/>
    <w:rsid w:val="004475CF"/>
    <w:rsid w:val="0045090E"/>
    <w:rsid w:val="00451B95"/>
    <w:rsid w:val="0045354F"/>
    <w:rsid w:val="00453E36"/>
    <w:rsid w:val="00457286"/>
    <w:rsid w:val="00461FA5"/>
    <w:rsid w:val="00463566"/>
    <w:rsid w:val="00464182"/>
    <w:rsid w:val="00471C52"/>
    <w:rsid w:val="00472ACF"/>
    <w:rsid w:val="00473911"/>
    <w:rsid w:val="0047460C"/>
    <w:rsid w:val="00474FF2"/>
    <w:rsid w:val="0047738C"/>
    <w:rsid w:val="00480098"/>
    <w:rsid w:val="00482CD5"/>
    <w:rsid w:val="00484A93"/>
    <w:rsid w:val="00485E12"/>
    <w:rsid w:val="004865DA"/>
    <w:rsid w:val="0048779C"/>
    <w:rsid w:val="00487AB7"/>
    <w:rsid w:val="00487ED0"/>
    <w:rsid w:val="00491D09"/>
    <w:rsid w:val="0049682C"/>
    <w:rsid w:val="004A1618"/>
    <w:rsid w:val="004A168E"/>
    <w:rsid w:val="004A1955"/>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06E2"/>
    <w:rsid w:val="005122B5"/>
    <w:rsid w:val="0052381C"/>
    <w:rsid w:val="005346B3"/>
    <w:rsid w:val="0054051C"/>
    <w:rsid w:val="00546A84"/>
    <w:rsid w:val="00547BE2"/>
    <w:rsid w:val="0055353D"/>
    <w:rsid w:val="0056187C"/>
    <w:rsid w:val="00563AA2"/>
    <w:rsid w:val="00565067"/>
    <w:rsid w:val="0057282C"/>
    <w:rsid w:val="00576B03"/>
    <w:rsid w:val="00577116"/>
    <w:rsid w:val="00581125"/>
    <w:rsid w:val="0058144F"/>
    <w:rsid w:val="00581E1A"/>
    <w:rsid w:val="00591655"/>
    <w:rsid w:val="00591BEC"/>
    <w:rsid w:val="005940EA"/>
    <w:rsid w:val="00594448"/>
    <w:rsid w:val="005A1D6F"/>
    <w:rsid w:val="005A4D82"/>
    <w:rsid w:val="005A52A6"/>
    <w:rsid w:val="005B0DEC"/>
    <w:rsid w:val="005B368E"/>
    <w:rsid w:val="005B6E69"/>
    <w:rsid w:val="005C0015"/>
    <w:rsid w:val="005C1E82"/>
    <w:rsid w:val="005C2726"/>
    <w:rsid w:val="005C2BCE"/>
    <w:rsid w:val="005C2CA5"/>
    <w:rsid w:val="005C7062"/>
    <w:rsid w:val="005C7788"/>
    <w:rsid w:val="005D10B9"/>
    <w:rsid w:val="005D18DA"/>
    <w:rsid w:val="005D479C"/>
    <w:rsid w:val="005D64B4"/>
    <w:rsid w:val="005E00DC"/>
    <w:rsid w:val="005E3BBC"/>
    <w:rsid w:val="005E3EC6"/>
    <w:rsid w:val="005E4E07"/>
    <w:rsid w:val="005E4E46"/>
    <w:rsid w:val="005E5275"/>
    <w:rsid w:val="005E7DC8"/>
    <w:rsid w:val="005E7EC9"/>
    <w:rsid w:val="005F7087"/>
    <w:rsid w:val="005F7B2E"/>
    <w:rsid w:val="00600070"/>
    <w:rsid w:val="00611BE4"/>
    <w:rsid w:val="0061219B"/>
    <w:rsid w:val="00621419"/>
    <w:rsid w:val="00626446"/>
    <w:rsid w:val="006267A7"/>
    <w:rsid w:val="00626BE8"/>
    <w:rsid w:val="00631827"/>
    <w:rsid w:val="00632804"/>
    <w:rsid w:val="00632E01"/>
    <w:rsid w:val="006376DA"/>
    <w:rsid w:val="006459DA"/>
    <w:rsid w:val="006502E8"/>
    <w:rsid w:val="00654A2B"/>
    <w:rsid w:val="0065675C"/>
    <w:rsid w:val="0065793F"/>
    <w:rsid w:val="0066263B"/>
    <w:rsid w:val="006631F2"/>
    <w:rsid w:val="0066713A"/>
    <w:rsid w:val="00670E58"/>
    <w:rsid w:val="0067195C"/>
    <w:rsid w:val="006724F7"/>
    <w:rsid w:val="00673F0D"/>
    <w:rsid w:val="0067511A"/>
    <w:rsid w:val="0067539B"/>
    <w:rsid w:val="00675543"/>
    <w:rsid w:val="00677396"/>
    <w:rsid w:val="00677AD9"/>
    <w:rsid w:val="00681970"/>
    <w:rsid w:val="00690641"/>
    <w:rsid w:val="00690D88"/>
    <w:rsid w:val="00691056"/>
    <w:rsid w:val="00691844"/>
    <w:rsid w:val="006935A0"/>
    <w:rsid w:val="00693DDF"/>
    <w:rsid w:val="00695186"/>
    <w:rsid w:val="00696F9E"/>
    <w:rsid w:val="006A28DC"/>
    <w:rsid w:val="006A3203"/>
    <w:rsid w:val="006A374A"/>
    <w:rsid w:val="006A505E"/>
    <w:rsid w:val="006A513E"/>
    <w:rsid w:val="006A5265"/>
    <w:rsid w:val="006A6B6E"/>
    <w:rsid w:val="006B0CB9"/>
    <w:rsid w:val="006B2609"/>
    <w:rsid w:val="006B2750"/>
    <w:rsid w:val="006B3678"/>
    <w:rsid w:val="006B7390"/>
    <w:rsid w:val="006C0084"/>
    <w:rsid w:val="006C107D"/>
    <w:rsid w:val="006C3600"/>
    <w:rsid w:val="006C4534"/>
    <w:rsid w:val="006C5205"/>
    <w:rsid w:val="006C5D9D"/>
    <w:rsid w:val="006C75F6"/>
    <w:rsid w:val="006D2969"/>
    <w:rsid w:val="006D3F53"/>
    <w:rsid w:val="006D60AF"/>
    <w:rsid w:val="006E2D6D"/>
    <w:rsid w:val="006E4722"/>
    <w:rsid w:val="006F0A6A"/>
    <w:rsid w:val="006F315B"/>
    <w:rsid w:val="006F3E6F"/>
    <w:rsid w:val="006F5F14"/>
    <w:rsid w:val="00701651"/>
    <w:rsid w:val="007049BF"/>
    <w:rsid w:val="00704E79"/>
    <w:rsid w:val="00707A26"/>
    <w:rsid w:val="0071120F"/>
    <w:rsid w:val="00715E1F"/>
    <w:rsid w:val="00716380"/>
    <w:rsid w:val="00722165"/>
    <w:rsid w:val="007249B8"/>
    <w:rsid w:val="00724B1C"/>
    <w:rsid w:val="007332A5"/>
    <w:rsid w:val="0073581D"/>
    <w:rsid w:val="007428F0"/>
    <w:rsid w:val="007512EF"/>
    <w:rsid w:val="00753D74"/>
    <w:rsid w:val="007551AC"/>
    <w:rsid w:val="00760E32"/>
    <w:rsid w:val="0076101C"/>
    <w:rsid w:val="00763D87"/>
    <w:rsid w:val="007670B2"/>
    <w:rsid w:val="00771795"/>
    <w:rsid w:val="00774925"/>
    <w:rsid w:val="00774ADC"/>
    <w:rsid w:val="0079279F"/>
    <w:rsid w:val="00793E69"/>
    <w:rsid w:val="007A063C"/>
    <w:rsid w:val="007A16B0"/>
    <w:rsid w:val="007A19EA"/>
    <w:rsid w:val="007A21CA"/>
    <w:rsid w:val="007A6092"/>
    <w:rsid w:val="007A60B7"/>
    <w:rsid w:val="007A64A6"/>
    <w:rsid w:val="007A6EE1"/>
    <w:rsid w:val="007A710F"/>
    <w:rsid w:val="007A7C89"/>
    <w:rsid w:val="007B1487"/>
    <w:rsid w:val="007B2A43"/>
    <w:rsid w:val="007B326F"/>
    <w:rsid w:val="007B4CAB"/>
    <w:rsid w:val="007B6A58"/>
    <w:rsid w:val="007B6C06"/>
    <w:rsid w:val="007B7B78"/>
    <w:rsid w:val="007C0A69"/>
    <w:rsid w:val="007C32B1"/>
    <w:rsid w:val="007C58AC"/>
    <w:rsid w:val="007C73AE"/>
    <w:rsid w:val="007C7A22"/>
    <w:rsid w:val="007C7C62"/>
    <w:rsid w:val="007D1076"/>
    <w:rsid w:val="007D12B7"/>
    <w:rsid w:val="007D2A49"/>
    <w:rsid w:val="007D5E38"/>
    <w:rsid w:val="007D7AC4"/>
    <w:rsid w:val="007E0340"/>
    <w:rsid w:val="007E1D4A"/>
    <w:rsid w:val="007E484A"/>
    <w:rsid w:val="007E53C0"/>
    <w:rsid w:val="007E7703"/>
    <w:rsid w:val="007F1CAF"/>
    <w:rsid w:val="007F4558"/>
    <w:rsid w:val="007F4568"/>
    <w:rsid w:val="007F64DF"/>
    <w:rsid w:val="008050EF"/>
    <w:rsid w:val="00805507"/>
    <w:rsid w:val="0080652C"/>
    <w:rsid w:val="0080715F"/>
    <w:rsid w:val="008113D6"/>
    <w:rsid w:val="00812BA7"/>
    <w:rsid w:val="00812DAF"/>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458A9"/>
    <w:rsid w:val="00850708"/>
    <w:rsid w:val="00851024"/>
    <w:rsid w:val="008526D7"/>
    <w:rsid w:val="0086238C"/>
    <w:rsid w:val="008655DC"/>
    <w:rsid w:val="0086732D"/>
    <w:rsid w:val="00870183"/>
    <w:rsid w:val="00875726"/>
    <w:rsid w:val="00877F10"/>
    <w:rsid w:val="00881B68"/>
    <w:rsid w:val="0088225D"/>
    <w:rsid w:val="00882F8D"/>
    <w:rsid w:val="00884FB0"/>
    <w:rsid w:val="008853A5"/>
    <w:rsid w:val="0088706C"/>
    <w:rsid w:val="008944DA"/>
    <w:rsid w:val="00894D78"/>
    <w:rsid w:val="008A6A18"/>
    <w:rsid w:val="008B033F"/>
    <w:rsid w:val="008B4003"/>
    <w:rsid w:val="008B7443"/>
    <w:rsid w:val="008C179E"/>
    <w:rsid w:val="008C2379"/>
    <w:rsid w:val="008C4FF7"/>
    <w:rsid w:val="008C5C4C"/>
    <w:rsid w:val="008C7056"/>
    <w:rsid w:val="008C706D"/>
    <w:rsid w:val="008D3145"/>
    <w:rsid w:val="008D73D6"/>
    <w:rsid w:val="008E1A54"/>
    <w:rsid w:val="008E1F95"/>
    <w:rsid w:val="008E36B6"/>
    <w:rsid w:val="008E4267"/>
    <w:rsid w:val="008E4847"/>
    <w:rsid w:val="008E5D18"/>
    <w:rsid w:val="008E5FF1"/>
    <w:rsid w:val="008E63D2"/>
    <w:rsid w:val="008E6882"/>
    <w:rsid w:val="008E6E14"/>
    <w:rsid w:val="008F1528"/>
    <w:rsid w:val="008F1AE5"/>
    <w:rsid w:val="008F55D9"/>
    <w:rsid w:val="009057DE"/>
    <w:rsid w:val="00905F97"/>
    <w:rsid w:val="00906FA3"/>
    <w:rsid w:val="009102A8"/>
    <w:rsid w:val="0091239D"/>
    <w:rsid w:val="00912825"/>
    <w:rsid w:val="009129B8"/>
    <w:rsid w:val="00912B99"/>
    <w:rsid w:val="00912C78"/>
    <w:rsid w:val="00913730"/>
    <w:rsid w:val="0091737C"/>
    <w:rsid w:val="009176B7"/>
    <w:rsid w:val="00927892"/>
    <w:rsid w:val="009319B9"/>
    <w:rsid w:val="009351E9"/>
    <w:rsid w:val="00935E26"/>
    <w:rsid w:val="00937862"/>
    <w:rsid w:val="00942279"/>
    <w:rsid w:val="009524EB"/>
    <w:rsid w:val="00962013"/>
    <w:rsid w:val="00963942"/>
    <w:rsid w:val="0096716C"/>
    <w:rsid w:val="009672B2"/>
    <w:rsid w:val="00971C66"/>
    <w:rsid w:val="00972363"/>
    <w:rsid w:val="00977ED6"/>
    <w:rsid w:val="009821A5"/>
    <w:rsid w:val="0098419C"/>
    <w:rsid w:val="009843EF"/>
    <w:rsid w:val="00986785"/>
    <w:rsid w:val="009867F2"/>
    <w:rsid w:val="00987D73"/>
    <w:rsid w:val="00991347"/>
    <w:rsid w:val="009921CB"/>
    <w:rsid w:val="00996018"/>
    <w:rsid w:val="0099738E"/>
    <w:rsid w:val="009A0379"/>
    <w:rsid w:val="009A27ED"/>
    <w:rsid w:val="009A493E"/>
    <w:rsid w:val="009A531F"/>
    <w:rsid w:val="009A6931"/>
    <w:rsid w:val="009A78E5"/>
    <w:rsid w:val="009B17A5"/>
    <w:rsid w:val="009B1F9A"/>
    <w:rsid w:val="009B1FA9"/>
    <w:rsid w:val="009B349F"/>
    <w:rsid w:val="009B4293"/>
    <w:rsid w:val="009B6715"/>
    <w:rsid w:val="009C7B74"/>
    <w:rsid w:val="009D0BE2"/>
    <w:rsid w:val="009D114E"/>
    <w:rsid w:val="009D210F"/>
    <w:rsid w:val="009D309C"/>
    <w:rsid w:val="009D37B1"/>
    <w:rsid w:val="009D4717"/>
    <w:rsid w:val="009D63AD"/>
    <w:rsid w:val="009D694D"/>
    <w:rsid w:val="009E264E"/>
    <w:rsid w:val="009E63F3"/>
    <w:rsid w:val="009E77FC"/>
    <w:rsid w:val="009F0C98"/>
    <w:rsid w:val="009F0F81"/>
    <w:rsid w:val="009F2543"/>
    <w:rsid w:val="009F256D"/>
    <w:rsid w:val="009F341E"/>
    <w:rsid w:val="009F57CE"/>
    <w:rsid w:val="009F6810"/>
    <w:rsid w:val="00A117CA"/>
    <w:rsid w:val="00A12225"/>
    <w:rsid w:val="00A14B8B"/>
    <w:rsid w:val="00A14C18"/>
    <w:rsid w:val="00A25898"/>
    <w:rsid w:val="00A306C3"/>
    <w:rsid w:val="00A3071D"/>
    <w:rsid w:val="00A3182E"/>
    <w:rsid w:val="00A31A89"/>
    <w:rsid w:val="00A32F06"/>
    <w:rsid w:val="00A34934"/>
    <w:rsid w:val="00A34EFE"/>
    <w:rsid w:val="00A357D8"/>
    <w:rsid w:val="00A36546"/>
    <w:rsid w:val="00A4069C"/>
    <w:rsid w:val="00A413B5"/>
    <w:rsid w:val="00A429CB"/>
    <w:rsid w:val="00A44E87"/>
    <w:rsid w:val="00A5063C"/>
    <w:rsid w:val="00A52749"/>
    <w:rsid w:val="00A52969"/>
    <w:rsid w:val="00A5422E"/>
    <w:rsid w:val="00A555B0"/>
    <w:rsid w:val="00A56EC1"/>
    <w:rsid w:val="00A633A3"/>
    <w:rsid w:val="00A6350C"/>
    <w:rsid w:val="00A6370B"/>
    <w:rsid w:val="00A63A73"/>
    <w:rsid w:val="00A6655C"/>
    <w:rsid w:val="00A66CBB"/>
    <w:rsid w:val="00A6704E"/>
    <w:rsid w:val="00A67EA4"/>
    <w:rsid w:val="00A773FF"/>
    <w:rsid w:val="00A83AA1"/>
    <w:rsid w:val="00A86C06"/>
    <w:rsid w:val="00A9343A"/>
    <w:rsid w:val="00A9706C"/>
    <w:rsid w:val="00A97B34"/>
    <w:rsid w:val="00AA0819"/>
    <w:rsid w:val="00AA09EA"/>
    <w:rsid w:val="00AA1B5C"/>
    <w:rsid w:val="00AA41F7"/>
    <w:rsid w:val="00AA7A27"/>
    <w:rsid w:val="00AB2B69"/>
    <w:rsid w:val="00AB3FB0"/>
    <w:rsid w:val="00AB465D"/>
    <w:rsid w:val="00AB4943"/>
    <w:rsid w:val="00AB713D"/>
    <w:rsid w:val="00AC114C"/>
    <w:rsid w:val="00AC1478"/>
    <w:rsid w:val="00AC6C2D"/>
    <w:rsid w:val="00AC6E17"/>
    <w:rsid w:val="00AD2FF3"/>
    <w:rsid w:val="00AD7218"/>
    <w:rsid w:val="00AD7764"/>
    <w:rsid w:val="00AD7FE2"/>
    <w:rsid w:val="00AE1284"/>
    <w:rsid w:val="00AE1B18"/>
    <w:rsid w:val="00AE7339"/>
    <w:rsid w:val="00AF1B0B"/>
    <w:rsid w:val="00AF242C"/>
    <w:rsid w:val="00AF3CC4"/>
    <w:rsid w:val="00AF5F67"/>
    <w:rsid w:val="00B05903"/>
    <w:rsid w:val="00B12C7A"/>
    <w:rsid w:val="00B12E10"/>
    <w:rsid w:val="00B21F60"/>
    <w:rsid w:val="00B22BC3"/>
    <w:rsid w:val="00B25865"/>
    <w:rsid w:val="00B272B6"/>
    <w:rsid w:val="00B2771B"/>
    <w:rsid w:val="00B279D4"/>
    <w:rsid w:val="00B336E9"/>
    <w:rsid w:val="00B33AE5"/>
    <w:rsid w:val="00B35BE5"/>
    <w:rsid w:val="00B37449"/>
    <w:rsid w:val="00B375E0"/>
    <w:rsid w:val="00B4057C"/>
    <w:rsid w:val="00B46965"/>
    <w:rsid w:val="00B54C18"/>
    <w:rsid w:val="00B54ED0"/>
    <w:rsid w:val="00B55D47"/>
    <w:rsid w:val="00B60D64"/>
    <w:rsid w:val="00B6204E"/>
    <w:rsid w:val="00B640CA"/>
    <w:rsid w:val="00B649EC"/>
    <w:rsid w:val="00B728DD"/>
    <w:rsid w:val="00B72D43"/>
    <w:rsid w:val="00B74121"/>
    <w:rsid w:val="00B859FF"/>
    <w:rsid w:val="00B85C1B"/>
    <w:rsid w:val="00B85FF0"/>
    <w:rsid w:val="00B86150"/>
    <w:rsid w:val="00B878F9"/>
    <w:rsid w:val="00B9044A"/>
    <w:rsid w:val="00B94B8C"/>
    <w:rsid w:val="00B960F3"/>
    <w:rsid w:val="00B96A31"/>
    <w:rsid w:val="00B96C70"/>
    <w:rsid w:val="00BA05E6"/>
    <w:rsid w:val="00BA51B0"/>
    <w:rsid w:val="00BA6319"/>
    <w:rsid w:val="00BB0F31"/>
    <w:rsid w:val="00BC03B0"/>
    <w:rsid w:val="00BC06A3"/>
    <w:rsid w:val="00BC0CEA"/>
    <w:rsid w:val="00BC2220"/>
    <w:rsid w:val="00BC26B9"/>
    <w:rsid w:val="00BC26FA"/>
    <w:rsid w:val="00BC4E01"/>
    <w:rsid w:val="00BC73F6"/>
    <w:rsid w:val="00BD1177"/>
    <w:rsid w:val="00BD1374"/>
    <w:rsid w:val="00BD2884"/>
    <w:rsid w:val="00BD30B5"/>
    <w:rsid w:val="00BD3531"/>
    <w:rsid w:val="00BD4E35"/>
    <w:rsid w:val="00BE34CA"/>
    <w:rsid w:val="00BE7312"/>
    <w:rsid w:val="00BF062C"/>
    <w:rsid w:val="00BF116A"/>
    <w:rsid w:val="00BF6E77"/>
    <w:rsid w:val="00C05118"/>
    <w:rsid w:val="00C0623C"/>
    <w:rsid w:val="00C06A07"/>
    <w:rsid w:val="00C1253A"/>
    <w:rsid w:val="00C132B6"/>
    <w:rsid w:val="00C21A6C"/>
    <w:rsid w:val="00C22EB0"/>
    <w:rsid w:val="00C24A10"/>
    <w:rsid w:val="00C27003"/>
    <w:rsid w:val="00C27597"/>
    <w:rsid w:val="00C2772B"/>
    <w:rsid w:val="00C32BD4"/>
    <w:rsid w:val="00C32E9F"/>
    <w:rsid w:val="00C33E48"/>
    <w:rsid w:val="00C3618B"/>
    <w:rsid w:val="00C372BA"/>
    <w:rsid w:val="00C403FB"/>
    <w:rsid w:val="00C4316E"/>
    <w:rsid w:val="00C441A2"/>
    <w:rsid w:val="00C4662C"/>
    <w:rsid w:val="00C5076B"/>
    <w:rsid w:val="00C512D4"/>
    <w:rsid w:val="00C51CF4"/>
    <w:rsid w:val="00C531E2"/>
    <w:rsid w:val="00C53204"/>
    <w:rsid w:val="00C55637"/>
    <w:rsid w:val="00C57E34"/>
    <w:rsid w:val="00C61623"/>
    <w:rsid w:val="00C61BA1"/>
    <w:rsid w:val="00C642DC"/>
    <w:rsid w:val="00C64659"/>
    <w:rsid w:val="00C662E9"/>
    <w:rsid w:val="00C66C2D"/>
    <w:rsid w:val="00C7190B"/>
    <w:rsid w:val="00C72F48"/>
    <w:rsid w:val="00C76852"/>
    <w:rsid w:val="00C77210"/>
    <w:rsid w:val="00C777FA"/>
    <w:rsid w:val="00C77989"/>
    <w:rsid w:val="00C811F4"/>
    <w:rsid w:val="00C81E51"/>
    <w:rsid w:val="00C87B73"/>
    <w:rsid w:val="00C92444"/>
    <w:rsid w:val="00C92FBB"/>
    <w:rsid w:val="00C93327"/>
    <w:rsid w:val="00C97498"/>
    <w:rsid w:val="00C97B4D"/>
    <w:rsid w:val="00CA1E5E"/>
    <w:rsid w:val="00CA46A7"/>
    <w:rsid w:val="00CA5602"/>
    <w:rsid w:val="00CA5CA9"/>
    <w:rsid w:val="00CA69AD"/>
    <w:rsid w:val="00CA78E2"/>
    <w:rsid w:val="00CB145F"/>
    <w:rsid w:val="00CB1BBE"/>
    <w:rsid w:val="00CB65DB"/>
    <w:rsid w:val="00CB6BD9"/>
    <w:rsid w:val="00CC0992"/>
    <w:rsid w:val="00CC0E85"/>
    <w:rsid w:val="00CC293A"/>
    <w:rsid w:val="00CD1871"/>
    <w:rsid w:val="00CE19F6"/>
    <w:rsid w:val="00CE6B76"/>
    <w:rsid w:val="00CF0D7E"/>
    <w:rsid w:val="00CF366B"/>
    <w:rsid w:val="00CF5D9D"/>
    <w:rsid w:val="00CF606C"/>
    <w:rsid w:val="00CF6515"/>
    <w:rsid w:val="00CF7423"/>
    <w:rsid w:val="00D001F5"/>
    <w:rsid w:val="00D03E80"/>
    <w:rsid w:val="00D10524"/>
    <w:rsid w:val="00D108F7"/>
    <w:rsid w:val="00D1505F"/>
    <w:rsid w:val="00D15B9F"/>
    <w:rsid w:val="00D15DD6"/>
    <w:rsid w:val="00D2539E"/>
    <w:rsid w:val="00D25548"/>
    <w:rsid w:val="00D25C10"/>
    <w:rsid w:val="00D2601F"/>
    <w:rsid w:val="00D27759"/>
    <w:rsid w:val="00D30028"/>
    <w:rsid w:val="00D30D9F"/>
    <w:rsid w:val="00D325D3"/>
    <w:rsid w:val="00D408D6"/>
    <w:rsid w:val="00D40D1D"/>
    <w:rsid w:val="00D42FE4"/>
    <w:rsid w:val="00D50D88"/>
    <w:rsid w:val="00D511DD"/>
    <w:rsid w:val="00D55C2A"/>
    <w:rsid w:val="00D571C1"/>
    <w:rsid w:val="00D602F4"/>
    <w:rsid w:val="00D6457E"/>
    <w:rsid w:val="00D70015"/>
    <w:rsid w:val="00D742E2"/>
    <w:rsid w:val="00D7580E"/>
    <w:rsid w:val="00D87DAF"/>
    <w:rsid w:val="00D9446D"/>
    <w:rsid w:val="00D97B08"/>
    <w:rsid w:val="00DA2994"/>
    <w:rsid w:val="00DB08E8"/>
    <w:rsid w:val="00DB0DED"/>
    <w:rsid w:val="00DB2FF9"/>
    <w:rsid w:val="00DB3073"/>
    <w:rsid w:val="00DB3BA9"/>
    <w:rsid w:val="00DB50FE"/>
    <w:rsid w:val="00DB5EDA"/>
    <w:rsid w:val="00DC13DD"/>
    <w:rsid w:val="00DC2349"/>
    <w:rsid w:val="00DC3026"/>
    <w:rsid w:val="00DD1EDB"/>
    <w:rsid w:val="00DD57AA"/>
    <w:rsid w:val="00DE1578"/>
    <w:rsid w:val="00DE3696"/>
    <w:rsid w:val="00DE7F67"/>
    <w:rsid w:val="00DF0529"/>
    <w:rsid w:val="00DF09EF"/>
    <w:rsid w:val="00DF0D0F"/>
    <w:rsid w:val="00DF13D6"/>
    <w:rsid w:val="00DF27D6"/>
    <w:rsid w:val="00DF2BEA"/>
    <w:rsid w:val="00DF4488"/>
    <w:rsid w:val="00DF5B98"/>
    <w:rsid w:val="00DF6FA8"/>
    <w:rsid w:val="00DF701E"/>
    <w:rsid w:val="00DF7BE5"/>
    <w:rsid w:val="00E00A20"/>
    <w:rsid w:val="00E00D49"/>
    <w:rsid w:val="00E019A8"/>
    <w:rsid w:val="00E03A46"/>
    <w:rsid w:val="00E03C6D"/>
    <w:rsid w:val="00E0476F"/>
    <w:rsid w:val="00E04899"/>
    <w:rsid w:val="00E0796F"/>
    <w:rsid w:val="00E10948"/>
    <w:rsid w:val="00E15D54"/>
    <w:rsid w:val="00E208FC"/>
    <w:rsid w:val="00E24371"/>
    <w:rsid w:val="00E243AB"/>
    <w:rsid w:val="00E26641"/>
    <w:rsid w:val="00E2778F"/>
    <w:rsid w:val="00E33023"/>
    <w:rsid w:val="00E331F3"/>
    <w:rsid w:val="00E3498D"/>
    <w:rsid w:val="00E42425"/>
    <w:rsid w:val="00E43BCE"/>
    <w:rsid w:val="00E43E55"/>
    <w:rsid w:val="00E4554E"/>
    <w:rsid w:val="00E46089"/>
    <w:rsid w:val="00E46D22"/>
    <w:rsid w:val="00E4768F"/>
    <w:rsid w:val="00E47A32"/>
    <w:rsid w:val="00E53C0E"/>
    <w:rsid w:val="00E54F7E"/>
    <w:rsid w:val="00E560CE"/>
    <w:rsid w:val="00E5674E"/>
    <w:rsid w:val="00E63783"/>
    <w:rsid w:val="00E650E2"/>
    <w:rsid w:val="00E70974"/>
    <w:rsid w:val="00E70DB1"/>
    <w:rsid w:val="00E75CAD"/>
    <w:rsid w:val="00E76922"/>
    <w:rsid w:val="00E81A42"/>
    <w:rsid w:val="00E8595B"/>
    <w:rsid w:val="00E915EC"/>
    <w:rsid w:val="00E96613"/>
    <w:rsid w:val="00EA11B1"/>
    <w:rsid w:val="00EA2224"/>
    <w:rsid w:val="00EA7194"/>
    <w:rsid w:val="00EB1329"/>
    <w:rsid w:val="00EB2987"/>
    <w:rsid w:val="00EB2D75"/>
    <w:rsid w:val="00EB34BE"/>
    <w:rsid w:val="00EB571A"/>
    <w:rsid w:val="00EB6316"/>
    <w:rsid w:val="00EC2804"/>
    <w:rsid w:val="00EC280F"/>
    <w:rsid w:val="00EC6117"/>
    <w:rsid w:val="00EC6138"/>
    <w:rsid w:val="00ED1DCF"/>
    <w:rsid w:val="00ED43C9"/>
    <w:rsid w:val="00ED47EE"/>
    <w:rsid w:val="00ED553B"/>
    <w:rsid w:val="00EE085F"/>
    <w:rsid w:val="00EE25B8"/>
    <w:rsid w:val="00EE2C60"/>
    <w:rsid w:val="00EE2E58"/>
    <w:rsid w:val="00EE487A"/>
    <w:rsid w:val="00EE734C"/>
    <w:rsid w:val="00EF4E0E"/>
    <w:rsid w:val="00EF5267"/>
    <w:rsid w:val="00EF6907"/>
    <w:rsid w:val="00EF6D91"/>
    <w:rsid w:val="00F01F54"/>
    <w:rsid w:val="00F04D4D"/>
    <w:rsid w:val="00F11DD8"/>
    <w:rsid w:val="00F12745"/>
    <w:rsid w:val="00F13766"/>
    <w:rsid w:val="00F14364"/>
    <w:rsid w:val="00F20A77"/>
    <w:rsid w:val="00F22C60"/>
    <w:rsid w:val="00F231A4"/>
    <w:rsid w:val="00F23252"/>
    <w:rsid w:val="00F24B5B"/>
    <w:rsid w:val="00F27B2A"/>
    <w:rsid w:val="00F31762"/>
    <w:rsid w:val="00F323B0"/>
    <w:rsid w:val="00F33BB2"/>
    <w:rsid w:val="00F345D3"/>
    <w:rsid w:val="00F356ED"/>
    <w:rsid w:val="00F359B5"/>
    <w:rsid w:val="00F35B89"/>
    <w:rsid w:val="00F4144F"/>
    <w:rsid w:val="00F433F3"/>
    <w:rsid w:val="00F47F64"/>
    <w:rsid w:val="00F50829"/>
    <w:rsid w:val="00F522D9"/>
    <w:rsid w:val="00F52F54"/>
    <w:rsid w:val="00F53584"/>
    <w:rsid w:val="00F55922"/>
    <w:rsid w:val="00F61B24"/>
    <w:rsid w:val="00F62DE5"/>
    <w:rsid w:val="00F63F8A"/>
    <w:rsid w:val="00F64D58"/>
    <w:rsid w:val="00F6514E"/>
    <w:rsid w:val="00F703DC"/>
    <w:rsid w:val="00F71D06"/>
    <w:rsid w:val="00F737A3"/>
    <w:rsid w:val="00F73B46"/>
    <w:rsid w:val="00F73D01"/>
    <w:rsid w:val="00F7642B"/>
    <w:rsid w:val="00F76A43"/>
    <w:rsid w:val="00F80334"/>
    <w:rsid w:val="00F8139D"/>
    <w:rsid w:val="00F83DF9"/>
    <w:rsid w:val="00F85DA0"/>
    <w:rsid w:val="00F87E9E"/>
    <w:rsid w:val="00F90295"/>
    <w:rsid w:val="00F930AF"/>
    <w:rsid w:val="00F9352C"/>
    <w:rsid w:val="00F93664"/>
    <w:rsid w:val="00F975B0"/>
    <w:rsid w:val="00FA15F1"/>
    <w:rsid w:val="00FA19F5"/>
    <w:rsid w:val="00FA338F"/>
    <w:rsid w:val="00FA4A69"/>
    <w:rsid w:val="00FA58AA"/>
    <w:rsid w:val="00FA649A"/>
    <w:rsid w:val="00FB1248"/>
    <w:rsid w:val="00FB208D"/>
    <w:rsid w:val="00FB3A4F"/>
    <w:rsid w:val="00FB3CF4"/>
    <w:rsid w:val="00FB4A27"/>
    <w:rsid w:val="00FB4A49"/>
    <w:rsid w:val="00FB69B3"/>
    <w:rsid w:val="00FC03B6"/>
    <w:rsid w:val="00FC6FBE"/>
    <w:rsid w:val="00FD1162"/>
    <w:rsid w:val="00FD2232"/>
    <w:rsid w:val="00FD4AE7"/>
    <w:rsid w:val="00FD5ADD"/>
    <w:rsid w:val="00FD65A9"/>
    <w:rsid w:val="00FD7508"/>
    <w:rsid w:val="00FE1E51"/>
    <w:rsid w:val="00FE2022"/>
    <w:rsid w:val="00FE2496"/>
    <w:rsid w:val="00FE6A2B"/>
    <w:rsid w:val="00FF0275"/>
    <w:rsid w:val="00FF07B3"/>
    <w:rsid w:val="00FF1E37"/>
    <w:rsid w:val="00FF73E7"/>
    <w:rsid w:val="02682C97"/>
    <w:rsid w:val="04735F5F"/>
    <w:rsid w:val="05D61022"/>
    <w:rsid w:val="098F757A"/>
    <w:rsid w:val="12C17D51"/>
    <w:rsid w:val="178337E3"/>
    <w:rsid w:val="1AEC0734"/>
    <w:rsid w:val="1CA0176E"/>
    <w:rsid w:val="21667E5D"/>
    <w:rsid w:val="22AC577D"/>
    <w:rsid w:val="23321BB6"/>
    <w:rsid w:val="24061828"/>
    <w:rsid w:val="2E4D4E71"/>
    <w:rsid w:val="2EFFE297"/>
    <w:rsid w:val="30253FE9"/>
    <w:rsid w:val="319C1E2A"/>
    <w:rsid w:val="338D664A"/>
    <w:rsid w:val="37A72BC3"/>
    <w:rsid w:val="3C281FC3"/>
    <w:rsid w:val="3F0558C8"/>
    <w:rsid w:val="405E1DF2"/>
    <w:rsid w:val="43303783"/>
    <w:rsid w:val="436175D1"/>
    <w:rsid w:val="46E60078"/>
    <w:rsid w:val="4989181D"/>
    <w:rsid w:val="4BC36A84"/>
    <w:rsid w:val="4BF72BEF"/>
    <w:rsid w:val="506477B4"/>
    <w:rsid w:val="53B837A4"/>
    <w:rsid w:val="56FF5F07"/>
    <w:rsid w:val="58C33DB3"/>
    <w:rsid w:val="5CEB3319"/>
    <w:rsid w:val="5D5A3C29"/>
    <w:rsid w:val="61720EED"/>
    <w:rsid w:val="637F4CE2"/>
    <w:rsid w:val="63DC240C"/>
    <w:rsid w:val="64CF4B95"/>
    <w:rsid w:val="670A2B72"/>
    <w:rsid w:val="69034358"/>
    <w:rsid w:val="6B0526E9"/>
    <w:rsid w:val="6C8C571F"/>
    <w:rsid w:val="76367522"/>
    <w:rsid w:val="773441F8"/>
    <w:rsid w:val="7A7F1C49"/>
    <w:rsid w:val="7B5B7AE6"/>
    <w:rsid w:val="7BA7071E"/>
    <w:rsid w:val="7BDF6DA8"/>
    <w:rsid w:val="7C7EDC1A"/>
    <w:rsid w:val="7D08410F"/>
    <w:rsid w:val="7DB96DED"/>
    <w:rsid w:val="7E9E087D"/>
    <w:rsid w:val="7F7FE70F"/>
    <w:rsid w:val="7FFF772F"/>
    <w:rsid w:val="95F35EF6"/>
    <w:rsid w:val="9BFFD860"/>
    <w:rsid w:val="AC5F73DE"/>
    <w:rsid w:val="B5DDD2C8"/>
    <w:rsid w:val="B9DFABD9"/>
    <w:rsid w:val="BC0D83FC"/>
    <w:rsid w:val="BDEF24AE"/>
    <w:rsid w:val="BE5E8BE6"/>
    <w:rsid w:val="BF3BDEFB"/>
    <w:rsid w:val="C67FFC33"/>
    <w:rsid w:val="C7F7ED2D"/>
    <w:rsid w:val="D8D7928E"/>
    <w:rsid w:val="D8FE3136"/>
    <w:rsid w:val="DDDE60B7"/>
    <w:rsid w:val="DF4FCE6A"/>
    <w:rsid w:val="E863BC1B"/>
    <w:rsid w:val="EDAA365C"/>
    <w:rsid w:val="EDADFC12"/>
    <w:rsid w:val="F63E0EE6"/>
    <w:rsid w:val="F7F709E9"/>
    <w:rsid w:val="F7FF3690"/>
    <w:rsid w:val="F9BD3900"/>
    <w:rsid w:val="FAAC51FA"/>
    <w:rsid w:val="FC8B9876"/>
    <w:rsid w:val="FEDFFFFF"/>
    <w:rsid w:val="FFF6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uiPriority w:val="0"/>
    <w:pPr>
      <w:ind w:firstLine="645"/>
    </w:pPr>
    <w:rPr>
      <w:rFonts w:ascii="仿宋_GB2312" w:hAnsi="Calibri" w:eastAsia="仿宋_GB2312"/>
      <w:sz w:val="32"/>
      <w:szCs w:val="32"/>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uiPriority w:val="0"/>
  </w:style>
  <w:style w:type="character" w:customStyle="1" w:styleId="14">
    <w:name w:val="页脚 Char"/>
    <w:qFormat/>
    <w:uiPriority w:val="0"/>
    <w:rPr>
      <w:rFonts w:eastAsia="宋体"/>
      <w:kern w:val="2"/>
      <w:sz w:val="18"/>
      <w:szCs w:val="18"/>
      <w:lang w:val="en-US" w:eastAsia="zh-CN" w:bidi="ar-SA"/>
    </w:rPr>
  </w:style>
  <w:style w:type="character" w:customStyle="1" w:styleId="15">
    <w:name w:val="页眉 Char"/>
    <w:uiPriority w:val="0"/>
    <w:rPr>
      <w:rFonts w:ascii="Calibri" w:hAnsi="Calibri" w:eastAsia="宋体"/>
      <w:kern w:val="2"/>
      <w:sz w:val="18"/>
      <w:szCs w:val="18"/>
      <w:lang w:val="en-US" w:eastAsia="zh-CN" w:bidi="ar-SA"/>
    </w:rPr>
  </w:style>
  <w:style w:type="paragraph" w:customStyle="1" w:styleId="16">
    <w:name w:val="Char Char Char Char Char Char Char"/>
    <w:basedOn w:val="1"/>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uiPriority w:val="0"/>
    <w:rPr>
      <w:rFonts w:ascii="Tahoma" w:hAnsi="Tahoma"/>
      <w:sz w:val="24"/>
      <w:szCs w:val="20"/>
    </w:rPr>
  </w:style>
  <w:style w:type="paragraph" w:customStyle="1" w:styleId="19">
    <w:name w:val="Char Char3 Char Char"/>
    <w:basedOn w:val="1"/>
    <w:uiPriority w:val="0"/>
    <w:rPr>
      <w:szCs w:val="21"/>
    </w:rPr>
  </w:style>
  <w:style w:type="paragraph" w:customStyle="1" w:styleId="20">
    <w:name w:val="WPSOffice手动目录 1"/>
    <w:uiPriority w:val="0"/>
    <w:rPr>
      <w:rFonts w:ascii="Times New Roman" w:hAnsi="Times New Roman" w:eastAsia="宋体" w:cs="Times New Roman"/>
      <w:lang w:val="en-US" w:eastAsia="zh-CN" w:bidi="ar-SA"/>
    </w:rPr>
  </w:style>
  <w:style w:type="paragraph" w:customStyle="1" w:styleId="21">
    <w:name w:val="WPSOffice手动目录 2"/>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支出比例</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88.95%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11.05%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基本支出</c:v>
                </c:pt>
                <c:pt idx="1">
                  <c:v>项目支出</c:v>
                </c:pt>
              </c:strCache>
            </c:strRef>
          </c:cat>
          <c:val>
            <c:numRef>
              <c:f>Sheet1!$B$2:$B$5</c:f>
              <c:numCache>
                <c:formatCode>0.00%</c:formatCode>
                <c:ptCount val="4"/>
                <c:pt idx="0">
                  <c:v>0.868</c:v>
                </c:pt>
                <c:pt idx="1">
                  <c:v>0.132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1175</Words>
  <Characters>6704</Characters>
  <Lines>55</Lines>
  <Paragraphs>15</Paragraphs>
  <TotalTime>441</TotalTime>
  <ScaleCrop>false</ScaleCrop>
  <LinksUpToDate>false</LinksUpToDate>
  <CharactersWithSpaces>7864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2024-08-16T02:58:00Z</dcterms:created>
  <dc:creator>常程</dc:creator>
  <cp:lastModifiedBy>刘剑</cp:lastModifiedBy>
  <cp:lastPrinted>2023-06-01T00:59:00Z</cp:lastPrinted>
  <dcterms:modified xsi:type="dcterms:W3CDTF">2025-10-21T09:43:07Z</dcterms:modified>
  <dc:title>北京市财政局关于做好向市人大常委会报送2015年度市级部门决算（草案）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