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hAnsi="黑体" w:eastAsia="黑体"/>
          <w:sz w:val="32"/>
          <w:szCs w:val="32"/>
        </w:rPr>
      </w:pPr>
      <w:r>
        <w:rPr>
          <w:rFonts w:hint="eastAsia" w:ascii="黑体" w:hAnsi="黑体" w:eastAsia="黑体"/>
          <w:sz w:val="32"/>
          <w:szCs w:val="32"/>
        </w:rPr>
        <w:t>附件2</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北京市城管执法行政处罚裁量基准表</w:t>
      </w:r>
    </w:p>
    <w:p>
      <w:pPr>
        <w:spacing w:line="0" w:lineRule="atLeast"/>
        <w:jc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2020.5</w:t>
      </w:r>
      <w:r>
        <w:rPr>
          <w:rFonts w:hint="eastAsia" w:ascii="仿宋_GB2312" w:eastAsia="仿宋_GB2312"/>
          <w:sz w:val="32"/>
          <w:szCs w:val="32"/>
        </w:rPr>
        <w:t>生活</w:t>
      </w:r>
      <w:r>
        <w:rPr>
          <w:rFonts w:ascii="仿宋_GB2312" w:eastAsia="仿宋_GB2312"/>
          <w:sz w:val="32"/>
          <w:szCs w:val="32"/>
        </w:rPr>
        <w:t>垃圾条例+物业条例</w:t>
      </w:r>
      <w:r>
        <w:rPr>
          <w:rFonts w:hint="eastAsia" w:ascii="仿宋_GB2312" w:eastAsia="仿宋_GB2312"/>
          <w:sz w:val="32"/>
          <w:szCs w:val="32"/>
        </w:rPr>
        <w:t>）</w:t>
      </w:r>
    </w:p>
    <w:p>
      <w:pPr>
        <w:pStyle w:val="14"/>
        <w:tabs>
          <w:tab w:val="right" w:leader="dot" w:pos="8834"/>
        </w:tabs>
      </w:pPr>
    </w:p>
    <w:p>
      <w:pPr>
        <w:pStyle w:val="14"/>
        <w:tabs>
          <w:tab w:val="right" w:leader="dot" w:pos="8834"/>
        </w:tabs>
        <w:rPr>
          <w:kern w:val="2"/>
          <w:sz w:val="21"/>
        </w:rPr>
      </w:pPr>
      <w:r>
        <w:fldChar w:fldCharType="begin"/>
      </w:r>
      <w:r>
        <w:instrText xml:space="preserve"> TOC \o "1-3" \h \z \u </w:instrText>
      </w:r>
      <w:r>
        <w:fldChar w:fldCharType="separate"/>
      </w:r>
      <w:r>
        <w:fldChar w:fldCharType="begin"/>
      </w:r>
      <w:r>
        <w:instrText xml:space="preserve"> HYPERLINK \l "_Toc39911664" </w:instrText>
      </w:r>
      <w:r>
        <w:fldChar w:fldCharType="separate"/>
      </w:r>
      <w:r>
        <w:rPr>
          <w:rStyle w:val="24"/>
          <w:rFonts w:hint="eastAsia"/>
        </w:rPr>
        <w:t>市容环境卫生管理方面</w:t>
      </w:r>
      <w:r>
        <w:rPr>
          <w:rStyle w:val="24"/>
        </w:rPr>
        <w:t>179</w:t>
      </w:r>
      <w:r>
        <w:rPr>
          <w:rStyle w:val="24"/>
          <w:rFonts w:hint="eastAsia"/>
        </w:rPr>
        <w:t>项</w:t>
      </w:r>
      <w:r>
        <w:tab/>
      </w:r>
      <w:r>
        <w:fldChar w:fldCharType="begin"/>
      </w:r>
      <w:r>
        <w:instrText xml:space="preserve"> PAGEREF _Toc39911664 \h </w:instrText>
      </w:r>
      <w:r>
        <w:fldChar w:fldCharType="separate"/>
      </w:r>
      <w:r>
        <w:t>4</w:t>
      </w:r>
      <w:r>
        <w:fldChar w:fldCharType="end"/>
      </w:r>
      <w:r>
        <w:fldChar w:fldCharType="end"/>
      </w:r>
    </w:p>
    <w:p>
      <w:pPr>
        <w:pStyle w:val="16"/>
        <w:tabs>
          <w:tab w:val="right" w:leader="dot" w:pos="8834"/>
        </w:tabs>
        <w:rPr>
          <w:kern w:val="2"/>
          <w:sz w:val="21"/>
        </w:rPr>
      </w:pPr>
      <w:r>
        <w:fldChar w:fldCharType="begin"/>
      </w:r>
      <w:r>
        <w:instrText xml:space="preserve"> HYPERLINK \l "_Toc39911665" </w:instrText>
      </w:r>
      <w:r>
        <w:fldChar w:fldCharType="separate"/>
      </w:r>
      <w:r>
        <w:rPr>
          <w:rStyle w:val="24"/>
          <w:rFonts w:hint="eastAsia"/>
        </w:rPr>
        <w:t>《北京市市容环境卫生条例》案由</w:t>
      </w:r>
      <w:r>
        <w:rPr>
          <w:rStyle w:val="24"/>
        </w:rPr>
        <w:t>75</w:t>
      </w:r>
      <w:r>
        <w:rPr>
          <w:rStyle w:val="24"/>
          <w:rFonts w:hint="eastAsia"/>
        </w:rPr>
        <w:t>项</w:t>
      </w:r>
      <w:r>
        <w:tab/>
      </w:r>
      <w:r>
        <w:fldChar w:fldCharType="begin"/>
      </w:r>
      <w:r>
        <w:instrText xml:space="preserve"> PAGEREF _Toc39911665 \h </w:instrText>
      </w:r>
      <w:r>
        <w:fldChar w:fldCharType="separate"/>
      </w:r>
      <w:r>
        <w:t>4</w:t>
      </w:r>
      <w:r>
        <w:fldChar w:fldCharType="end"/>
      </w:r>
      <w:r>
        <w:fldChar w:fldCharType="end"/>
      </w:r>
    </w:p>
    <w:p>
      <w:pPr>
        <w:pStyle w:val="16"/>
        <w:tabs>
          <w:tab w:val="right" w:leader="dot" w:pos="8834"/>
        </w:tabs>
        <w:rPr>
          <w:kern w:val="2"/>
          <w:sz w:val="21"/>
        </w:rPr>
      </w:pPr>
      <w:r>
        <w:fldChar w:fldCharType="begin"/>
      </w:r>
      <w:r>
        <w:instrText xml:space="preserve"> HYPERLINK \l "_Toc39911666" </w:instrText>
      </w:r>
      <w:r>
        <w:fldChar w:fldCharType="separate"/>
      </w:r>
      <w:r>
        <w:rPr>
          <w:rStyle w:val="24"/>
          <w:rFonts w:hint="eastAsia"/>
        </w:rPr>
        <w:t>《北京市生活垃圾管理条例》案由</w:t>
      </w:r>
      <w:r>
        <w:rPr>
          <w:rStyle w:val="24"/>
        </w:rPr>
        <w:t>3</w:t>
      </w:r>
      <w:r>
        <w:rPr>
          <w:rStyle w:val="24"/>
          <w:rFonts w:hint="eastAsia"/>
          <w:lang w:val="en-US" w:eastAsia="zh-CN"/>
        </w:rPr>
        <w:t>6</w:t>
      </w:r>
      <w:r>
        <w:rPr>
          <w:rStyle w:val="24"/>
          <w:rFonts w:hint="eastAsia"/>
        </w:rPr>
        <w:t>项</w:t>
      </w:r>
      <w:r>
        <w:tab/>
      </w:r>
      <w:r>
        <w:fldChar w:fldCharType="begin"/>
      </w:r>
      <w:r>
        <w:instrText xml:space="preserve"> PAGEREF _Toc39911666 \h </w:instrText>
      </w:r>
      <w:r>
        <w:fldChar w:fldCharType="separate"/>
      </w:r>
      <w:r>
        <w:t>23</w:t>
      </w:r>
      <w:r>
        <w:fldChar w:fldCharType="end"/>
      </w:r>
      <w:r>
        <w:fldChar w:fldCharType="end"/>
      </w:r>
    </w:p>
    <w:p>
      <w:pPr>
        <w:pStyle w:val="16"/>
        <w:tabs>
          <w:tab w:val="right" w:leader="dot" w:pos="8834"/>
        </w:tabs>
        <w:rPr>
          <w:kern w:val="2"/>
          <w:sz w:val="21"/>
        </w:rPr>
      </w:pPr>
      <w:r>
        <w:fldChar w:fldCharType="begin"/>
      </w:r>
      <w:r>
        <w:instrText xml:space="preserve"> HYPERLINK \l "_Toc39911667" </w:instrText>
      </w:r>
      <w:r>
        <w:fldChar w:fldCharType="separate"/>
      </w:r>
      <w:r>
        <w:rPr>
          <w:rStyle w:val="24"/>
          <w:rFonts w:hint="eastAsia"/>
        </w:rPr>
        <w:t>《城市生活垃圾管理办法》案由</w:t>
      </w:r>
      <w:r>
        <w:rPr>
          <w:rStyle w:val="24"/>
        </w:rPr>
        <w:t>11</w:t>
      </w:r>
      <w:r>
        <w:rPr>
          <w:rStyle w:val="24"/>
          <w:rFonts w:hint="eastAsia"/>
        </w:rPr>
        <w:t>项</w:t>
      </w:r>
      <w:r>
        <w:tab/>
      </w:r>
      <w:r>
        <w:fldChar w:fldCharType="begin"/>
      </w:r>
      <w:r>
        <w:instrText xml:space="preserve"> PAGEREF _Toc39911667 \h </w:instrText>
      </w:r>
      <w:r>
        <w:fldChar w:fldCharType="separate"/>
      </w:r>
      <w:r>
        <w:t>38</w:t>
      </w:r>
      <w:r>
        <w:fldChar w:fldCharType="end"/>
      </w:r>
      <w:r>
        <w:fldChar w:fldCharType="end"/>
      </w:r>
    </w:p>
    <w:p>
      <w:pPr>
        <w:pStyle w:val="16"/>
        <w:tabs>
          <w:tab w:val="right" w:leader="dot" w:pos="8834"/>
        </w:tabs>
        <w:rPr>
          <w:kern w:val="2"/>
          <w:sz w:val="21"/>
        </w:rPr>
      </w:pPr>
      <w:r>
        <w:fldChar w:fldCharType="begin"/>
      </w:r>
      <w:r>
        <w:instrText xml:space="preserve"> HYPERLINK \l "_Toc39911668" </w:instrText>
      </w:r>
      <w:r>
        <w:fldChar w:fldCharType="separate"/>
      </w:r>
      <w:r>
        <w:rPr>
          <w:rStyle w:val="24"/>
          <w:rFonts w:hint="eastAsia"/>
        </w:rPr>
        <w:t>《城市建筑垃圾管理规定》案由</w:t>
      </w:r>
      <w:r>
        <w:rPr>
          <w:rStyle w:val="24"/>
        </w:rPr>
        <w:t>11</w:t>
      </w:r>
      <w:r>
        <w:rPr>
          <w:rStyle w:val="24"/>
          <w:rFonts w:hint="eastAsia"/>
        </w:rPr>
        <w:t>项</w:t>
      </w:r>
      <w:r>
        <w:tab/>
      </w:r>
      <w:r>
        <w:fldChar w:fldCharType="begin"/>
      </w:r>
      <w:r>
        <w:instrText xml:space="preserve"> PAGEREF _Toc39911668 \h </w:instrText>
      </w:r>
      <w:r>
        <w:fldChar w:fldCharType="separate"/>
      </w:r>
      <w:r>
        <w:t>41</w:t>
      </w:r>
      <w:r>
        <w:fldChar w:fldCharType="end"/>
      </w:r>
      <w:r>
        <w:fldChar w:fldCharType="end"/>
      </w:r>
    </w:p>
    <w:p>
      <w:pPr>
        <w:pStyle w:val="16"/>
        <w:tabs>
          <w:tab w:val="right" w:leader="dot" w:pos="8834"/>
        </w:tabs>
        <w:rPr>
          <w:kern w:val="2"/>
          <w:sz w:val="21"/>
        </w:rPr>
      </w:pPr>
      <w:r>
        <w:fldChar w:fldCharType="begin"/>
      </w:r>
      <w:r>
        <w:instrText xml:space="preserve"> HYPERLINK \l "_Toc39911669" </w:instrText>
      </w:r>
      <w:r>
        <w:fldChar w:fldCharType="separate"/>
      </w:r>
      <w:r>
        <w:rPr>
          <w:rStyle w:val="24"/>
          <w:rFonts w:hint="eastAsia"/>
        </w:rPr>
        <w:t>《中华人民共和国固体废物污染环境防治法》案由</w:t>
      </w:r>
      <w:r>
        <w:rPr>
          <w:rStyle w:val="24"/>
        </w:rPr>
        <w:t>5</w:t>
      </w:r>
      <w:r>
        <w:rPr>
          <w:rStyle w:val="24"/>
          <w:rFonts w:hint="eastAsia"/>
        </w:rPr>
        <w:t>项</w:t>
      </w:r>
      <w:r>
        <w:tab/>
      </w:r>
      <w:r>
        <w:fldChar w:fldCharType="begin"/>
      </w:r>
      <w:r>
        <w:instrText xml:space="preserve"> PAGEREF _Toc39911669 \h </w:instrText>
      </w:r>
      <w:r>
        <w:fldChar w:fldCharType="separate"/>
      </w:r>
      <w:r>
        <w:t>44</w:t>
      </w:r>
      <w:r>
        <w:fldChar w:fldCharType="end"/>
      </w:r>
      <w:r>
        <w:fldChar w:fldCharType="end"/>
      </w:r>
    </w:p>
    <w:p>
      <w:pPr>
        <w:pStyle w:val="16"/>
        <w:tabs>
          <w:tab w:val="right" w:leader="dot" w:pos="8834"/>
        </w:tabs>
        <w:rPr>
          <w:kern w:val="2"/>
          <w:sz w:val="21"/>
        </w:rPr>
      </w:pPr>
      <w:r>
        <w:fldChar w:fldCharType="begin"/>
      </w:r>
      <w:r>
        <w:instrText xml:space="preserve"> HYPERLINK \l "_Toc39911670" </w:instrText>
      </w:r>
      <w:r>
        <w:fldChar w:fldCharType="separate"/>
      </w:r>
      <w:r>
        <w:rPr>
          <w:rStyle w:val="24"/>
          <w:rFonts w:hint="eastAsia"/>
        </w:rPr>
        <w:t>《北京市“门前三包”责任制管理办法》案由</w:t>
      </w:r>
      <w:r>
        <w:rPr>
          <w:rStyle w:val="24"/>
        </w:rPr>
        <w:t>1</w:t>
      </w:r>
      <w:r>
        <w:rPr>
          <w:rStyle w:val="24"/>
          <w:rFonts w:hint="eastAsia"/>
        </w:rPr>
        <w:t>项</w:t>
      </w:r>
      <w:r>
        <w:tab/>
      </w:r>
      <w:r>
        <w:fldChar w:fldCharType="begin"/>
      </w:r>
      <w:r>
        <w:instrText xml:space="preserve"> PAGEREF _Toc39911670 \h </w:instrText>
      </w:r>
      <w:r>
        <w:fldChar w:fldCharType="separate"/>
      </w:r>
      <w:r>
        <w:t>46</w:t>
      </w:r>
      <w:r>
        <w:fldChar w:fldCharType="end"/>
      </w:r>
      <w:r>
        <w:fldChar w:fldCharType="end"/>
      </w:r>
    </w:p>
    <w:p>
      <w:pPr>
        <w:pStyle w:val="16"/>
        <w:tabs>
          <w:tab w:val="right" w:leader="dot" w:pos="8834"/>
        </w:tabs>
        <w:rPr>
          <w:kern w:val="2"/>
          <w:sz w:val="21"/>
        </w:rPr>
      </w:pPr>
      <w:r>
        <w:fldChar w:fldCharType="begin"/>
      </w:r>
      <w:r>
        <w:instrText xml:space="preserve"> HYPERLINK \l "_Toc39911671" </w:instrText>
      </w:r>
      <w:r>
        <w:fldChar w:fldCharType="separate"/>
      </w:r>
      <w:r>
        <w:rPr>
          <w:rStyle w:val="24"/>
          <w:rFonts w:hint="eastAsia"/>
        </w:rPr>
        <w:t>《北京市人民政府关于扫雪铲冰管理的规定》案由</w:t>
      </w:r>
      <w:r>
        <w:rPr>
          <w:rStyle w:val="24"/>
        </w:rPr>
        <w:t>1</w:t>
      </w:r>
      <w:r>
        <w:rPr>
          <w:rStyle w:val="24"/>
          <w:rFonts w:hint="eastAsia"/>
        </w:rPr>
        <w:t>项</w:t>
      </w:r>
      <w:r>
        <w:tab/>
      </w:r>
      <w:r>
        <w:fldChar w:fldCharType="begin"/>
      </w:r>
      <w:r>
        <w:instrText xml:space="preserve"> PAGEREF _Toc39911671 \h </w:instrText>
      </w:r>
      <w:r>
        <w:fldChar w:fldCharType="separate"/>
      </w:r>
      <w:r>
        <w:t>46</w:t>
      </w:r>
      <w:r>
        <w:fldChar w:fldCharType="end"/>
      </w:r>
      <w:r>
        <w:fldChar w:fldCharType="end"/>
      </w:r>
    </w:p>
    <w:p>
      <w:pPr>
        <w:pStyle w:val="16"/>
        <w:tabs>
          <w:tab w:val="right" w:leader="dot" w:pos="8834"/>
        </w:tabs>
        <w:rPr>
          <w:kern w:val="2"/>
          <w:sz w:val="21"/>
        </w:rPr>
      </w:pPr>
      <w:r>
        <w:fldChar w:fldCharType="begin"/>
      </w:r>
      <w:r>
        <w:instrText xml:space="preserve"> HYPERLINK \l "_Toc39911672" </w:instrText>
      </w:r>
      <w:r>
        <w:fldChar w:fldCharType="separate"/>
      </w:r>
      <w:r>
        <w:rPr>
          <w:rStyle w:val="24"/>
          <w:rFonts w:hint="eastAsia"/>
        </w:rPr>
        <w:t>《北京市户外广告设置管理办法》案由</w:t>
      </w:r>
      <w:r>
        <w:rPr>
          <w:rStyle w:val="24"/>
        </w:rPr>
        <w:t>2</w:t>
      </w:r>
      <w:r>
        <w:rPr>
          <w:rStyle w:val="24"/>
          <w:rFonts w:hint="eastAsia"/>
        </w:rPr>
        <w:t>项</w:t>
      </w:r>
      <w:r>
        <w:tab/>
      </w:r>
      <w:r>
        <w:fldChar w:fldCharType="begin"/>
      </w:r>
      <w:r>
        <w:instrText xml:space="preserve"> PAGEREF _Toc39911672 \h </w:instrText>
      </w:r>
      <w:r>
        <w:fldChar w:fldCharType="separate"/>
      </w:r>
      <w:r>
        <w:t>46</w:t>
      </w:r>
      <w:r>
        <w:fldChar w:fldCharType="end"/>
      </w:r>
      <w:r>
        <w:fldChar w:fldCharType="end"/>
      </w:r>
    </w:p>
    <w:p>
      <w:pPr>
        <w:pStyle w:val="16"/>
        <w:tabs>
          <w:tab w:val="right" w:leader="dot" w:pos="8834"/>
        </w:tabs>
        <w:rPr>
          <w:kern w:val="2"/>
          <w:sz w:val="21"/>
        </w:rPr>
      </w:pPr>
      <w:r>
        <w:fldChar w:fldCharType="begin"/>
      </w:r>
      <w:r>
        <w:instrText xml:space="preserve"> HYPERLINK \l "_Toc39911673" </w:instrText>
      </w:r>
      <w:r>
        <w:fldChar w:fldCharType="separate"/>
      </w:r>
      <w:r>
        <w:rPr>
          <w:rStyle w:val="24"/>
          <w:rFonts w:hint="eastAsia"/>
        </w:rPr>
        <w:t>《北京市标语宣传品设置管理规定》案由</w:t>
      </w:r>
      <w:r>
        <w:rPr>
          <w:rStyle w:val="24"/>
        </w:rPr>
        <w:t>6</w:t>
      </w:r>
      <w:r>
        <w:rPr>
          <w:rStyle w:val="24"/>
          <w:rFonts w:hint="eastAsia"/>
        </w:rPr>
        <w:t>项</w:t>
      </w:r>
      <w:r>
        <w:tab/>
      </w:r>
      <w:r>
        <w:fldChar w:fldCharType="begin"/>
      </w:r>
      <w:r>
        <w:instrText xml:space="preserve"> PAGEREF _Toc39911673 \h </w:instrText>
      </w:r>
      <w:r>
        <w:fldChar w:fldCharType="separate"/>
      </w:r>
      <w:r>
        <w:t>47</w:t>
      </w:r>
      <w:r>
        <w:fldChar w:fldCharType="end"/>
      </w:r>
      <w:r>
        <w:fldChar w:fldCharType="end"/>
      </w:r>
    </w:p>
    <w:p>
      <w:pPr>
        <w:pStyle w:val="16"/>
        <w:tabs>
          <w:tab w:val="right" w:leader="dot" w:pos="8834"/>
        </w:tabs>
        <w:rPr>
          <w:kern w:val="2"/>
          <w:sz w:val="21"/>
        </w:rPr>
      </w:pPr>
      <w:r>
        <w:fldChar w:fldCharType="begin"/>
      </w:r>
      <w:r>
        <w:instrText xml:space="preserve"> HYPERLINK \l "_Toc39911674" </w:instrText>
      </w:r>
      <w:r>
        <w:fldChar w:fldCharType="separate"/>
      </w:r>
      <w:r>
        <w:rPr>
          <w:rStyle w:val="24"/>
          <w:rFonts w:hint="eastAsia"/>
        </w:rPr>
        <w:t>《北京市城市道路和公共场所环境卫生管理若干规定》案由</w:t>
      </w:r>
      <w:r>
        <w:rPr>
          <w:rStyle w:val="24"/>
        </w:rPr>
        <w:t>7</w:t>
      </w:r>
      <w:r>
        <w:rPr>
          <w:rStyle w:val="24"/>
          <w:rFonts w:hint="eastAsia"/>
        </w:rPr>
        <w:t>项</w:t>
      </w:r>
      <w:r>
        <w:tab/>
      </w:r>
      <w:r>
        <w:fldChar w:fldCharType="begin"/>
      </w:r>
      <w:r>
        <w:instrText xml:space="preserve"> PAGEREF _Toc39911674 \h </w:instrText>
      </w:r>
      <w:r>
        <w:fldChar w:fldCharType="separate"/>
      </w:r>
      <w:r>
        <w:t>47</w:t>
      </w:r>
      <w:r>
        <w:fldChar w:fldCharType="end"/>
      </w:r>
      <w:r>
        <w:fldChar w:fldCharType="end"/>
      </w:r>
    </w:p>
    <w:p>
      <w:pPr>
        <w:pStyle w:val="16"/>
        <w:tabs>
          <w:tab w:val="right" w:leader="dot" w:pos="8834"/>
        </w:tabs>
        <w:rPr>
          <w:kern w:val="2"/>
          <w:sz w:val="21"/>
        </w:rPr>
      </w:pPr>
      <w:r>
        <w:fldChar w:fldCharType="begin"/>
      </w:r>
      <w:r>
        <w:instrText xml:space="preserve"> HYPERLINK \l "_Toc39911675" </w:instrText>
      </w:r>
      <w:r>
        <w:fldChar w:fldCharType="separate"/>
      </w:r>
      <w:r>
        <w:rPr>
          <w:rStyle w:val="24"/>
          <w:rFonts w:hint="eastAsia"/>
        </w:rPr>
        <w:t>《北京市人民政府关于禁止车辆运输泄漏遗撒的规定》案由</w:t>
      </w:r>
      <w:r>
        <w:rPr>
          <w:rStyle w:val="24"/>
        </w:rPr>
        <w:t>7</w:t>
      </w:r>
      <w:r>
        <w:rPr>
          <w:rStyle w:val="24"/>
          <w:rFonts w:hint="eastAsia"/>
        </w:rPr>
        <w:t>项</w:t>
      </w:r>
      <w:r>
        <w:tab/>
      </w:r>
      <w:r>
        <w:fldChar w:fldCharType="begin"/>
      </w:r>
      <w:r>
        <w:instrText xml:space="preserve"> PAGEREF _Toc39911675 \h </w:instrText>
      </w:r>
      <w:r>
        <w:fldChar w:fldCharType="separate"/>
      </w:r>
      <w:r>
        <w:t>49</w:t>
      </w:r>
      <w:r>
        <w:fldChar w:fldCharType="end"/>
      </w:r>
      <w:r>
        <w:fldChar w:fldCharType="end"/>
      </w:r>
    </w:p>
    <w:p>
      <w:pPr>
        <w:pStyle w:val="16"/>
        <w:tabs>
          <w:tab w:val="right" w:leader="dot" w:pos="8834"/>
        </w:tabs>
        <w:rPr>
          <w:kern w:val="2"/>
          <w:sz w:val="21"/>
        </w:rPr>
      </w:pPr>
      <w:r>
        <w:fldChar w:fldCharType="begin"/>
      </w:r>
      <w:r>
        <w:instrText xml:space="preserve"> HYPERLINK \l "_Toc39911676" </w:instrText>
      </w:r>
      <w:r>
        <w:fldChar w:fldCharType="separate"/>
      </w:r>
      <w:r>
        <w:rPr>
          <w:rStyle w:val="24"/>
          <w:rFonts w:hint="eastAsia"/>
        </w:rPr>
        <w:t>《北京市人民政府关于加强垃圾渣土管理的规定》案由</w:t>
      </w:r>
      <w:r>
        <w:rPr>
          <w:rStyle w:val="24"/>
        </w:rPr>
        <w:t>5</w:t>
      </w:r>
      <w:r>
        <w:rPr>
          <w:rStyle w:val="24"/>
          <w:rFonts w:hint="eastAsia"/>
        </w:rPr>
        <w:t>项</w:t>
      </w:r>
      <w:r>
        <w:tab/>
      </w:r>
      <w:r>
        <w:fldChar w:fldCharType="begin"/>
      </w:r>
      <w:r>
        <w:instrText xml:space="preserve"> PAGEREF _Toc39911676 \h </w:instrText>
      </w:r>
      <w:r>
        <w:fldChar w:fldCharType="separate"/>
      </w:r>
      <w:r>
        <w:t>50</w:t>
      </w:r>
      <w:r>
        <w:fldChar w:fldCharType="end"/>
      </w:r>
      <w:r>
        <w:fldChar w:fldCharType="end"/>
      </w:r>
    </w:p>
    <w:p>
      <w:pPr>
        <w:pStyle w:val="16"/>
        <w:tabs>
          <w:tab w:val="right" w:leader="dot" w:pos="8834"/>
        </w:tabs>
        <w:rPr>
          <w:kern w:val="2"/>
          <w:sz w:val="21"/>
        </w:rPr>
      </w:pPr>
      <w:r>
        <w:fldChar w:fldCharType="begin"/>
      </w:r>
      <w:r>
        <w:instrText xml:space="preserve"> HYPERLINK \l "_Toc39911677" </w:instrText>
      </w:r>
      <w:r>
        <w:fldChar w:fldCharType="separate"/>
      </w:r>
      <w:r>
        <w:rPr>
          <w:rStyle w:val="24"/>
          <w:rFonts w:hint="eastAsia"/>
        </w:rPr>
        <w:t>《北京市养犬管理规定》案由</w:t>
      </w:r>
      <w:r>
        <w:rPr>
          <w:rStyle w:val="24"/>
        </w:rPr>
        <w:t>1</w:t>
      </w:r>
      <w:r>
        <w:rPr>
          <w:rStyle w:val="24"/>
          <w:rFonts w:hint="eastAsia"/>
        </w:rPr>
        <w:t>项</w:t>
      </w:r>
      <w:r>
        <w:tab/>
      </w:r>
      <w:r>
        <w:fldChar w:fldCharType="begin"/>
      </w:r>
      <w:r>
        <w:instrText xml:space="preserve"> PAGEREF _Toc39911677 \h </w:instrText>
      </w:r>
      <w:r>
        <w:fldChar w:fldCharType="separate"/>
      </w:r>
      <w:r>
        <w:t>51</w:t>
      </w:r>
      <w:r>
        <w:fldChar w:fldCharType="end"/>
      </w:r>
      <w:r>
        <w:fldChar w:fldCharType="end"/>
      </w:r>
    </w:p>
    <w:p>
      <w:pPr>
        <w:pStyle w:val="16"/>
        <w:tabs>
          <w:tab w:val="right" w:leader="dot" w:pos="8834"/>
        </w:tabs>
        <w:rPr>
          <w:kern w:val="2"/>
          <w:sz w:val="21"/>
        </w:rPr>
      </w:pPr>
      <w:r>
        <w:fldChar w:fldCharType="begin"/>
      </w:r>
      <w:r>
        <w:instrText xml:space="preserve"> HYPERLINK \l "_Toc39911678" </w:instrText>
      </w:r>
      <w:r>
        <w:fldChar w:fldCharType="separate"/>
      </w:r>
      <w:r>
        <w:rPr>
          <w:rStyle w:val="24"/>
          <w:rFonts w:hint="eastAsia"/>
        </w:rPr>
        <w:t>《北京市长城保护管理办法》案由</w:t>
      </w:r>
      <w:r>
        <w:rPr>
          <w:rStyle w:val="24"/>
        </w:rPr>
        <w:t>1</w:t>
      </w:r>
      <w:r>
        <w:rPr>
          <w:rStyle w:val="24"/>
          <w:rFonts w:hint="eastAsia"/>
        </w:rPr>
        <w:t>项</w:t>
      </w:r>
      <w:r>
        <w:tab/>
      </w:r>
      <w:r>
        <w:fldChar w:fldCharType="begin"/>
      </w:r>
      <w:r>
        <w:instrText xml:space="preserve"> PAGEREF _Toc39911678 \h </w:instrText>
      </w:r>
      <w:r>
        <w:fldChar w:fldCharType="separate"/>
      </w:r>
      <w:r>
        <w:t>52</w:t>
      </w:r>
      <w:r>
        <w:fldChar w:fldCharType="end"/>
      </w:r>
      <w:r>
        <w:fldChar w:fldCharType="end"/>
      </w:r>
    </w:p>
    <w:p>
      <w:pPr>
        <w:pStyle w:val="16"/>
        <w:tabs>
          <w:tab w:val="right" w:leader="dot" w:pos="8834"/>
        </w:tabs>
        <w:rPr>
          <w:kern w:val="2"/>
          <w:sz w:val="21"/>
        </w:rPr>
      </w:pPr>
      <w:r>
        <w:fldChar w:fldCharType="begin"/>
      </w:r>
      <w:r>
        <w:instrText xml:space="preserve"> HYPERLINK \l "_Toc39911679" </w:instrText>
      </w:r>
      <w:r>
        <w:fldChar w:fldCharType="separate"/>
      </w:r>
      <w:r>
        <w:rPr>
          <w:rStyle w:val="24"/>
          <w:rFonts w:hint="eastAsia"/>
        </w:rPr>
        <w:t>《北京历史文化名城保护条例》案由</w:t>
      </w:r>
      <w:r>
        <w:rPr>
          <w:rStyle w:val="24"/>
        </w:rPr>
        <w:t>1</w:t>
      </w:r>
      <w:r>
        <w:rPr>
          <w:rStyle w:val="24"/>
          <w:rFonts w:hint="eastAsia"/>
        </w:rPr>
        <w:t>项</w:t>
      </w:r>
      <w:r>
        <w:tab/>
      </w:r>
      <w:r>
        <w:fldChar w:fldCharType="begin"/>
      </w:r>
      <w:r>
        <w:instrText xml:space="preserve"> PAGEREF _Toc39911679 \h </w:instrText>
      </w:r>
      <w:r>
        <w:fldChar w:fldCharType="separate"/>
      </w:r>
      <w:r>
        <w:t>52</w:t>
      </w:r>
      <w:r>
        <w:fldChar w:fldCharType="end"/>
      </w:r>
      <w:r>
        <w:fldChar w:fldCharType="end"/>
      </w:r>
    </w:p>
    <w:p>
      <w:pPr>
        <w:pStyle w:val="16"/>
        <w:tabs>
          <w:tab w:val="right" w:leader="dot" w:pos="8834"/>
        </w:tabs>
        <w:rPr>
          <w:kern w:val="2"/>
          <w:sz w:val="21"/>
        </w:rPr>
      </w:pPr>
      <w:r>
        <w:fldChar w:fldCharType="begin"/>
      </w:r>
      <w:r>
        <w:instrText xml:space="preserve"> HYPERLINK \l "_Toc39911680" </w:instrText>
      </w:r>
      <w:r>
        <w:fldChar w:fldCharType="separate"/>
      </w:r>
      <w:r>
        <w:rPr>
          <w:rStyle w:val="24"/>
          <w:rFonts w:hint="eastAsia"/>
        </w:rPr>
        <w:t>《北京市架空线管理若干规定》案由</w:t>
      </w:r>
      <w:r>
        <w:rPr>
          <w:rStyle w:val="24"/>
        </w:rPr>
        <w:t>7</w:t>
      </w:r>
      <w:r>
        <w:rPr>
          <w:rStyle w:val="24"/>
          <w:rFonts w:hint="eastAsia"/>
        </w:rPr>
        <w:t>项</w:t>
      </w:r>
      <w:r>
        <w:tab/>
      </w:r>
      <w:r>
        <w:fldChar w:fldCharType="begin"/>
      </w:r>
      <w:r>
        <w:instrText xml:space="preserve"> PAGEREF _Toc39911680 \h </w:instrText>
      </w:r>
      <w:r>
        <w:fldChar w:fldCharType="separate"/>
      </w:r>
      <w:r>
        <w:t>52</w:t>
      </w:r>
      <w:r>
        <w:fldChar w:fldCharType="end"/>
      </w:r>
      <w:r>
        <w:fldChar w:fldCharType="end"/>
      </w:r>
    </w:p>
    <w:p>
      <w:pPr>
        <w:pStyle w:val="16"/>
        <w:tabs>
          <w:tab w:val="right" w:leader="dot" w:pos="8834"/>
        </w:tabs>
        <w:rPr>
          <w:kern w:val="2"/>
          <w:sz w:val="21"/>
        </w:rPr>
      </w:pPr>
      <w:r>
        <w:fldChar w:fldCharType="begin"/>
      </w:r>
      <w:r>
        <w:instrText xml:space="preserve"> HYPERLINK \l "_Toc39911681" </w:instrText>
      </w:r>
      <w:r>
        <w:fldChar w:fldCharType="separate"/>
      </w:r>
      <w:r>
        <w:rPr>
          <w:rStyle w:val="24"/>
          <w:rFonts w:hint="eastAsia"/>
        </w:rPr>
        <w:t>《城市照明管理规定》案由</w:t>
      </w:r>
      <w:r>
        <w:rPr>
          <w:rStyle w:val="24"/>
        </w:rPr>
        <w:t>2</w:t>
      </w:r>
      <w:r>
        <w:rPr>
          <w:rStyle w:val="24"/>
          <w:rFonts w:hint="eastAsia"/>
        </w:rPr>
        <w:t>项</w:t>
      </w:r>
      <w:r>
        <w:tab/>
      </w:r>
      <w:r>
        <w:fldChar w:fldCharType="begin"/>
      </w:r>
      <w:r>
        <w:instrText xml:space="preserve"> PAGEREF _Toc39911681 \h </w:instrText>
      </w:r>
      <w:r>
        <w:fldChar w:fldCharType="separate"/>
      </w:r>
      <w:r>
        <w:t>54</w:t>
      </w:r>
      <w:r>
        <w:fldChar w:fldCharType="end"/>
      </w:r>
      <w:r>
        <w:fldChar w:fldCharType="end"/>
      </w:r>
    </w:p>
    <w:p>
      <w:pPr>
        <w:pStyle w:val="16"/>
        <w:tabs>
          <w:tab w:val="right" w:leader="dot" w:pos="8834"/>
        </w:tabs>
        <w:rPr>
          <w:kern w:val="2"/>
          <w:sz w:val="21"/>
        </w:rPr>
      </w:pPr>
      <w:r>
        <w:fldChar w:fldCharType="begin"/>
      </w:r>
      <w:r>
        <w:instrText xml:space="preserve"> HYPERLINK \l "_Toc39911682" </w:instrText>
      </w:r>
      <w:r>
        <w:fldChar w:fldCharType="separate"/>
      </w:r>
      <w:r>
        <w:rPr>
          <w:rStyle w:val="24"/>
          <w:rFonts w:hint="eastAsia"/>
        </w:rPr>
        <w:t>《北京市物业管理条例》案由</w:t>
      </w:r>
      <w:r>
        <w:rPr>
          <w:rStyle w:val="24"/>
        </w:rPr>
        <w:t>1</w:t>
      </w:r>
      <w:r>
        <w:rPr>
          <w:rStyle w:val="24"/>
          <w:rFonts w:hint="eastAsia"/>
        </w:rPr>
        <w:t>项</w:t>
      </w:r>
      <w:r>
        <w:tab/>
      </w:r>
      <w:r>
        <w:fldChar w:fldCharType="begin"/>
      </w:r>
      <w:r>
        <w:instrText xml:space="preserve"> PAGEREF _Toc39911682 \h </w:instrText>
      </w:r>
      <w:r>
        <w:fldChar w:fldCharType="separate"/>
      </w:r>
      <w:r>
        <w:t>54</w:t>
      </w:r>
      <w:r>
        <w:fldChar w:fldCharType="end"/>
      </w:r>
      <w:r>
        <w:fldChar w:fldCharType="end"/>
      </w:r>
    </w:p>
    <w:p>
      <w:pPr>
        <w:pStyle w:val="14"/>
        <w:tabs>
          <w:tab w:val="right" w:leader="dot" w:pos="8834"/>
        </w:tabs>
        <w:rPr>
          <w:kern w:val="2"/>
          <w:sz w:val="21"/>
        </w:rPr>
      </w:pPr>
      <w:r>
        <w:fldChar w:fldCharType="begin"/>
      </w:r>
      <w:r>
        <w:instrText xml:space="preserve"> HYPERLINK \l "_Toc39911683" </w:instrText>
      </w:r>
      <w:r>
        <w:fldChar w:fldCharType="separate"/>
      </w:r>
      <w:r>
        <w:rPr>
          <w:rStyle w:val="24"/>
          <w:rFonts w:hint="eastAsia" w:ascii="方正小标宋简体"/>
        </w:rPr>
        <w:t>市政管理方面</w:t>
      </w:r>
      <w:r>
        <w:rPr>
          <w:rStyle w:val="24"/>
          <w:rFonts w:ascii="方正小标宋简体"/>
        </w:rPr>
        <w:t>22</w:t>
      </w:r>
      <w:r>
        <w:rPr>
          <w:rStyle w:val="24"/>
          <w:rFonts w:hint="eastAsia" w:ascii="方正小标宋简体"/>
        </w:rPr>
        <w:t>项</w:t>
      </w:r>
      <w:r>
        <w:tab/>
      </w:r>
      <w:r>
        <w:fldChar w:fldCharType="begin"/>
      </w:r>
      <w:r>
        <w:instrText xml:space="preserve"> PAGEREF _Toc39911683 \h </w:instrText>
      </w:r>
      <w:r>
        <w:fldChar w:fldCharType="separate"/>
      </w:r>
      <w:r>
        <w:t>55</w:t>
      </w:r>
      <w:r>
        <w:fldChar w:fldCharType="end"/>
      </w:r>
      <w:r>
        <w:fldChar w:fldCharType="end"/>
      </w:r>
    </w:p>
    <w:p>
      <w:pPr>
        <w:pStyle w:val="16"/>
        <w:tabs>
          <w:tab w:val="right" w:leader="dot" w:pos="8834"/>
        </w:tabs>
        <w:rPr>
          <w:kern w:val="2"/>
          <w:sz w:val="21"/>
        </w:rPr>
      </w:pPr>
      <w:r>
        <w:fldChar w:fldCharType="begin"/>
      </w:r>
      <w:r>
        <w:instrText xml:space="preserve"> HYPERLINK \l "_Toc39911684" </w:instrText>
      </w:r>
      <w:r>
        <w:fldChar w:fldCharType="separate"/>
      </w:r>
      <w:r>
        <w:rPr>
          <w:rStyle w:val="24"/>
          <w:rFonts w:hint="eastAsia"/>
        </w:rPr>
        <w:t>《北京市无障碍设施建设和管理条例》案由</w:t>
      </w:r>
      <w:r>
        <w:rPr>
          <w:rStyle w:val="24"/>
        </w:rPr>
        <w:t>1</w:t>
      </w:r>
      <w:r>
        <w:rPr>
          <w:rStyle w:val="24"/>
          <w:rFonts w:hint="eastAsia"/>
        </w:rPr>
        <w:t>项</w:t>
      </w:r>
      <w:r>
        <w:tab/>
      </w:r>
      <w:r>
        <w:fldChar w:fldCharType="begin"/>
      </w:r>
      <w:r>
        <w:instrText xml:space="preserve"> PAGEREF _Toc39911684 \h </w:instrText>
      </w:r>
      <w:r>
        <w:fldChar w:fldCharType="separate"/>
      </w:r>
      <w:r>
        <w:t>55</w:t>
      </w:r>
      <w:r>
        <w:fldChar w:fldCharType="end"/>
      </w:r>
      <w:r>
        <w:fldChar w:fldCharType="end"/>
      </w:r>
    </w:p>
    <w:p>
      <w:pPr>
        <w:pStyle w:val="16"/>
        <w:tabs>
          <w:tab w:val="right" w:leader="dot" w:pos="8834"/>
        </w:tabs>
        <w:rPr>
          <w:kern w:val="2"/>
          <w:sz w:val="21"/>
        </w:rPr>
      </w:pPr>
      <w:r>
        <w:fldChar w:fldCharType="begin"/>
      </w:r>
      <w:r>
        <w:instrText xml:space="preserve"> HYPERLINK \l "_Toc39911685" </w:instrText>
      </w:r>
      <w:r>
        <w:fldChar w:fldCharType="separate"/>
      </w:r>
      <w:r>
        <w:rPr>
          <w:rStyle w:val="24"/>
          <w:rFonts w:hint="eastAsia"/>
        </w:rPr>
        <w:t>《城市道路管理条例》《北京市城市道路管理办法》案由</w:t>
      </w:r>
      <w:r>
        <w:rPr>
          <w:rStyle w:val="24"/>
        </w:rPr>
        <w:t>16</w:t>
      </w:r>
      <w:r>
        <w:rPr>
          <w:rStyle w:val="24"/>
          <w:rFonts w:hint="eastAsia"/>
        </w:rPr>
        <w:t>项</w:t>
      </w:r>
      <w:r>
        <w:tab/>
      </w:r>
      <w:r>
        <w:fldChar w:fldCharType="begin"/>
      </w:r>
      <w:r>
        <w:instrText xml:space="preserve"> PAGEREF _Toc39911685 \h </w:instrText>
      </w:r>
      <w:r>
        <w:fldChar w:fldCharType="separate"/>
      </w:r>
      <w:r>
        <w:t>55</w:t>
      </w:r>
      <w:r>
        <w:fldChar w:fldCharType="end"/>
      </w:r>
      <w:r>
        <w:fldChar w:fldCharType="end"/>
      </w:r>
    </w:p>
    <w:p>
      <w:pPr>
        <w:pStyle w:val="16"/>
        <w:tabs>
          <w:tab w:val="right" w:leader="dot" w:pos="8834"/>
        </w:tabs>
        <w:rPr>
          <w:kern w:val="2"/>
          <w:sz w:val="21"/>
        </w:rPr>
      </w:pPr>
      <w:r>
        <w:fldChar w:fldCharType="begin"/>
      </w:r>
      <w:r>
        <w:instrText xml:space="preserve"> HYPERLINK \l "_Toc39911686" </w:instrText>
      </w:r>
      <w:r>
        <w:fldChar w:fldCharType="separate"/>
      </w:r>
      <w:r>
        <w:rPr>
          <w:rStyle w:val="24"/>
          <w:rFonts w:hint="eastAsia"/>
        </w:rPr>
        <w:t>《北京市地下设施检查井井盖管理规定》案由</w:t>
      </w:r>
      <w:r>
        <w:rPr>
          <w:rStyle w:val="24"/>
        </w:rPr>
        <w:t>5</w:t>
      </w:r>
      <w:r>
        <w:rPr>
          <w:rStyle w:val="24"/>
          <w:rFonts w:hint="eastAsia"/>
        </w:rPr>
        <w:t>项</w:t>
      </w:r>
      <w:r>
        <w:tab/>
      </w:r>
      <w:r>
        <w:fldChar w:fldCharType="begin"/>
      </w:r>
      <w:r>
        <w:instrText xml:space="preserve"> PAGEREF _Toc39911686 \h </w:instrText>
      </w:r>
      <w:r>
        <w:fldChar w:fldCharType="separate"/>
      </w:r>
      <w:r>
        <w:t>59</w:t>
      </w:r>
      <w:r>
        <w:fldChar w:fldCharType="end"/>
      </w:r>
      <w:r>
        <w:fldChar w:fldCharType="end"/>
      </w:r>
    </w:p>
    <w:p>
      <w:pPr>
        <w:pStyle w:val="14"/>
        <w:tabs>
          <w:tab w:val="right" w:leader="dot" w:pos="8834"/>
        </w:tabs>
        <w:rPr>
          <w:kern w:val="2"/>
          <w:sz w:val="21"/>
        </w:rPr>
      </w:pPr>
      <w:r>
        <w:fldChar w:fldCharType="begin"/>
      </w:r>
      <w:r>
        <w:instrText xml:space="preserve"> HYPERLINK \l "_Toc39911687" </w:instrText>
      </w:r>
      <w:r>
        <w:fldChar w:fldCharType="separate"/>
      </w:r>
      <w:r>
        <w:rPr>
          <w:rStyle w:val="24"/>
          <w:rFonts w:hint="eastAsia"/>
        </w:rPr>
        <w:t>公用事业管理方面案由</w:t>
      </w:r>
      <w:r>
        <w:rPr>
          <w:rStyle w:val="24"/>
        </w:rPr>
        <w:t>78</w:t>
      </w:r>
      <w:r>
        <w:rPr>
          <w:rStyle w:val="24"/>
          <w:rFonts w:hint="eastAsia"/>
        </w:rPr>
        <w:t>项</w:t>
      </w:r>
      <w:r>
        <w:tab/>
      </w:r>
      <w:r>
        <w:fldChar w:fldCharType="begin"/>
      </w:r>
      <w:r>
        <w:instrText xml:space="preserve"> PAGEREF _Toc39911687 \h </w:instrText>
      </w:r>
      <w:r>
        <w:fldChar w:fldCharType="separate"/>
      </w:r>
      <w:r>
        <w:t>60</w:t>
      </w:r>
      <w:r>
        <w:fldChar w:fldCharType="end"/>
      </w:r>
      <w:r>
        <w:fldChar w:fldCharType="end"/>
      </w:r>
    </w:p>
    <w:p>
      <w:pPr>
        <w:pStyle w:val="16"/>
        <w:tabs>
          <w:tab w:val="right" w:leader="dot" w:pos="8834"/>
        </w:tabs>
        <w:rPr>
          <w:kern w:val="2"/>
          <w:sz w:val="21"/>
        </w:rPr>
      </w:pPr>
      <w:r>
        <w:fldChar w:fldCharType="begin"/>
      </w:r>
      <w:r>
        <w:instrText xml:space="preserve"> HYPERLINK \l "_Toc39911688" </w:instrText>
      </w:r>
      <w:r>
        <w:fldChar w:fldCharType="separate"/>
      </w:r>
      <w:r>
        <w:rPr>
          <w:rStyle w:val="24"/>
          <w:rFonts w:hint="eastAsia"/>
        </w:rPr>
        <w:t>《城镇燃气管理条例》案由</w:t>
      </w:r>
      <w:r>
        <w:rPr>
          <w:rStyle w:val="24"/>
        </w:rPr>
        <w:t>30</w:t>
      </w:r>
      <w:r>
        <w:rPr>
          <w:rStyle w:val="24"/>
          <w:rFonts w:hint="eastAsia"/>
        </w:rPr>
        <w:t>项</w:t>
      </w:r>
      <w:r>
        <w:tab/>
      </w:r>
      <w:r>
        <w:fldChar w:fldCharType="begin"/>
      </w:r>
      <w:r>
        <w:instrText xml:space="preserve"> PAGEREF _Toc39911688 \h </w:instrText>
      </w:r>
      <w:r>
        <w:fldChar w:fldCharType="separate"/>
      </w:r>
      <w:r>
        <w:t>60</w:t>
      </w:r>
      <w:r>
        <w:fldChar w:fldCharType="end"/>
      </w:r>
      <w:r>
        <w:fldChar w:fldCharType="end"/>
      </w:r>
    </w:p>
    <w:p>
      <w:pPr>
        <w:pStyle w:val="16"/>
        <w:tabs>
          <w:tab w:val="right" w:leader="dot" w:pos="8834"/>
        </w:tabs>
        <w:rPr>
          <w:kern w:val="2"/>
          <w:sz w:val="21"/>
        </w:rPr>
      </w:pPr>
      <w:r>
        <w:fldChar w:fldCharType="begin"/>
      </w:r>
      <w:r>
        <w:instrText xml:space="preserve"> HYPERLINK \l "_Toc39911689" </w:instrText>
      </w:r>
      <w:r>
        <w:fldChar w:fldCharType="separate"/>
      </w:r>
      <w:r>
        <w:rPr>
          <w:rStyle w:val="24"/>
          <w:rFonts w:hint="eastAsia"/>
        </w:rPr>
        <w:t>《北京市燃气管理条例》案由</w:t>
      </w:r>
      <w:r>
        <w:rPr>
          <w:rStyle w:val="24"/>
        </w:rPr>
        <w:t>19</w:t>
      </w:r>
      <w:r>
        <w:rPr>
          <w:rStyle w:val="24"/>
          <w:rFonts w:hint="eastAsia"/>
        </w:rPr>
        <w:t>项</w:t>
      </w:r>
      <w:r>
        <w:tab/>
      </w:r>
      <w:r>
        <w:fldChar w:fldCharType="begin"/>
      </w:r>
      <w:r>
        <w:instrText xml:space="preserve"> PAGEREF _Toc39911689 \h </w:instrText>
      </w:r>
      <w:r>
        <w:fldChar w:fldCharType="separate"/>
      </w:r>
      <w:r>
        <w:t>74</w:t>
      </w:r>
      <w:r>
        <w:fldChar w:fldCharType="end"/>
      </w:r>
      <w:r>
        <w:fldChar w:fldCharType="end"/>
      </w:r>
    </w:p>
    <w:p>
      <w:pPr>
        <w:pStyle w:val="16"/>
        <w:tabs>
          <w:tab w:val="right" w:leader="dot" w:pos="8834"/>
        </w:tabs>
        <w:rPr>
          <w:kern w:val="2"/>
          <w:sz w:val="21"/>
        </w:rPr>
      </w:pPr>
      <w:r>
        <w:fldChar w:fldCharType="begin"/>
      </w:r>
      <w:r>
        <w:instrText xml:space="preserve"> HYPERLINK \l "_Toc39911690" </w:instrText>
      </w:r>
      <w:r>
        <w:fldChar w:fldCharType="separate"/>
      </w:r>
      <w:r>
        <w:rPr>
          <w:rStyle w:val="24"/>
          <w:rFonts w:hint="eastAsia"/>
        </w:rPr>
        <w:t>《北京市消防条例》案由</w:t>
      </w:r>
      <w:r>
        <w:rPr>
          <w:rStyle w:val="24"/>
        </w:rPr>
        <w:t>1</w:t>
      </w:r>
      <w:r>
        <w:rPr>
          <w:rStyle w:val="24"/>
          <w:rFonts w:hint="eastAsia"/>
        </w:rPr>
        <w:t>项</w:t>
      </w:r>
      <w:r>
        <w:tab/>
      </w:r>
      <w:r>
        <w:fldChar w:fldCharType="begin"/>
      </w:r>
      <w:r>
        <w:instrText xml:space="preserve"> PAGEREF _Toc39911690 \h </w:instrText>
      </w:r>
      <w:r>
        <w:fldChar w:fldCharType="separate"/>
      </w:r>
      <w:r>
        <w:t>80</w:t>
      </w:r>
      <w:r>
        <w:fldChar w:fldCharType="end"/>
      </w:r>
      <w:r>
        <w:fldChar w:fldCharType="end"/>
      </w:r>
    </w:p>
    <w:p>
      <w:pPr>
        <w:pStyle w:val="16"/>
        <w:tabs>
          <w:tab w:val="right" w:leader="dot" w:pos="8834"/>
        </w:tabs>
        <w:rPr>
          <w:kern w:val="2"/>
          <w:sz w:val="21"/>
        </w:rPr>
      </w:pPr>
      <w:r>
        <w:fldChar w:fldCharType="begin"/>
      </w:r>
      <w:r>
        <w:instrText xml:space="preserve"> HYPERLINK \l "_Toc39911691" </w:instrText>
      </w:r>
      <w:r>
        <w:fldChar w:fldCharType="separate"/>
      </w:r>
      <w:r>
        <w:rPr>
          <w:rStyle w:val="24"/>
          <w:rFonts w:hint="eastAsia"/>
        </w:rPr>
        <w:t>《北京市清洁燃料车辆加气站管理规定》案由</w:t>
      </w:r>
      <w:r>
        <w:rPr>
          <w:rStyle w:val="24"/>
        </w:rPr>
        <w:t>7</w:t>
      </w:r>
      <w:r>
        <w:rPr>
          <w:rStyle w:val="24"/>
          <w:rFonts w:hint="eastAsia"/>
        </w:rPr>
        <w:t>项</w:t>
      </w:r>
      <w:r>
        <w:tab/>
      </w:r>
      <w:r>
        <w:fldChar w:fldCharType="begin"/>
      </w:r>
      <w:r>
        <w:instrText xml:space="preserve"> PAGEREF _Toc39911691 \h </w:instrText>
      </w:r>
      <w:r>
        <w:fldChar w:fldCharType="separate"/>
      </w:r>
      <w:r>
        <w:t>80</w:t>
      </w:r>
      <w:r>
        <w:fldChar w:fldCharType="end"/>
      </w:r>
      <w:r>
        <w:fldChar w:fldCharType="end"/>
      </w:r>
    </w:p>
    <w:p>
      <w:pPr>
        <w:pStyle w:val="16"/>
        <w:tabs>
          <w:tab w:val="right" w:leader="dot" w:pos="8834"/>
        </w:tabs>
        <w:rPr>
          <w:kern w:val="2"/>
          <w:sz w:val="21"/>
        </w:rPr>
      </w:pPr>
      <w:r>
        <w:fldChar w:fldCharType="begin"/>
      </w:r>
      <w:r>
        <w:instrText xml:space="preserve"> HYPERLINK \l "_Toc39911692" </w:instrText>
      </w:r>
      <w:r>
        <w:fldChar w:fldCharType="separate"/>
      </w:r>
      <w:r>
        <w:rPr>
          <w:rStyle w:val="24"/>
          <w:rFonts w:hint="eastAsia"/>
        </w:rPr>
        <w:t>《北京市供热采暖管理办法》案由</w:t>
      </w:r>
      <w:r>
        <w:rPr>
          <w:rStyle w:val="24"/>
        </w:rPr>
        <w:t>19</w:t>
      </w:r>
      <w:r>
        <w:rPr>
          <w:rStyle w:val="24"/>
          <w:rFonts w:hint="eastAsia"/>
        </w:rPr>
        <w:t>项</w:t>
      </w:r>
      <w:r>
        <w:tab/>
      </w:r>
      <w:r>
        <w:fldChar w:fldCharType="begin"/>
      </w:r>
      <w:r>
        <w:instrText xml:space="preserve"> PAGEREF _Toc39911692 \h </w:instrText>
      </w:r>
      <w:r>
        <w:fldChar w:fldCharType="separate"/>
      </w:r>
      <w:r>
        <w:t>82</w:t>
      </w:r>
      <w:r>
        <w:fldChar w:fldCharType="end"/>
      </w:r>
      <w:r>
        <w:fldChar w:fldCharType="end"/>
      </w:r>
    </w:p>
    <w:p>
      <w:pPr>
        <w:pStyle w:val="16"/>
        <w:tabs>
          <w:tab w:val="right" w:leader="dot" w:pos="8834"/>
        </w:tabs>
        <w:rPr>
          <w:kern w:val="2"/>
          <w:sz w:val="21"/>
        </w:rPr>
      </w:pPr>
      <w:r>
        <w:fldChar w:fldCharType="begin"/>
      </w:r>
      <w:r>
        <w:instrText xml:space="preserve"> HYPERLINK \l "_Toc39911693" </w:instrText>
      </w:r>
      <w:r>
        <w:fldChar w:fldCharType="separate"/>
      </w:r>
      <w:r>
        <w:rPr>
          <w:rStyle w:val="24"/>
          <w:rFonts w:hint="eastAsia"/>
        </w:rPr>
        <w:t>《北京市民用建筑节能管理办法》案由</w:t>
      </w:r>
      <w:r>
        <w:rPr>
          <w:rStyle w:val="24"/>
        </w:rPr>
        <w:t>2</w:t>
      </w:r>
      <w:r>
        <w:rPr>
          <w:rStyle w:val="24"/>
          <w:rFonts w:hint="eastAsia"/>
        </w:rPr>
        <w:t>项</w:t>
      </w:r>
      <w:r>
        <w:tab/>
      </w:r>
      <w:r>
        <w:fldChar w:fldCharType="begin"/>
      </w:r>
      <w:r>
        <w:instrText xml:space="preserve"> PAGEREF _Toc39911693 \h </w:instrText>
      </w:r>
      <w:r>
        <w:fldChar w:fldCharType="separate"/>
      </w:r>
      <w:r>
        <w:t>86</w:t>
      </w:r>
      <w:r>
        <w:fldChar w:fldCharType="end"/>
      </w:r>
      <w:r>
        <w:fldChar w:fldCharType="end"/>
      </w:r>
    </w:p>
    <w:p>
      <w:pPr>
        <w:pStyle w:val="14"/>
        <w:tabs>
          <w:tab w:val="right" w:leader="dot" w:pos="8834"/>
        </w:tabs>
        <w:rPr>
          <w:kern w:val="2"/>
          <w:sz w:val="21"/>
        </w:rPr>
      </w:pPr>
      <w:r>
        <w:fldChar w:fldCharType="begin"/>
      </w:r>
      <w:r>
        <w:instrText xml:space="preserve"> HYPERLINK \l "_Toc39911694" </w:instrText>
      </w:r>
      <w:r>
        <w:fldChar w:fldCharType="separate"/>
      </w:r>
      <w:r>
        <w:rPr>
          <w:rStyle w:val="24"/>
          <w:rFonts w:hint="eastAsia"/>
        </w:rPr>
        <w:t>园林绿化管理方面案由</w:t>
      </w:r>
      <w:r>
        <w:rPr>
          <w:rStyle w:val="24"/>
          <w:rFonts w:ascii="方正小标宋简体"/>
        </w:rPr>
        <w:t>46</w:t>
      </w:r>
      <w:r>
        <w:rPr>
          <w:rStyle w:val="24"/>
          <w:rFonts w:hint="eastAsia"/>
        </w:rPr>
        <w:t>项</w:t>
      </w:r>
      <w:r>
        <w:tab/>
      </w:r>
      <w:r>
        <w:fldChar w:fldCharType="begin"/>
      </w:r>
      <w:r>
        <w:instrText xml:space="preserve"> PAGEREF _Toc39911694 \h </w:instrText>
      </w:r>
      <w:r>
        <w:fldChar w:fldCharType="separate"/>
      </w:r>
      <w:r>
        <w:t>86</w:t>
      </w:r>
      <w:r>
        <w:fldChar w:fldCharType="end"/>
      </w:r>
      <w:r>
        <w:fldChar w:fldCharType="end"/>
      </w:r>
    </w:p>
    <w:p>
      <w:pPr>
        <w:pStyle w:val="16"/>
        <w:tabs>
          <w:tab w:val="right" w:leader="dot" w:pos="8834"/>
        </w:tabs>
        <w:rPr>
          <w:kern w:val="2"/>
          <w:sz w:val="21"/>
        </w:rPr>
      </w:pPr>
      <w:r>
        <w:fldChar w:fldCharType="begin"/>
      </w:r>
      <w:r>
        <w:instrText xml:space="preserve"> HYPERLINK \l "_Toc39911695" </w:instrText>
      </w:r>
      <w:r>
        <w:fldChar w:fldCharType="separate"/>
      </w:r>
      <w:r>
        <w:rPr>
          <w:rStyle w:val="24"/>
          <w:rFonts w:hint="eastAsia"/>
        </w:rPr>
        <w:t>《北京市绿化条例》案由</w:t>
      </w:r>
      <w:r>
        <w:rPr>
          <w:rStyle w:val="24"/>
        </w:rPr>
        <w:t>16</w:t>
      </w:r>
      <w:r>
        <w:rPr>
          <w:rStyle w:val="24"/>
          <w:rFonts w:hint="eastAsia"/>
        </w:rPr>
        <w:t>项</w:t>
      </w:r>
      <w:r>
        <w:tab/>
      </w:r>
      <w:r>
        <w:fldChar w:fldCharType="begin"/>
      </w:r>
      <w:r>
        <w:instrText xml:space="preserve"> PAGEREF _Toc39911695 \h </w:instrText>
      </w:r>
      <w:r>
        <w:fldChar w:fldCharType="separate"/>
      </w:r>
      <w:r>
        <w:t>86</w:t>
      </w:r>
      <w:r>
        <w:fldChar w:fldCharType="end"/>
      </w:r>
      <w:r>
        <w:fldChar w:fldCharType="end"/>
      </w:r>
    </w:p>
    <w:p>
      <w:pPr>
        <w:pStyle w:val="16"/>
        <w:tabs>
          <w:tab w:val="right" w:leader="dot" w:pos="8834"/>
        </w:tabs>
        <w:rPr>
          <w:kern w:val="2"/>
          <w:sz w:val="21"/>
        </w:rPr>
      </w:pPr>
      <w:r>
        <w:fldChar w:fldCharType="begin"/>
      </w:r>
      <w:r>
        <w:instrText xml:space="preserve"> HYPERLINK \l "_Toc39911696" </w:instrText>
      </w:r>
      <w:r>
        <w:fldChar w:fldCharType="separate"/>
      </w:r>
      <w:r>
        <w:rPr>
          <w:rStyle w:val="24"/>
          <w:rFonts w:hint="eastAsia"/>
        </w:rPr>
        <w:t>《北京市物业管理条例》案由</w:t>
      </w:r>
      <w:r>
        <w:rPr>
          <w:rStyle w:val="24"/>
        </w:rPr>
        <w:t>1</w:t>
      </w:r>
      <w:r>
        <w:rPr>
          <w:rStyle w:val="24"/>
          <w:rFonts w:hint="eastAsia"/>
        </w:rPr>
        <w:t>项</w:t>
      </w:r>
      <w:r>
        <w:tab/>
      </w:r>
      <w:r>
        <w:fldChar w:fldCharType="begin"/>
      </w:r>
      <w:r>
        <w:instrText xml:space="preserve"> PAGEREF _Toc39911696 \h </w:instrText>
      </w:r>
      <w:r>
        <w:fldChar w:fldCharType="separate"/>
      </w:r>
      <w:r>
        <w:t>91</w:t>
      </w:r>
      <w:r>
        <w:fldChar w:fldCharType="end"/>
      </w:r>
      <w:r>
        <w:fldChar w:fldCharType="end"/>
      </w:r>
    </w:p>
    <w:p>
      <w:pPr>
        <w:pStyle w:val="16"/>
        <w:tabs>
          <w:tab w:val="right" w:leader="dot" w:pos="8834"/>
        </w:tabs>
        <w:rPr>
          <w:kern w:val="2"/>
          <w:sz w:val="21"/>
        </w:rPr>
      </w:pPr>
      <w:r>
        <w:fldChar w:fldCharType="begin"/>
      </w:r>
      <w:r>
        <w:instrText xml:space="preserve"> HYPERLINK \l "_Toc39911697" </w:instrText>
      </w:r>
      <w:r>
        <w:fldChar w:fldCharType="separate"/>
      </w:r>
      <w:r>
        <w:rPr>
          <w:rStyle w:val="24"/>
          <w:rFonts w:hint="eastAsia"/>
        </w:rPr>
        <w:t>《北京市古树名木保护管理条例》案由</w:t>
      </w:r>
      <w:r>
        <w:rPr>
          <w:rStyle w:val="24"/>
        </w:rPr>
        <w:t>11</w:t>
      </w:r>
      <w:r>
        <w:rPr>
          <w:rStyle w:val="24"/>
          <w:rFonts w:hint="eastAsia"/>
        </w:rPr>
        <w:t>项</w:t>
      </w:r>
      <w:r>
        <w:tab/>
      </w:r>
      <w:r>
        <w:fldChar w:fldCharType="begin"/>
      </w:r>
      <w:r>
        <w:instrText xml:space="preserve"> PAGEREF _Toc39911697 \h </w:instrText>
      </w:r>
      <w:r>
        <w:fldChar w:fldCharType="separate"/>
      </w:r>
      <w:r>
        <w:t>91</w:t>
      </w:r>
      <w:r>
        <w:fldChar w:fldCharType="end"/>
      </w:r>
      <w:r>
        <w:fldChar w:fldCharType="end"/>
      </w:r>
    </w:p>
    <w:p>
      <w:pPr>
        <w:pStyle w:val="16"/>
        <w:tabs>
          <w:tab w:val="right" w:leader="dot" w:pos="8834"/>
        </w:tabs>
        <w:rPr>
          <w:kern w:val="2"/>
          <w:sz w:val="21"/>
        </w:rPr>
      </w:pPr>
      <w:r>
        <w:fldChar w:fldCharType="begin"/>
      </w:r>
      <w:r>
        <w:instrText xml:space="preserve"> HYPERLINK \l "_Toc39911698" </w:instrText>
      </w:r>
      <w:r>
        <w:fldChar w:fldCharType="separate"/>
      </w:r>
      <w:r>
        <w:rPr>
          <w:rStyle w:val="24"/>
          <w:rFonts w:hint="eastAsia"/>
        </w:rPr>
        <w:t>《北京市公园条例》案由</w:t>
      </w:r>
      <w:r>
        <w:rPr>
          <w:rStyle w:val="24"/>
        </w:rPr>
        <w:t xml:space="preserve"> 18</w:t>
      </w:r>
      <w:r>
        <w:rPr>
          <w:rStyle w:val="24"/>
          <w:rFonts w:hint="eastAsia"/>
        </w:rPr>
        <w:t>项</w:t>
      </w:r>
      <w:r>
        <w:tab/>
      </w:r>
      <w:r>
        <w:fldChar w:fldCharType="begin"/>
      </w:r>
      <w:r>
        <w:instrText xml:space="preserve"> PAGEREF _Toc39911698 \h </w:instrText>
      </w:r>
      <w:r>
        <w:fldChar w:fldCharType="separate"/>
      </w:r>
      <w:r>
        <w:t>95</w:t>
      </w:r>
      <w:r>
        <w:fldChar w:fldCharType="end"/>
      </w:r>
      <w:r>
        <w:fldChar w:fldCharType="end"/>
      </w:r>
    </w:p>
    <w:p>
      <w:pPr>
        <w:pStyle w:val="14"/>
        <w:tabs>
          <w:tab w:val="right" w:leader="dot" w:pos="8834"/>
        </w:tabs>
        <w:rPr>
          <w:kern w:val="2"/>
          <w:sz w:val="21"/>
        </w:rPr>
      </w:pPr>
      <w:r>
        <w:fldChar w:fldCharType="begin"/>
      </w:r>
      <w:r>
        <w:instrText xml:space="preserve"> HYPERLINK \l "_Toc39911699" </w:instrText>
      </w:r>
      <w:r>
        <w:fldChar w:fldCharType="separate"/>
      </w:r>
      <w:r>
        <w:rPr>
          <w:rStyle w:val="24"/>
          <w:rFonts w:hint="eastAsia"/>
        </w:rPr>
        <w:t>环境保护管理方面案由</w:t>
      </w:r>
      <w:r>
        <w:rPr>
          <w:rStyle w:val="24"/>
          <w:rFonts w:ascii="方正小标宋简体"/>
        </w:rPr>
        <w:t>32</w:t>
      </w:r>
      <w:r>
        <w:rPr>
          <w:rStyle w:val="24"/>
          <w:rFonts w:hint="eastAsia"/>
        </w:rPr>
        <w:t>项</w:t>
      </w:r>
      <w:r>
        <w:tab/>
      </w:r>
      <w:r>
        <w:fldChar w:fldCharType="begin"/>
      </w:r>
      <w:r>
        <w:instrText xml:space="preserve"> PAGEREF _Toc39911699 \h </w:instrText>
      </w:r>
      <w:r>
        <w:fldChar w:fldCharType="separate"/>
      </w:r>
      <w:r>
        <w:t>98</w:t>
      </w:r>
      <w:r>
        <w:fldChar w:fldCharType="end"/>
      </w:r>
      <w:r>
        <w:fldChar w:fldCharType="end"/>
      </w:r>
    </w:p>
    <w:p>
      <w:pPr>
        <w:pStyle w:val="16"/>
        <w:tabs>
          <w:tab w:val="right" w:leader="dot" w:pos="8834"/>
        </w:tabs>
        <w:rPr>
          <w:kern w:val="2"/>
          <w:sz w:val="21"/>
        </w:rPr>
      </w:pPr>
      <w:r>
        <w:fldChar w:fldCharType="begin"/>
      </w:r>
      <w:r>
        <w:instrText xml:space="preserve"> HYPERLINK \l "_Toc39911700" </w:instrText>
      </w:r>
      <w:r>
        <w:fldChar w:fldCharType="separate"/>
      </w:r>
      <w:r>
        <w:rPr>
          <w:rStyle w:val="24"/>
          <w:rFonts w:hint="eastAsia"/>
        </w:rPr>
        <w:t>依据《中华人民共和国大气污染防治法》案由</w:t>
      </w:r>
      <w:r>
        <w:rPr>
          <w:rStyle w:val="24"/>
        </w:rPr>
        <w:t>18</w:t>
      </w:r>
      <w:r>
        <w:rPr>
          <w:rStyle w:val="24"/>
          <w:rFonts w:hint="eastAsia"/>
        </w:rPr>
        <w:t>项</w:t>
      </w:r>
      <w:r>
        <w:tab/>
      </w:r>
      <w:r>
        <w:fldChar w:fldCharType="begin"/>
      </w:r>
      <w:r>
        <w:instrText xml:space="preserve"> PAGEREF _Toc39911700 \h </w:instrText>
      </w:r>
      <w:r>
        <w:fldChar w:fldCharType="separate"/>
      </w:r>
      <w:r>
        <w:t>98</w:t>
      </w:r>
      <w:r>
        <w:fldChar w:fldCharType="end"/>
      </w:r>
      <w:r>
        <w:fldChar w:fldCharType="end"/>
      </w:r>
    </w:p>
    <w:p>
      <w:pPr>
        <w:pStyle w:val="16"/>
        <w:tabs>
          <w:tab w:val="right" w:leader="dot" w:pos="8834"/>
        </w:tabs>
        <w:rPr>
          <w:kern w:val="2"/>
          <w:sz w:val="21"/>
        </w:rPr>
      </w:pPr>
      <w:r>
        <w:fldChar w:fldCharType="begin"/>
      </w:r>
      <w:r>
        <w:instrText xml:space="preserve"> HYPERLINK \l "_Toc39911701" </w:instrText>
      </w:r>
      <w:r>
        <w:fldChar w:fldCharType="separate"/>
      </w:r>
      <w:r>
        <w:rPr>
          <w:rStyle w:val="24"/>
          <w:rFonts w:hint="eastAsia"/>
        </w:rPr>
        <w:t>《北京市大气污染防治条例》（</w:t>
      </w:r>
      <w:r>
        <w:rPr>
          <w:rStyle w:val="24"/>
        </w:rPr>
        <w:t>2018</w:t>
      </w:r>
      <w:r>
        <w:rPr>
          <w:rStyle w:val="24"/>
          <w:rFonts w:hint="eastAsia"/>
        </w:rPr>
        <w:t>）《北京市禁止露天烧烤食品的规定》案由</w:t>
      </w:r>
      <w:r>
        <w:rPr>
          <w:rStyle w:val="24"/>
        </w:rPr>
        <w:t>8</w:t>
      </w:r>
      <w:r>
        <w:rPr>
          <w:rStyle w:val="24"/>
          <w:rFonts w:hint="eastAsia"/>
        </w:rPr>
        <w:t>项</w:t>
      </w:r>
      <w:r>
        <w:tab/>
      </w:r>
      <w:r>
        <w:fldChar w:fldCharType="begin"/>
      </w:r>
      <w:r>
        <w:instrText xml:space="preserve"> PAGEREF _Toc39911701 \h </w:instrText>
      </w:r>
      <w:r>
        <w:fldChar w:fldCharType="separate"/>
      </w:r>
      <w:r>
        <w:t>103</w:t>
      </w:r>
      <w:r>
        <w:fldChar w:fldCharType="end"/>
      </w:r>
      <w:r>
        <w:fldChar w:fldCharType="end"/>
      </w:r>
    </w:p>
    <w:p>
      <w:pPr>
        <w:pStyle w:val="16"/>
        <w:tabs>
          <w:tab w:val="right" w:leader="dot" w:pos="8834"/>
        </w:tabs>
        <w:rPr>
          <w:kern w:val="2"/>
          <w:sz w:val="21"/>
        </w:rPr>
      </w:pPr>
      <w:r>
        <w:fldChar w:fldCharType="begin"/>
      </w:r>
      <w:r>
        <w:instrText xml:space="preserve"> HYPERLINK \l "_Toc39911702" </w:instrText>
      </w:r>
      <w:r>
        <w:fldChar w:fldCharType="separate"/>
      </w:r>
      <w:r>
        <w:rPr>
          <w:rStyle w:val="24"/>
          <w:rFonts w:hint="eastAsia"/>
        </w:rPr>
        <w:t>《北京市环境噪声污染防治办法》案由</w:t>
      </w:r>
      <w:r>
        <w:rPr>
          <w:rStyle w:val="24"/>
        </w:rPr>
        <w:t>5</w:t>
      </w:r>
      <w:r>
        <w:rPr>
          <w:rStyle w:val="24"/>
          <w:rFonts w:hint="eastAsia"/>
        </w:rPr>
        <w:t>项</w:t>
      </w:r>
      <w:r>
        <w:tab/>
      </w:r>
      <w:r>
        <w:fldChar w:fldCharType="begin"/>
      </w:r>
      <w:r>
        <w:instrText xml:space="preserve"> PAGEREF _Toc39911702 \h </w:instrText>
      </w:r>
      <w:r>
        <w:fldChar w:fldCharType="separate"/>
      </w:r>
      <w:r>
        <w:t>106</w:t>
      </w:r>
      <w:r>
        <w:fldChar w:fldCharType="end"/>
      </w:r>
      <w:r>
        <w:fldChar w:fldCharType="end"/>
      </w:r>
    </w:p>
    <w:p>
      <w:pPr>
        <w:pStyle w:val="16"/>
        <w:tabs>
          <w:tab w:val="right" w:leader="dot" w:pos="8834"/>
        </w:tabs>
        <w:rPr>
          <w:kern w:val="2"/>
          <w:sz w:val="21"/>
        </w:rPr>
      </w:pPr>
      <w:r>
        <w:fldChar w:fldCharType="begin"/>
      </w:r>
      <w:r>
        <w:instrText xml:space="preserve"> HYPERLINK \l "_Toc39911703" </w:instrText>
      </w:r>
      <w:r>
        <w:fldChar w:fldCharType="separate"/>
      </w:r>
      <w:r>
        <w:rPr>
          <w:rStyle w:val="24"/>
          <w:rFonts w:hint="eastAsia"/>
        </w:rPr>
        <w:t>《北京市限制销售、使用塑料袋和一次性塑料餐具管理办法》案由</w:t>
      </w:r>
      <w:r>
        <w:rPr>
          <w:rStyle w:val="24"/>
        </w:rPr>
        <w:t>1</w:t>
      </w:r>
      <w:r>
        <w:rPr>
          <w:rStyle w:val="24"/>
          <w:rFonts w:hint="eastAsia"/>
        </w:rPr>
        <w:t>项</w:t>
      </w:r>
      <w:r>
        <w:tab/>
      </w:r>
      <w:r>
        <w:fldChar w:fldCharType="begin"/>
      </w:r>
      <w:r>
        <w:instrText xml:space="preserve"> PAGEREF _Toc39911703 \h </w:instrText>
      </w:r>
      <w:r>
        <w:fldChar w:fldCharType="separate"/>
      </w:r>
      <w:r>
        <w:t>107</w:t>
      </w:r>
      <w:r>
        <w:fldChar w:fldCharType="end"/>
      </w:r>
      <w:r>
        <w:fldChar w:fldCharType="end"/>
      </w:r>
    </w:p>
    <w:p>
      <w:pPr>
        <w:pStyle w:val="14"/>
        <w:tabs>
          <w:tab w:val="right" w:leader="dot" w:pos="8834"/>
        </w:tabs>
        <w:rPr>
          <w:kern w:val="2"/>
          <w:sz w:val="21"/>
        </w:rPr>
      </w:pPr>
      <w:r>
        <w:fldChar w:fldCharType="begin"/>
      </w:r>
      <w:r>
        <w:instrText xml:space="preserve"> HYPERLINK \l "_Toc39911704" </w:instrText>
      </w:r>
      <w:r>
        <w:fldChar w:fldCharType="separate"/>
      </w:r>
      <w:r>
        <w:rPr>
          <w:rStyle w:val="24"/>
          <w:rFonts w:hint="eastAsia"/>
        </w:rPr>
        <w:t>施工现场管理方面</w:t>
      </w:r>
      <w:r>
        <w:rPr>
          <w:rStyle w:val="24"/>
        </w:rPr>
        <w:t>31</w:t>
      </w:r>
      <w:r>
        <w:rPr>
          <w:rStyle w:val="24"/>
          <w:rFonts w:hint="eastAsia"/>
        </w:rPr>
        <w:t>项</w:t>
      </w:r>
      <w:r>
        <w:tab/>
      </w:r>
      <w:r>
        <w:fldChar w:fldCharType="begin"/>
      </w:r>
      <w:r>
        <w:instrText xml:space="preserve"> PAGEREF _Toc39911704 \h </w:instrText>
      </w:r>
      <w:r>
        <w:fldChar w:fldCharType="separate"/>
      </w:r>
      <w:r>
        <w:t>107</w:t>
      </w:r>
      <w:r>
        <w:fldChar w:fldCharType="end"/>
      </w:r>
      <w:r>
        <w:fldChar w:fldCharType="end"/>
      </w:r>
    </w:p>
    <w:p>
      <w:pPr>
        <w:pStyle w:val="16"/>
        <w:tabs>
          <w:tab w:val="right" w:leader="dot" w:pos="8834"/>
        </w:tabs>
        <w:rPr>
          <w:kern w:val="2"/>
          <w:sz w:val="21"/>
        </w:rPr>
      </w:pPr>
      <w:r>
        <w:fldChar w:fldCharType="begin"/>
      </w:r>
      <w:r>
        <w:instrText xml:space="preserve"> HYPERLINK \l "_Toc39911705" </w:instrText>
      </w:r>
      <w:r>
        <w:fldChar w:fldCharType="separate"/>
      </w:r>
      <w:r>
        <w:rPr>
          <w:rStyle w:val="24"/>
          <w:rFonts w:hint="eastAsia"/>
        </w:rPr>
        <w:t>《北京市大气污染防治条例》施工现场执法案由</w:t>
      </w:r>
      <w:r>
        <w:rPr>
          <w:rStyle w:val="24"/>
        </w:rPr>
        <w:t>16</w:t>
      </w:r>
      <w:r>
        <w:rPr>
          <w:rStyle w:val="24"/>
          <w:rFonts w:hint="eastAsia"/>
        </w:rPr>
        <w:t>项</w:t>
      </w:r>
      <w:r>
        <w:tab/>
      </w:r>
      <w:r>
        <w:fldChar w:fldCharType="begin"/>
      </w:r>
      <w:r>
        <w:instrText xml:space="preserve"> PAGEREF _Toc39911705 \h </w:instrText>
      </w:r>
      <w:r>
        <w:fldChar w:fldCharType="separate"/>
      </w:r>
      <w:r>
        <w:t>107</w:t>
      </w:r>
      <w:r>
        <w:fldChar w:fldCharType="end"/>
      </w:r>
      <w:r>
        <w:fldChar w:fldCharType="end"/>
      </w:r>
    </w:p>
    <w:p>
      <w:pPr>
        <w:pStyle w:val="16"/>
        <w:tabs>
          <w:tab w:val="right" w:leader="dot" w:pos="8834"/>
        </w:tabs>
        <w:rPr>
          <w:kern w:val="2"/>
          <w:sz w:val="21"/>
        </w:rPr>
      </w:pPr>
      <w:r>
        <w:fldChar w:fldCharType="begin"/>
      </w:r>
      <w:r>
        <w:instrText xml:space="preserve"> HYPERLINK \l "_Toc39911706" </w:instrText>
      </w:r>
      <w:r>
        <w:fldChar w:fldCharType="separate"/>
      </w:r>
      <w:r>
        <w:rPr>
          <w:rStyle w:val="24"/>
          <w:rFonts w:hint="eastAsia"/>
        </w:rPr>
        <w:t>《北京市建设工程施工现场管理办法》案由</w:t>
      </w:r>
      <w:r>
        <w:rPr>
          <w:rStyle w:val="24"/>
        </w:rPr>
        <w:t>15</w:t>
      </w:r>
      <w:r>
        <w:rPr>
          <w:rStyle w:val="24"/>
          <w:rFonts w:hint="eastAsia"/>
        </w:rPr>
        <w:t>项</w:t>
      </w:r>
      <w:r>
        <w:tab/>
      </w:r>
      <w:r>
        <w:fldChar w:fldCharType="begin"/>
      </w:r>
      <w:r>
        <w:instrText xml:space="preserve"> PAGEREF _Toc39911706 \h </w:instrText>
      </w:r>
      <w:r>
        <w:fldChar w:fldCharType="separate"/>
      </w:r>
      <w:r>
        <w:t>110</w:t>
      </w:r>
      <w:r>
        <w:fldChar w:fldCharType="end"/>
      </w:r>
      <w:r>
        <w:fldChar w:fldCharType="end"/>
      </w:r>
    </w:p>
    <w:p>
      <w:pPr>
        <w:pStyle w:val="14"/>
        <w:tabs>
          <w:tab w:val="right" w:leader="dot" w:pos="8834"/>
        </w:tabs>
        <w:rPr>
          <w:kern w:val="2"/>
          <w:sz w:val="21"/>
        </w:rPr>
      </w:pPr>
      <w:r>
        <w:fldChar w:fldCharType="begin"/>
      </w:r>
      <w:r>
        <w:instrText xml:space="preserve"> HYPERLINK \l "_Toc39911707" </w:instrText>
      </w:r>
      <w:r>
        <w:fldChar w:fldCharType="separate"/>
      </w:r>
      <w:r>
        <w:rPr>
          <w:rStyle w:val="24"/>
          <w:rFonts w:hint="eastAsia"/>
        </w:rPr>
        <w:t>停车场管理方面案由</w:t>
      </w:r>
      <w:r>
        <w:rPr>
          <w:rStyle w:val="24"/>
        </w:rPr>
        <w:t>26</w:t>
      </w:r>
      <w:r>
        <w:rPr>
          <w:rStyle w:val="24"/>
          <w:rFonts w:hint="eastAsia"/>
        </w:rPr>
        <w:t>项</w:t>
      </w:r>
      <w:r>
        <w:tab/>
      </w:r>
      <w:r>
        <w:fldChar w:fldCharType="begin"/>
      </w:r>
      <w:r>
        <w:instrText xml:space="preserve"> PAGEREF _Toc39911707 \h </w:instrText>
      </w:r>
      <w:r>
        <w:fldChar w:fldCharType="separate"/>
      </w:r>
      <w:r>
        <w:t>114</w:t>
      </w:r>
      <w:r>
        <w:fldChar w:fldCharType="end"/>
      </w:r>
      <w:r>
        <w:fldChar w:fldCharType="end"/>
      </w:r>
    </w:p>
    <w:p>
      <w:pPr>
        <w:pStyle w:val="16"/>
        <w:tabs>
          <w:tab w:val="right" w:leader="dot" w:pos="8834"/>
        </w:tabs>
        <w:rPr>
          <w:kern w:val="2"/>
          <w:sz w:val="21"/>
        </w:rPr>
      </w:pPr>
      <w:r>
        <w:fldChar w:fldCharType="begin"/>
      </w:r>
      <w:r>
        <w:instrText xml:space="preserve"> HYPERLINK \l "_Toc39911708" </w:instrText>
      </w:r>
      <w:r>
        <w:fldChar w:fldCharType="separate"/>
      </w:r>
      <w:r>
        <w:rPr>
          <w:rStyle w:val="24"/>
          <w:rFonts w:hint="eastAsia"/>
        </w:rPr>
        <w:t>《北京市机动车停车管理办法》案由</w:t>
      </w:r>
      <w:r>
        <w:rPr>
          <w:rStyle w:val="24"/>
        </w:rPr>
        <w:t>13</w:t>
      </w:r>
      <w:r>
        <w:rPr>
          <w:rStyle w:val="24"/>
          <w:rFonts w:hint="eastAsia"/>
        </w:rPr>
        <w:t>项</w:t>
      </w:r>
      <w:r>
        <w:tab/>
      </w:r>
      <w:r>
        <w:fldChar w:fldCharType="begin"/>
      </w:r>
      <w:r>
        <w:instrText xml:space="preserve"> PAGEREF _Toc39911708 \h </w:instrText>
      </w:r>
      <w:r>
        <w:fldChar w:fldCharType="separate"/>
      </w:r>
      <w:r>
        <w:t>114</w:t>
      </w:r>
      <w:r>
        <w:fldChar w:fldCharType="end"/>
      </w:r>
      <w:r>
        <w:fldChar w:fldCharType="end"/>
      </w:r>
    </w:p>
    <w:p>
      <w:pPr>
        <w:pStyle w:val="16"/>
        <w:tabs>
          <w:tab w:val="right" w:leader="dot" w:pos="8834"/>
        </w:tabs>
        <w:rPr>
          <w:kern w:val="2"/>
          <w:sz w:val="21"/>
        </w:rPr>
      </w:pPr>
      <w:r>
        <w:fldChar w:fldCharType="begin"/>
      </w:r>
      <w:r>
        <w:instrText xml:space="preserve"> HYPERLINK \l "_Toc39911709" </w:instrText>
      </w:r>
      <w:r>
        <w:fldChar w:fldCharType="separate"/>
      </w:r>
      <w:r>
        <w:rPr>
          <w:rStyle w:val="24"/>
          <w:rFonts w:hint="eastAsia"/>
        </w:rPr>
        <w:t>《北京市机动车停车条例》案由</w:t>
      </w:r>
      <w:r>
        <w:rPr>
          <w:rStyle w:val="24"/>
        </w:rPr>
        <w:t>6</w:t>
      </w:r>
      <w:r>
        <w:rPr>
          <w:rStyle w:val="24"/>
          <w:rFonts w:hint="eastAsia"/>
        </w:rPr>
        <w:t>项</w:t>
      </w:r>
      <w:r>
        <w:tab/>
      </w:r>
      <w:r>
        <w:fldChar w:fldCharType="begin"/>
      </w:r>
      <w:r>
        <w:instrText xml:space="preserve"> PAGEREF _Toc39911709 \h </w:instrText>
      </w:r>
      <w:r>
        <w:fldChar w:fldCharType="separate"/>
      </w:r>
      <w:r>
        <w:t>117</w:t>
      </w:r>
      <w:r>
        <w:fldChar w:fldCharType="end"/>
      </w:r>
      <w:r>
        <w:fldChar w:fldCharType="end"/>
      </w:r>
    </w:p>
    <w:p>
      <w:pPr>
        <w:pStyle w:val="16"/>
        <w:tabs>
          <w:tab w:val="right" w:leader="dot" w:pos="8834"/>
        </w:tabs>
        <w:rPr>
          <w:kern w:val="2"/>
          <w:sz w:val="21"/>
        </w:rPr>
      </w:pPr>
      <w:r>
        <w:fldChar w:fldCharType="begin"/>
      </w:r>
      <w:r>
        <w:instrText xml:space="preserve"> HYPERLINK \l "_Toc39911710" </w:instrText>
      </w:r>
      <w:r>
        <w:fldChar w:fldCharType="separate"/>
      </w:r>
      <w:r>
        <w:rPr>
          <w:rStyle w:val="24"/>
          <w:rFonts w:hint="eastAsia"/>
        </w:rPr>
        <w:t>《北京市非机动车停车管理办法》《北京市非机动车管理条例》案由</w:t>
      </w:r>
      <w:r>
        <w:rPr>
          <w:rStyle w:val="24"/>
        </w:rPr>
        <w:t>6</w:t>
      </w:r>
      <w:r>
        <w:rPr>
          <w:rStyle w:val="24"/>
          <w:rFonts w:hint="eastAsia"/>
        </w:rPr>
        <w:t>项</w:t>
      </w:r>
      <w:r>
        <w:tab/>
      </w:r>
      <w:r>
        <w:fldChar w:fldCharType="begin"/>
      </w:r>
      <w:r>
        <w:instrText xml:space="preserve"> PAGEREF _Toc39911710 \h </w:instrText>
      </w:r>
      <w:r>
        <w:fldChar w:fldCharType="separate"/>
      </w:r>
      <w:r>
        <w:t>119</w:t>
      </w:r>
      <w:r>
        <w:fldChar w:fldCharType="end"/>
      </w:r>
      <w:r>
        <w:fldChar w:fldCharType="end"/>
      </w:r>
    </w:p>
    <w:p>
      <w:pPr>
        <w:pStyle w:val="14"/>
        <w:tabs>
          <w:tab w:val="right" w:leader="dot" w:pos="8834"/>
        </w:tabs>
        <w:rPr>
          <w:kern w:val="2"/>
          <w:sz w:val="21"/>
        </w:rPr>
      </w:pPr>
      <w:r>
        <w:fldChar w:fldCharType="begin"/>
      </w:r>
      <w:r>
        <w:instrText xml:space="preserve"> HYPERLINK \l "_Toc39911711" </w:instrText>
      </w:r>
      <w:r>
        <w:fldChar w:fldCharType="separate"/>
      </w:r>
      <w:r>
        <w:rPr>
          <w:rStyle w:val="24"/>
          <w:rFonts w:hint="eastAsia"/>
        </w:rPr>
        <w:t>交通运输管理方面</w:t>
      </w:r>
      <w:r>
        <w:rPr>
          <w:rStyle w:val="24"/>
          <w:rFonts w:hint="eastAsia" w:ascii="方正小标宋简体"/>
        </w:rPr>
        <w:t>案由</w:t>
      </w:r>
      <w:r>
        <w:rPr>
          <w:rStyle w:val="24"/>
          <w:rFonts w:ascii="方正小标宋简体"/>
        </w:rPr>
        <w:t>3</w:t>
      </w:r>
      <w:r>
        <w:rPr>
          <w:rStyle w:val="24"/>
          <w:rFonts w:hint="eastAsia" w:ascii="方正小标宋简体"/>
        </w:rPr>
        <w:t>项</w:t>
      </w:r>
      <w:r>
        <w:tab/>
      </w:r>
      <w:r>
        <w:fldChar w:fldCharType="begin"/>
      </w:r>
      <w:r>
        <w:instrText xml:space="preserve"> PAGEREF _Toc39911711 \h </w:instrText>
      </w:r>
      <w:r>
        <w:fldChar w:fldCharType="separate"/>
      </w:r>
      <w:r>
        <w:t>121</w:t>
      </w:r>
      <w:r>
        <w:fldChar w:fldCharType="end"/>
      </w:r>
      <w:r>
        <w:fldChar w:fldCharType="end"/>
      </w:r>
    </w:p>
    <w:p>
      <w:pPr>
        <w:pStyle w:val="16"/>
        <w:tabs>
          <w:tab w:val="right" w:leader="dot" w:pos="8834"/>
        </w:tabs>
        <w:rPr>
          <w:kern w:val="2"/>
          <w:sz w:val="21"/>
        </w:rPr>
      </w:pPr>
      <w:r>
        <w:fldChar w:fldCharType="begin"/>
      </w:r>
      <w:r>
        <w:instrText xml:space="preserve"> HYPERLINK \l "_Toc39911712" </w:instrText>
      </w:r>
      <w:r>
        <w:fldChar w:fldCharType="separate"/>
      </w:r>
      <w:r>
        <w:rPr>
          <w:rStyle w:val="24"/>
          <w:rFonts w:hint="eastAsia"/>
        </w:rPr>
        <w:t>《巡游出租汽车经营服务管理规定》案由</w:t>
      </w:r>
      <w:r>
        <w:rPr>
          <w:rStyle w:val="24"/>
        </w:rPr>
        <w:t>1</w:t>
      </w:r>
      <w:r>
        <w:rPr>
          <w:rStyle w:val="24"/>
          <w:rFonts w:hint="eastAsia"/>
        </w:rPr>
        <w:t>项</w:t>
      </w:r>
      <w:r>
        <w:tab/>
      </w:r>
      <w:r>
        <w:fldChar w:fldCharType="begin"/>
      </w:r>
      <w:r>
        <w:instrText xml:space="preserve"> PAGEREF _Toc39911712 \h </w:instrText>
      </w:r>
      <w:r>
        <w:fldChar w:fldCharType="separate"/>
      </w:r>
      <w:r>
        <w:t>121</w:t>
      </w:r>
      <w:r>
        <w:fldChar w:fldCharType="end"/>
      </w:r>
      <w:r>
        <w:fldChar w:fldCharType="end"/>
      </w:r>
    </w:p>
    <w:p>
      <w:pPr>
        <w:pStyle w:val="16"/>
        <w:tabs>
          <w:tab w:val="right" w:leader="dot" w:pos="8834"/>
        </w:tabs>
        <w:rPr>
          <w:kern w:val="2"/>
          <w:sz w:val="21"/>
        </w:rPr>
      </w:pPr>
      <w:r>
        <w:fldChar w:fldCharType="begin"/>
      </w:r>
      <w:r>
        <w:instrText xml:space="preserve"> HYPERLINK \l "_Toc39911713" </w:instrText>
      </w:r>
      <w:r>
        <w:fldChar w:fldCharType="separate"/>
      </w:r>
      <w:r>
        <w:rPr>
          <w:rStyle w:val="24"/>
          <w:rFonts w:hint="eastAsia"/>
        </w:rPr>
        <w:t>《北京市查处非法客运若干规定》案由</w:t>
      </w:r>
      <w:r>
        <w:rPr>
          <w:rStyle w:val="24"/>
        </w:rPr>
        <w:t>2</w:t>
      </w:r>
      <w:r>
        <w:rPr>
          <w:rStyle w:val="24"/>
          <w:rFonts w:hint="eastAsia"/>
        </w:rPr>
        <w:t>项</w:t>
      </w:r>
      <w:r>
        <w:tab/>
      </w:r>
      <w:r>
        <w:fldChar w:fldCharType="begin"/>
      </w:r>
      <w:r>
        <w:instrText xml:space="preserve"> PAGEREF _Toc39911713 \h </w:instrText>
      </w:r>
      <w:r>
        <w:fldChar w:fldCharType="separate"/>
      </w:r>
      <w:r>
        <w:t>121</w:t>
      </w:r>
      <w:r>
        <w:fldChar w:fldCharType="end"/>
      </w:r>
      <w:r>
        <w:fldChar w:fldCharType="end"/>
      </w:r>
    </w:p>
    <w:p>
      <w:pPr>
        <w:pStyle w:val="14"/>
        <w:tabs>
          <w:tab w:val="right" w:leader="dot" w:pos="8834"/>
        </w:tabs>
        <w:rPr>
          <w:kern w:val="2"/>
          <w:sz w:val="21"/>
        </w:rPr>
      </w:pPr>
      <w:r>
        <w:fldChar w:fldCharType="begin"/>
      </w:r>
      <w:r>
        <w:instrText xml:space="preserve"> HYPERLINK \l "_Toc39911714" </w:instrText>
      </w:r>
      <w:r>
        <w:fldChar w:fldCharType="separate"/>
      </w:r>
      <w:r>
        <w:rPr>
          <w:rStyle w:val="24"/>
          <w:rFonts w:hint="eastAsia" w:ascii="方正小标宋简体"/>
        </w:rPr>
        <w:t>工商行政管理（流动无照经营）方面案由</w:t>
      </w:r>
      <w:r>
        <w:rPr>
          <w:rStyle w:val="24"/>
          <w:rFonts w:ascii="方正小标宋简体"/>
        </w:rPr>
        <w:t>3</w:t>
      </w:r>
      <w:r>
        <w:rPr>
          <w:rStyle w:val="24"/>
          <w:rFonts w:hint="eastAsia" w:ascii="方正小标宋简体"/>
        </w:rPr>
        <w:t>项</w:t>
      </w:r>
      <w:r>
        <w:tab/>
      </w:r>
      <w:r>
        <w:fldChar w:fldCharType="begin"/>
      </w:r>
      <w:r>
        <w:instrText xml:space="preserve"> PAGEREF _Toc39911714 \h </w:instrText>
      </w:r>
      <w:r>
        <w:fldChar w:fldCharType="separate"/>
      </w:r>
      <w:r>
        <w:t>122</w:t>
      </w:r>
      <w:r>
        <w:fldChar w:fldCharType="end"/>
      </w:r>
      <w:r>
        <w:fldChar w:fldCharType="end"/>
      </w:r>
    </w:p>
    <w:p>
      <w:pPr>
        <w:pStyle w:val="16"/>
        <w:tabs>
          <w:tab w:val="right" w:leader="dot" w:pos="8834"/>
        </w:tabs>
        <w:rPr>
          <w:kern w:val="2"/>
          <w:sz w:val="21"/>
        </w:rPr>
      </w:pPr>
      <w:r>
        <w:fldChar w:fldCharType="begin"/>
      </w:r>
      <w:r>
        <w:instrText xml:space="preserve"> HYPERLINK \l "_Toc39911715" </w:instrText>
      </w:r>
      <w:r>
        <w:fldChar w:fldCharType="separate"/>
      </w:r>
      <w:r>
        <w:rPr>
          <w:rStyle w:val="24"/>
          <w:rFonts w:hint="eastAsia"/>
        </w:rPr>
        <w:t>《无证无照经营查处办法》案由</w:t>
      </w:r>
      <w:r>
        <w:rPr>
          <w:rStyle w:val="24"/>
        </w:rPr>
        <w:t>3</w:t>
      </w:r>
      <w:r>
        <w:rPr>
          <w:rStyle w:val="24"/>
          <w:rFonts w:hint="eastAsia"/>
        </w:rPr>
        <w:t>项</w:t>
      </w:r>
      <w:r>
        <w:tab/>
      </w:r>
      <w:r>
        <w:fldChar w:fldCharType="begin"/>
      </w:r>
      <w:r>
        <w:instrText xml:space="preserve"> PAGEREF _Toc39911715 \h </w:instrText>
      </w:r>
      <w:r>
        <w:fldChar w:fldCharType="separate"/>
      </w:r>
      <w:r>
        <w:t>122</w:t>
      </w:r>
      <w:r>
        <w:fldChar w:fldCharType="end"/>
      </w:r>
      <w:r>
        <w:fldChar w:fldCharType="end"/>
      </w:r>
    </w:p>
    <w:p>
      <w:pPr>
        <w:pStyle w:val="14"/>
        <w:tabs>
          <w:tab w:val="right" w:leader="dot" w:pos="8834"/>
        </w:tabs>
        <w:rPr>
          <w:kern w:val="2"/>
          <w:sz w:val="21"/>
        </w:rPr>
      </w:pPr>
      <w:r>
        <w:fldChar w:fldCharType="begin"/>
      </w:r>
      <w:r>
        <w:instrText xml:space="preserve"> HYPERLINK \l "_Toc39911716" </w:instrText>
      </w:r>
      <w:r>
        <w:fldChar w:fldCharType="separate"/>
      </w:r>
      <w:r>
        <w:rPr>
          <w:rStyle w:val="24"/>
          <w:rFonts w:hint="eastAsia"/>
        </w:rPr>
        <w:t>城市规划管理方面案由</w:t>
      </w:r>
      <w:r>
        <w:rPr>
          <w:rStyle w:val="24"/>
        </w:rPr>
        <w:t>2</w:t>
      </w:r>
      <w:r>
        <w:rPr>
          <w:rStyle w:val="24"/>
          <w:rFonts w:hint="eastAsia"/>
        </w:rPr>
        <w:t>项</w:t>
      </w:r>
      <w:r>
        <w:tab/>
      </w:r>
      <w:r>
        <w:fldChar w:fldCharType="begin"/>
      </w:r>
      <w:r>
        <w:instrText xml:space="preserve"> PAGEREF _Toc39911716 \h </w:instrText>
      </w:r>
      <w:r>
        <w:fldChar w:fldCharType="separate"/>
      </w:r>
      <w:r>
        <w:t>123</w:t>
      </w:r>
      <w:r>
        <w:fldChar w:fldCharType="end"/>
      </w:r>
      <w:r>
        <w:fldChar w:fldCharType="end"/>
      </w:r>
    </w:p>
    <w:p>
      <w:pPr>
        <w:pStyle w:val="16"/>
        <w:tabs>
          <w:tab w:val="right" w:leader="dot" w:pos="8834"/>
        </w:tabs>
        <w:rPr>
          <w:kern w:val="2"/>
          <w:sz w:val="21"/>
        </w:rPr>
      </w:pPr>
      <w:r>
        <w:fldChar w:fldCharType="begin"/>
      </w:r>
      <w:r>
        <w:instrText xml:space="preserve"> HYPERLINK \l "_Toc39911717" </w:instrText>
      </w:r>
      <w:r>
        <w:fldChar w:fldCharType="separate"/>
      </w:r>
      <w:r>
        <w:rPr>
          <w:rStyle w:val="24"/>
          <w:rFonts w:hint="eastAsia"/>
        </w:rPr>
        <w:t>《中华人民共和国城乡规划法》《北京市城乡规划条例》《北京市禁止违法建设若干规定》等法规案由</w:t>
      </w:r>
      <w:r>
        <w:rPr>
          <w:rStyle w:val="24"/>
        </w:rPr>
        <w:t>2</w:t>
      </w:r>
      <w:r>
        <w:rPr>
          <w:rStyle w:val="24"/>
          <w:rFonts w:hint="eastAsia"/>
        </w:rPr>
        <w:t>项</w:t>
      </w:r>
      <w:r>
        <w:tab/>
      </w:r>
      <w:r>
        <w:fldChar w:fldCharType="begin"/>
      </w:r>
      <w:r>
        <w:instrText xml:space="preserve"> PAGEREF _Toc39911717 \h </w:instrText>
      </w:r>
      <w:r>
        <w:fldChar w:fldCharType="separate"/>
      </w:r>
      <w:r>
        <w:t>123</w:t>
      </w:r>
      <w:r>
        <w:fldChar w:fldCharType="end"/>
      </w:r>
      <w:r>
        <w:fldChar w:fldCharType="end"/>
      </w:r>
    </w:p>
    <w:p>
      <w:pPr>
        <w:pStyle w:val="14"/>
        <w:tabs>
          <w:tab w:val="right" w:leader="dot" w:pos="8834"/>
        </w:tabs>
        <w:rPr>
          <w:kern w:val="2"/>
          <w:sz w:val="21"/>
        </w:rPr>
      </w:pPr>
      <w:r>
        <w:fldChar w:fldCharType="begin"/>
      </w:r>
      <w:r>
        <w:instrText xml:space="preserve"> HYPERLINK \l "_Toc39911718" </w:instrText>
      </w:r>
      <w:r>
        <w:fldChar w:fldCharType="separate"/>
      </w:r>
      <w:r>
        <w:rPr>
          <w:rStyle w:val="24"/>
          <w:rFonts w:hint="eastAsia"/>
        </w:rPr>
        <w:t>旅游管理</w:t>
      </w:r>
      <w:r>
        <w:rPr>
          <w:rStyle w:val="24"/>
          <w:rFonts w:hint="eastAsia" w:ascii="楷体_GB2312" w:eastAsia="楷体_GB2312"/>
        </w:rPr>
        <w:t>（黑导游）</w:t>
      </w:r>
      <w:r>
        <w:rPr>
          <w:rStyle w:val="24"/>
          <w:rFonts w:hint="eastAsia"/>
        </w:rPr>
        <w:t>方面案由</w:t>
      </w:r>
      <w:r>
        <w:rPr>
          <w:rStyle w:val="24"/>
        </w:rPr>
        <w:t>1</w:t>
      </w:r>
      <w:r>
        <w:rPr>
          <w:rStyle w:val="24"/>
          <w:rFonts w:hint="eastAsia"/>
        </w:rPr>
        <w:t>项</w:t>
      </w:r>
      <w:r>
        <w:tab/>
      </w:r>
      <w:r>
        <w:fldChar w:fldCharType="begin"/>
      </w:r>
      <w:r>
        <w:instrText xml:space="preserve"> PAGEREF _Toc39911718 \h </w:instrText>
      </w:r>
      <w:r>
        <w:fldChar w:fldCharType="separate"/>
      </w:r>
      <w:r>
        <w:t>125</w:t>
      </w:r>
      <w:r>
        <w:fldChar w:fldCharType="end"/>
      </w:r>
      <w:r>
        <w:fldChar w:fldCharType="end"/>
      </w:r>
    </w:p>
    <w:p>
      <w:pPr>
        <w:pStyle w:val="16"/>
        <w:tabs>
          <w:tab w:val="right" w:leader="dot" w:pos="8834"/>
        </w:tabs>
        <w:rPr>
          <w:kern w:val="2"/>
          <w:sz w:val="21"/>
        </w:rPr>
      </w:pPr>
      <w:r>
        <w:fldChar w:fldCharType="begin"/>
      </w:r>
      <w:r>
        <w:instrText xml:space="preserve"> HYPERLINK \l "_Toc39911719" </w:instrText>
      </w:r>
      <w:r>
        <w:fldChar w:fldCharType="separate"/>
      </w:r>
      <w:r>
        <w:rPr>
          <w:rStyle w:val="24"/>
          <w:rFonts w:hint="eastAsia"/>
        </w:rPr>
        <w:t>《中华人民共和国旅游法》案由</w:t>
      </w:r>
      <w:r>
        <w:rPr>
          <w:rStyle w:val="24"/>
        </w:rPr>
        <w:t>1</w:t>
      </w:r>
      <w:r>
        <w:rPr>
          <w:rStyle w:val="24"/>
          <w:rFonts w:hint="eastAsia"/>
        </w:rPr>
        <w:t>项</w:t>
      </w:r>
      <w:r>
        <w:tab/>
      </w:r>
      <w:r>
        <w:fldChar w:fldCharType="begin"/>
      </w:r>
      <w:r>
        <w:instrText xml:space="preserve"> PAGEREF _Toc39911719 \h </w:instrText>
      </w:r>
      <w:r>
        <w:fldChar w:fldCharType="separate"/>
      </w:r>
      <w:r>
        <w:t>125</w:t>
      </w:r>
      <w:r>
        <w:fldChar w:fldCharType="end"/>
      </w:r>
      <w:r>
        <w:fldChar w:fldCharType="end"/>
      </w:r>
    </w:p>
    <w:p>
      <w:pPr>
        <w:pStyle w:val="14"/>
        <w:tabs>
          <w:tab w:val="right" w:leader="dot" w:pos="8834"/>
        </w:tabs>
        <w:rPr>
          <w:kern w:val="2"/>
          <w:sz w:val="21"/>
        </w:rPr>
      </w:pPr>
      <w:r>
        <w:fldChar w:fldCharType="begin"/>
      </w:r>
      <w:r>
        <w:instrText xml:space="preserve"> HYPERLINK \l "_Toc39911720" </w:instrText>
      </w:r>
      <w:r>
        <w:fldChar w:fldCharType="separate"/>
      </w:r>
      <w:r>
        <w:rPr>
          <w:rStyle w:val="24"/>
          <w:rFonts w:hint="eastAsia"/>
        </w:rPr>
        <w:t>食品安全管理方面案由</w:t>
      </w:r>
      <w:r>
        <w:rPr>
          <w:rStyle w:val="24"/>
        </w:rPr>
        <w:t>24</w:t>
      </w:r>
      <w:r>
        <w:rPr>
          <w:rStyle w:val="24"/>
          <w:rFonts w:hint="eastAsia"/>
        </w:rPr>
        <w:t>项</w:t>
      </w:r>
      <w:r>
        <w:tab/>
      </w:r>
      <w:r>
        <w:fldChar w:fldCharType="begin"/>
      </w:r>
      <w:r>
        <w:instrText xml:space="preserve"> PAGEREF _Toc39911720 \h </w:instrText>
      </w:r>
      <w:r>
        <w:fldChar w:fldCharType="separate"/>
      </w:r>
      <w:r>
        <w:t>125</w:t>
      </w:r>
      <w:r>
        <w:fldChar w:fldCharType="end"/>
      </w:r>
      <w:r>
        <w:fldChar w:fldCharType="end"/>
      </w:r>
    </w:p>
    <w:p>
      <w:pPr>
        <w:pStyle w:val="16"/>
        <w:tabs>
          <w:tab w:val="right" w:leader="dot" w:pos="8834"/>
        </w:tabs>
        <w:rPr>
          <w:kern w:val="2"/>
          <w:sz w:val="21"/>
        </w:rPr>
      </w:pPr>
      <w:r>
        <w:fldChar w:fldCharType="begin"/>
      </w:r>
      <w:r>
        <w:instrText xml:space="preserve"> HYPERLINK \l "_Toc39911721" </w:instrText>
      </w:r>
      <w:r>
        <w:fldChar w:fldCharType="separate"/>
      </w:r>
      <w:r>
        <w:rPr>
          <w:rStyle w:val="24"/>
          <w:rFonts w:hint="eastAsia"/>
        </w:rPr>
        <w:t>《北京市食品安全条例》案由</w:t>
      </w:r>
      <w:r>
        <w:rPr>
          <w:rStyle w:val="24"/>
        </w:rPr>
        <w:t>1</w:t>
      </w:r>
      <w:r>
        <w:rPr>
          <w:rStyle w:val="24"/>
          <w:rFonts w:hint="eastAsia"/>
        </w:rPr>
        <w:t>项</w:t>
      </w:r>
      <w:r>
        <w:tab/>
      </w:r>
      <w:r>
        <w:fldChar w:fldCharType="begin"/>
      </w:r>
      <w:r>
        <w:instrText xml:space="preserve"> PAGEREF _Toc39911721 \h </w:instrText>
      </w:r>
      <w:r>
        <w:fldChar w:fldCharType="separate"/>
      </w:r>
      <w:r>
        <w:t>125</w:t>
      </w:r>
      <w:r>
        <w:fldChar w:fldCharType="end"/>
      </w:r>
      <w:r>
        <w:fldChar w:fldCharType="end"/>
      </w:r>
    </w:p>
    <w:p>
      <w:pPr>
        <w:pStyle w:val="14"/>
        <w:tabs>
          <w:tab w:val="right" w:leader="dot" w:pos="8834"/>
        </w:tabs>
        <w:rPr>
          <w:kern w:val="2"/>
          <w:sz w:val="21"/>
        </w:rPr>
      </w:pPr>
      <w:r>
        <w:fldChar w:fldCharType="begin"/>
      </w:r>
      <w:r>
        <w:instrText xml:space="preserve"> HYPERLINK \l "_Toc39911722" </w:instrText>
      </w:r>
      <w:r>
        <w:fldChar w:fldCharType="separate"/>
      </w:r>
      <w:r>
        <w:rPr>
          <w:rStyle w:val="24"/>
          <w:rFonts w:hint="eastAsia"/>
        </w:rPr>
        <w:t>能源运行管理方面</w:t>
      </w:r>
      <w:r>
        <w:rPr>
          <w:rStyle w:val="24"/>
        </w:rPr>
        <w:t>39</w:t>
      </w:r>
      <w:r>
        <w:rPr>
          <w:rStyle w:val="24"/>
          <w:rFonts w:hint="eastAsia"/>
        </w:rPr>
        <w:t>项</w:t>
      </w:r>
      <w:r>
        <w:tab/>
      </w:r>
      <w:r>
        <w:fldChar w:fldCharType="begin"/>
      </w:r>
      <w:r>
        <w:instrText xml:space="preserve"> PAGEREF _Toc39911722 \h </w:instrText>
      </w:r>
      <w:r>
        <w:fldChar w:fldCharType="separate"/>
      </w:r>
      <w:r>
        <w:t>136</w:t>
      </w:r>
      <w:r>
        <w:fldChar w:fldCharType="end"/>
      </w:r>
      <w:r>
        <w:fldChar w:fldCharType="end"/>
      </w:r>
    </w:p>
    <w:p>
      <w:pPr>
        <w:pStyle w:val="16"/>
        <w:tabs>
          <w:tab w:val="right" w:leader="dot" w:pos="8834"/>
        </w:tabs>
        <w:rPr>
          <w:kern w:val="2"/>
          <w:sz w:val="21"/>
        </w:rPr>
      </w:pPr>
      <w:r>
        <w:fldChar w:fldCharType="begin"/>
      </w:r>
      <w:r>
        <w:instrText xml:space="preserve"> HYPERLINK \l "_Toc39911723" </w:instrText>
      </w:r>
      <w:r>
        <w:fldChar w:fldCharType="separate"/>
      </w:r>
      <w:r>
        <w:rPr>
          <w:rStyle w:val="24"/>
          <w:rFonts w:hint="eastAsia"/>
        </w:rPr>
        <w:t>《中华人民共和国煤炭法》案由</w:t>
      </w:r>
      <w:r>
        <w:rPr>
          <w:rStyle w:val="24"/>
        </w:rPr>
        <w:t>3</w:t>
      </w:r>
      <w:r>
        <w:rPr>
          <w:rStyle w:val="24"/>
          <w:rFonts w:hint="eastAsia"/>
        </w:rPr>
        <w:t>项</w:t>
      </w:r>
      <w:r>
        <w:tab/>
      </w:r>
      <w:r>
        <w:fldChar w:fldCharType="begin"/>
      </w:r>
      <w:r>
        <w:instrText xml:space="preserve"> PAGEREF _Toc39911723 \h </w:instrText>
      </w:r>
      <w:r>
        <w:fldChar w:fldCharType="separate"/>
      </w:r>
      <w:r>
        <w:t>136</w:t>
      </w:r>
      <w:r>
        <w:fldChar w:fldCharType="end"/>
      </w:r>
      <w:r>
        <w:fldChar w:fldCharType="end"/>
      </w:r>
    </w:p>
    <w:p>
      <w:pPr>
        <w:pStyle w:val="16"/>
        <w:tabs>
          <w:tab w:val="right" w:leader="dot" w:pos="8834"/>
        </w:tabs>
        <w:rPr>
          <w:kern w:val="2"/>
          <w:sz w:val="21"/>
        </w:rPr>
      </w:pPr>
      <w:r>
        <w:fldChar w:fldCharType="begin"/>
      </w:r>
      <w:r>
        <w:instrText xml:space="preserve"> HYPERLINK \l "_Toc39911724" </w:instrText>
      </w:r>
      <w:r>
        <w:fldChar w:fldCharType="separate"/>
      </w:r>
      <w:r>
        <w:rPr>
          <w:rStyle w:val="24"/>
          <w:rFonts w:hint="eastAsia"/>
        </w:rPr>
        <w:t>《中华人民共和国可再生能源法》案由</w:t>
      </w:r>
      <w:r>
        <w:rPr>
          <w:rStyle w:val="24"/>
        </w:rPr>
        <w:t>2</w:t>
      </w:r>
      <w:r>
        <w:rPr>
          <w:rStyle w:val="24"/>
          <w:rFonts w:hint="eastAsia"/>
        </w:rPr>
        <w:t>项</w:t>
      </w:r>
      <w:r>
        <w:tab/>
      </w:r>
      <w:r>
        <w:fldChar w:fldCharType="begin"/>
      </w:r>
      <w:r>
        <w:instrText xml:space="preserve"> PAGEREF _Toc39911724 \h </w:instrText>
      </w:r>
      <w:r>
        <w:fldChar w:fldCharType="separate"/>
      </w:r>
      <w:r>
        <w:t>137</w:t>
      </w:r>
      <w:r>
        <w:fldChar w:fldCharType="end"/>
      </w:r>
      <w:r>
        <w:fldChar w:fldCharType="end"/>
      </w:r>
    </w:p>
    <w:p>
      <w:pPr>
        <w:pStyle w:val="16"/>
        <w:tabs>
          <w:tab w:val="right" w:leader="dot" w:pos="8834"/>
        </w:tabs>
        <w:rPr>
          <w:kern w:val="2"/>
          <w:sz w:val="21"/>
        </w:rPr>
      </w:pPr>
      <w:r>
        <w:fldChar w:fldCharType="begin"/>
      </w:r>
      <w:r>
        <w:instrText xml:space="preserve"> HYPERLINK \l "_Toc39911725" </w:instrText>
      </w:r>
      <w:r>
        <w:fldChar w:fldCharType="separate"/>
      </w:r>
      <w:r>
        <w:rPr>
          <w:rStyle w:val="24"/>
          <w:rFonts w:hint="eastAsia"/>
        </w:rPr>
        <w:t>《中华人民共和国电力法》《电力供应与使用条例》案由</w:t>
      </w:r>
      <w:r>
        <w:rPr>
          <w:rStyle w:val="24"/>
        </w:rPr>
        <w:t>6</w:t>
      </w:r>
      <w:r>
        <w:rPr>
          <w:rStyle w:val="24"/>
          <w:rFonts w:hint="eastAsia"/>
        </w:rPr>
        <w:t>项</w:t>
      </w:r>
      <w:r>
        <w:tab/>
      </w:r>
      <w:r>
        <w:fldChar w:fldCharType="begin"/>
      </w:r>
      <w:r>
        <w:instrText xml:space="preserve"> PAGEREF _Toc39911725 \h </w:instrText>
      </w:r>
      <w:r>
        <w:fldChar w:fldCharType="separate"/>
      </w:r>
      <w:r>
        <w:t>138</w:t>
      </w:r>
      <w:r>
        <w:fldChar w:fldCharType="end"/>
      </w:r>
      <w:r>
        <w:fldChar w:fldCharType="end"/>
      </w:r>
    </w:p>
    <w:p>
      <w:pPr>
        <w:pStyle w:val="16"/>
        <w:tabs>
          <w:tab w:val="right" w:leader="dot" w:pos="8834"/>
        </w:tabs>
        <w:rPr>
          <w:kern w:val="2"/>
          <w:sz w:val="21"/>
        </w:rPr>
      </w:pPr>
      <w:r>
        <w:fldChar w:fldCharType="begin"/>
      </w:r>
      <w:r>
        <w:instrText xml:space="preserve"> HYPERLINK \l "_Toc39911726" </w:instrText>
      </w:r>
      <w:r>
        <w:fldChar w:fldCharType="separate"/>
      </w:r>
      <w:r>
        <w:rPr>
          <w:rStyle w:val="24"/>
          <w:rFonts w:hint="eastAsia"/>
        </w:rPr>
        <w:t>《电力设施保护条例》《电力设施保护条例实施细则》案由</w:t>
      </w:r>
      <w:r>
        <w:rPr>
          <w:rStyle w:val="24"/>
        </w:rPr>
        <w:t>5</w:t>
      </w:r>
      <w:r>
        <w:rPr>
          <w:rStyle w:val="24"/>
          <w:rFonts w:hint="eastAsia"/>
        </w:rPr>
        <w:t>项</w:t>
      </w:r>
      <w:r>
        <w:tab/>
      </w:r>
      <w:r>
        <w:fldChar w:fldCharType="begin"/>
      </w:r>
      <w:r>
        <w:instrText xml:space="preserve"> PAGEREF _Toc39911726 \h </w:instrText>
      </w:r>
      <w:r>
        <w:fldChar w:fldCharType="separate"/>
      </w:r>
      <w:r>
        <w:t>140</w:t>
      </w:r>
      <w:r>
        <w:fldChar w:fldCharType="end"/>
      </w:r>
      <w:r>
        <w:fldChar w:fldCharType="end"/>
      </w:r>
    </w:p>
    <w:p>
      <w:pPr>
        <w:pStyle w:val="16"/>
        <w:tabs>
          <w:tab w:val="right" w:leader="dot" w:pos="8834"/>
        </w:tabs>
        <w:rPr>
          <w:kern w:val="2"/>
          <w:sz w:val="21"/>
        </w:rPr>
      </w:pPr>
      <w:r>
        <w:fldChar w:fldCharType="begin"/>
      </w:r>
      <w:r>
        <w:instrText xml:space="preserve"> HYPERLINK \l "_Toc39911727" </w:instrText>
      </w:r>
      <w:r>
        <w:fldChar w:fldCharType="separate"/>
      </w:r>
      <w:r>
        <w:rPr>
          <w:rStyle w:val="24"/>
          <w:rFonts w:hint="eastAsia"/>
        </w:rPr>
        <w:t>《供用电监督管理办法》案由</w:t>
      </w:r>
      <w:r>
        <w:rPr>
          <w:rStyle w:val="24"/>
        </w:rPr>
        <w:t>1</w:t>
      </w:r>
      <w:r>
        <w:rPr>
          <w:rStyle w:val="24"/>
          <w:rFonts w:hint="eastAsia"/>
        </w:rPr>
        <w:t>项</w:t>
      </w:r>
      <w:r>
        <w:tab/>
      </w:r>
      <w:r>
        <w:fldChar w:fldCharType="begin"/>
      </w:r>
      <w:r>
        <w:instrText xml:space="preserve"> PAGEREF _Toc39911727 \h </w:instrText>
      </w:r>
      <w:r>
        <w:fldChar w:fldCharType="separate"/>
      </w:r>
      <w:r>
        <w:t>141</w:t>
      </w:r>
      <w:r>
        <w:fldChar w:fldCharType="end"/>
      </w:r>
      <w:r>
        <w:fldChar w:fldCharType="end"/>
      </w:r>
    </w:p>
    <w:p>
      <w:pPr>
        <w:pStyle w:val="16"/>
        <w:tabs>
          <w:tab w:val="right" w:leader="dot" w:pos="8834"/>
        </w:tabs>
        <w:rPr>
          <w:kern w:val="2"/>
          <w:sz w:val="21"/>
        </w:rPr>
      </w:pPr>
      <w:r>
        <w:fldChar w:fldCharType="begin"/>
      </w:r>
      <w:r>
        <w:instrText xml:space="preserve"> HYPERLINK \l "_Toc39911728" </w:instrText>
      </w:r>
      <w:r>
        <w:fldChar w:fldCharType="separate"/>
      </w:r>
      <w:r>
        <w:rPr>
          <w:rStyle w:val="24"/>
          <w:rFonts w:hint="eastAsia"/>
        </w:rPr>
        <w:t>《中华人民共和国石油天然气管道保护法》案由</w:t>
      </w:r>
      <w:r>
        <w:rPr>
          <w:rStyle w:val="24"/>
        </w:rPr>
        <w:t>22</w:t>
      </w:r>
      <w:r>
        <w:rPr>
          <w:rStyle w:val="24"/>
          <w:rFonts w:hint="eastAsia"/>
        </w:rPr>
        <w:t>项</w:t>
      </w:r>
      <w:r>
        <w:tab/>
      </w:r>
      <w:r>
        <w:fldChar w:fldCharType="begin"/>
      </w:r>
      <w:r>
        <w:instrText xml:space="preserve"> PAGEREF _Toc39911728 \h </w:instrText>
      </w:r>
      <w:r>
        <w:fldChar w:fldCharType="separate"/>
      </w:r>
      <w:r>
        <w:t>142</w:t>
      </w:r>
      <w:r>
        <w:fldChar w:fldCharType="end"/>
      </w:r>
      <w:r>
        <w:fldChar w:fldCharType="end"/>
      </w:r>
    </w:p>
    <w:p>
      <w:r>
        <w:rPr>
          <w:b/>
          <w:bCs/>
          <w:lang w:val="zh-CN"/>
        </w:rPr>
        <w:fldChar w:fldCharType="end"/>
      </w:r>
    </w:p>
    <w:p>
      <w:pPr>
        <w:spacing w:line="480" w:lineRule="exact"/>
        <w:rPr>
          <w:rFonts w:ascii="黑体" w:hAnsi="黑体" w:eastAsia="黑体"/>
          <w:sz w:val="32"/>
          <w:szCs w:val="32"/>
        </w:rPr>
      </w:pPr>
    </w:p>
    <w:p>
      <w:pPr>
        <w:spacing w:line="540" w:lineRule="exact"/>
        <w:ind w:firstLine="640" w:firstLineChars="200"/>
        <w:rPr>
          <w:rFonts w:ascii="仿宋_GB2312" w:eastAsia="仿宋_GB2312"/>
          <w:kern w:val="0"/>
          <w:sz w:val="32"/>
          <w:szCs w:val="32"/>
        </w:rPr>
        <w:sectPr>
          <w:footerReference r:id="rId3" w:type="default"/>
          <w:footerReference r:id="rId4" w:type="even"/>
          <w:pgSz w:w="11906" w:h="16838"/>
          <w:pgMar w:top="2098" w:right="1531" w:bottom="1985" w:left="1531" w:header="851" w:footer="1588" w:gutter="0"/>
          <w:cols w:space="425" w:num="1"/>
          <w:docGrid w:linePitch="634" w:charSpace="-4740"/>
        </w:sectPr>
      </w:pPr>
    </w:p>
    <w:tbl>
      <w:tblPr>
        <w:tblStyle w:val="19"/>
        <w:tblW w:w="15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428"/>
        <w:gridCol w:w="140"/>
        <w:gridCol w:w="1061"/>
        <w:gridCol w:w="73"/>
        <w:gridCol w:w="283"/>
        <w:gridCol w:w="142"/>
        <w:gridCol w:w="142"/>
        <w:gridCol w:w="425"/>
        <w:gridCol w:w="709"/>
        <w:gridCol w:w="2126"/>
        <w:gridCol w:w="418"/>
        <w:gridCol w:w="7"/>
        <w:gridCol w:w="905"/>
        <w:gridCol w:w="13"/>
        <w:gridCol w:w="36"/>
        <w:gridCol w:w="38"/>
        <w:gridCol w:w="682"/>
        <w:gridCol w:w="27"/>
        <w:gridCol w:w="1593"/>
        <w:gridCol w:w="392"/>
        <w:gridCol w:w="868"/>
        <w:gridCol w:w="266"/>
        <w:gridCol w:w="425"/>
        <w:gridCol w:w="29"/>
        <w:gridCol w:w="1314"/>
        <w:gridCol w:w="426"/>
        <w:gridCol w:w="60"/>
        <w:gridCol w:w="14"/>
        <w:gridCol w:w="283"/>
        <w:gridCol w:w="425"/>
        <w:gridCol w:w="1560"/>
        <w:gridCol w:w="6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jc w:val="center"/>
        </w:trPr>
        <w:tc>
          <w:tcPr>
            <w:tcW w:w="503"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序号</w:t>
            </w:r>
          </w:p>
        </w:tc>
        <w:tc>
          <w:tcPr>
            <w:tcW w:w="1201"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案由</w:t>
            </w:r>
          </w:p>
        </w:tc>
        <w:tc>
          <w:tcPr>
            <w:tcW w:w="4318" w:type="dxa"/>
            <w:gridSpan w:val="8"/>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处罚依据</w:t>
            </w:r>
          </w:p>
        </w:tc>
        <w:tc>
          <w:tcPr>
            <w:tcW w:w="961" w:type="dxa"/>
            <w:gridSpan w:val="4"/>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罚款</w:t>
            </w:r>
          </w:p>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 xml:space="preserve">基数 </w:t>
            </w:r>
          </w:p>
        </w:tc>
        <w:tc>
          <w:tcPr>
            <w:tcW w:w="720"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基准</w:t>
            </w:r>
          </w:p>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系数</w:t>
            </w:r>
          </w:p>
        </w:tc>
        <w:tc>
          <w:tcPr>
            <w:tcW w:w="3600" w:type="dxa"/>
            <w:gridSpan w:val="7"/>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变量系数</w:t>
            </w:r>
          </w:p>
        </w:tc>
        <w:tc>
          <w:tcPr>
            <w:tcW w:w="1740"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计算公式</w:t>
            </w:r>
          </w:p>
        </w:tc>
        <w:tc>
          <w:tcPr>
            <w:tcW w:w="2415" w:type="dxa"/>
            <w:gridSpan w:val="7"/>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458" w:type="dxa"/>
            <w:gridSpan w:val="34"/>
            <w:shd w:val="clear" w:color="auto" w:fill="auto"/>
            <w:vAlign w:val="center"/>
          </w:tcPr>
          <w:p>
            <w:pPr>
              <w:pStyle w:val="2"/>
              <w:rPr>
                <w:rFonts w:ascii="仿宋_GB2312" w:hAnsi="宋体" w:eastAsia="仿宋_GB2312" w:cs="宋体"/>
                <w:sz w:val="32"/>
                <w:szCs w:val="32"/>
              </w:rPr>
            </w:pPr>
            <w:bookmarkStart w:id="0" w:name="_Toc39911664"/>
            <w:r>
              <w:rPr>
                <w:rFonts w:hint="eastAsia"/>
                <w:sz w:val="32"/>
                <w:szCs w:val="32"/>
              </w:rPr>
              <w:t>市容环境卫生管理方面</w:t>
            </w:r>
            <w:r>
              <w:rPr>
                <w:sz w:val="32"/>
                <w:szCs w:val="32"/>
              </w:rPr>
              <w:t>179</w:t>
            </w:r>
            <w:r>
              <w:rPr>
                <w:rFonts w:hint="eastAsia"/>
                <w:sz w:val="32"/>
                <w:szCs w:val="32"/>
              </w:rPr>
              <w:t>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58" w:type="dxa"/>
            <w:gridSpan w:val="34"/>
            <w:shd w:val="clear" w:color="auto" w:fill="auto"/>
            <w:vAlign w:val="center"/>
          </w:tcPr>
          <w:p>
            <w:pPr>
              <w:pStyle w:val="3"/>
              <w:rPr>
                <w:szCs w:val="30"/>
              </w:rPr>
            </w:pPr>
            <w:bookmarkStart w:id="1" w:name="_Toc39911665"/>
            <w:r>
              <w:rPr>
                <w:rFonts w:hint="eastAsia"/>
                <w:szCs w:val="30"/>
              </w:rPr>
              <w:t>《北京市市容环境卫生条例》案由7</w:t>
            </w:r>
            <w:r>
              <w:rPr>
                <w:szCs w:val="30"/>
              </w:rPr>
              <w:t>5</w:t>
            </w:r>
            <w:r>
              <w:rPr>
                <w:rFonts w:hint="eastAsia"/>
                <w:szCs w:val="30"/>
              </w:rPr>
              <w:t>项</w:t>
            </w:r>
            <w:bookmarkEnd w:id="1"/>
            <w:r>
              <w:rPr>
                <w:rFonts w:hint="eastAsia"/>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bookmarkStart w:id="2" w:name="OLE_LINK1"/>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未按要求履行维护市容环境卫生责任</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【城镇地区】</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违反条款：第二十一条第一款，第二十三条第一款第（一）项、第（二）项、第（三）项，及第二十四款第二款；处罚条款：第二十四条第二款，责令改正，并处200元以上1000元以下罚款。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【农村地区】</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违反条款：第二十一条第一款，第二十三条第二款，及《关于印发北京市农村地区环境卫生责任区责任标准（试行）的通知》（京政管发〔2008〕49号）</w:t>
            </w:r>
            <w:r>
              <w:rPr>
                <w:rFonts w:hint="eastAsia" w:ascii="楷体_GB2312" w:hAnsi="宋体" w:eastAsia="楷体_GB2312" w:cs="宋体"/>
                <w:kern w:val="0"/>
                <w:szCs w:val="21"/>
              </w:rPr>
              <w:t>（根据具体情形，引用到相关条款）</w:t>
            </w:r>
            <w:r>
              <w:rPr>
                <w:rFonts w:hint="eastAsia" w:ascii="仿宋_GB2312" w:hAnsi="宋体" w:eastAsia="仿宋_GB2312" w:cs="宋体"/>
                <w:kern w:val="0"/>
                <w:szCs w:val="21"/>
              </w:rPr>
              <w:t>；处罚条款：第二十四条第二款，责令改正，并处200元以上1000元以下罚款。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w:t>
            </w:r>
          </w:p>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（注：单位：</w:t>
            </w:r>
            <w:r>
              <w:rPr>
                <w:rFonts w:hint="eastAsia" w:ascii="仿宋_GB2312" w:hAnsi="宋体" w:eastAsia="仿宋_GB2312" w:cs="宋体"/>
                <w:bCs/>
                <w:kern w:val="0"/>
                <w:szCs w:val="21"/>
              </w:rPr>
              <w:t>元，下同</w:t>
            </w:r>
            <w:r>
              <w:rPr>
                <w:rFonts w:hint="eastAsia"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p>
            <w:pPr>
              <w:widowControl/>
              <w:spacing w:line="0" w:lineRule="atLeast"/>
              <w:rPr>
                <w:rFonts w:ascii="仿宋_GB2312" w:hAnsi="宋体" w:eastAsia="仿宋_GB2312" w:cs="宋体"/>
                <w:kern w:val="0"/>
                <w:szCs w:val="21"/>
              </w:rPr>
            </w:pP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注：即对变量系数不作硬性规定，执法实践中如需考虑变量系数，按照《基准》3.3、3.4等有关规定执行，下同。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目前，本市“门前三包”制度和市容环境卫生责任制并存。执法实践可参照《北京市市政管理委员会市容环境卫生责任区告知书发放工作管理办法》（京政管字〔2002〕454号）执行。此外，应注意两项制度在责任主体、责任事项等方面的差异。</w:t>
            </w:r>
          </w:p>
          <w:p>
            <w:pPr>
              <w:widowControl/>
              <w:spacing w:line="0" w:lineRule="atLeast"/>
              <w:rPr>
                <w:rFonts w:ascii="仿宋_GB2312" w:eastAsia="仿宋_GB2312"/>
                <w:szCs w:val="21"/>
              </w:rPr>
            </w:pPr>
            <w:r>
              <w:rPr>
                <w:rFonts w:hint="eastAsia" w:ascii="仿宋_GB2312" w:eastAsia="仿宋_GB2312"/>
                <w:szCs w:val="21"/>
              </w:rPr>
              <w:t>存在其它从重处罚情形的，提交案审会决定。</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擅自在临街的建筑物上设置装饰物品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违反条款：第二十六条第一款第（三）项；处罚条款：第二十六条第二款，责令限期改正；逾期不改正的，强制拆除或者清除，并可处50元以上500元以下罚款。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建筑物顶部、外走廊等未保持整洁或堆物堆料</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违反条款：第二十六条第一款第（五）项；处罚条款：第二十六条第二款，责令限期改正；逾期不改正的，强制拆除或者清除，并可处50元以上500元以下罚款。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699" w:type="dxa"/>
            <w:gridSpan w:val="5"/>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规定区域内建筑物顶部、阳台外和窗外设置不符合容貌景观标准的设施</w:t>
            </w:r>
          </w:p>
        </w:tc>
        <w:tc>
          <w:tcPr>
            <w:tcW w:w="3820" w:type="dxa"/>
            <w:gridSpan w:val="5"/>
            <w:vMerge w:val="restart"/>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违反条款：第二十六条第一款第（五）项；处罚条款：第二十六条第二款，责令限期改正；逾期不改正的，强制拆除或者清除，并可处50元以上500元以下罚款。</w:t>
            </w:r>
          </w:p>
        </w:tc>
        <w:tc>
          <w:tcPr>
            <w:tcW w:w="961" w:type="dxa"/>
            <w:gridSpan w:val="4"/>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vMerge w:val="restart"/>
            <w:shd w:val="clear" w:color="auto" w:fill="auto"/>
            <w:noWrap/>
            <w:vAlign w:val="center"/>
          </w:tcPr>
          <w:p>
            <w:pPr>
              <w:widowControl/>
              <w:spacing w:line="360" w:lineRule="exact"/>
              <w:rPr>
                <w:rFonts w:ascii="仿宋_GB2312" w:hAnsi="宋体" w:eastAsia="仿宋_GB2312" w:cs="宋体"/>
                <w:kern w:val="0"/>
                <w:szCs w:val="21"/>
                <w:u w:val="single"/>
              </w:rPr>
            </w:pPr>
            <w:r>
              <w:rPr>
                <w:rFonts w:hint="eastAsia" w:ascii="仿宋_GB2312" w:hAnsi="宋体" w:eastAsia="仿宋_GB2312" w:cs="宋体"/>
                <w:kern w:val="0"/>
                <w:szCs w:val="21"/>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699" w:type="dxa"/>
            <w:gridSpan w:val="5"/>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规定区域内建筑物顶部、阳台外和窗外吊挂、晾晒、摆放物品</w:t>
            </w:r>
          </w:p>
        </w:tc>
        <w:tc>
          <w:tcPr>
            <w:tcW w:w="3820" w:type="dxa"/>
            <w:gridSpan w:val="5"/>
            <w:vMerge w:val="continue"/>
            <w:shd w:val="clear" w:color="auto" w:fill="auto"/>
            <w:vAlign w:val="center"/>
          </w:tcPr>
          <w:p>
            <w:pPr>
              <w:widowControl/>
              <w:spacing w:line="36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vMerge w:val="continue"/>
            <w:shd w:val="clear" w:color="auto" w:fill="auto"/>
            <w:noWrap/>
            <w:vAlign w:val="center"/>
          </w:tcPr>
          <w:p>
            <w:pPr>
              <w:widowControl/>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699" w:type="dxa"/>
            <w:gridSpan w:val="5"/>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规定区域内建筑物平台、阳台内堆放物品超出护栏高度</w:t>
            </w:r>
          </w:p>
        </w:tc>
        <w:tc>
          <w:tcPr>
            <w:tcW w:w="3820" w:type="dxa"/>
            <w:gridSpan w:val="5"/>
            <w:vMerge w:val="continue"/>
            <w:shd w:val="clear" w:color="auto" w:fill="auto"/>
            <w:vAlign w:val="center"/>
          </w:tcPr>
          <w:p>
            <w:pPr>
              <w:widowControl/>
              <w:spacing w:line="36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vMerge w:val="continue"/>
            <w:shd w:val="clear" w:color="auto" w:fill="auto"/>
            <w:noWrap/>
            <w:vAlign w:val="center"/>
          </w:tcPr>
          <w:p>
            <w:pPr>
              <w:widowControl/>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03" w:type="dxa"/>
            <w:gridSpan w:val="2"/>
            <w:vMerge w:val="restart"/>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699" w:type="dxa"/>
            <w:gridSpan w:val="5"/>
            <w:vMerge w:val="restart"/>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违法建设</w:t>
            </w:r>
          </w:p>
        </w:tc>
        <w:tc>
          <w:tcPr>
            <w:tcW w:w="3820" w:type="dxa"/>
            <w:gridSpan w:val="5"/>
            <w:vMerge w:val="restart"/>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二十七条第一款，责令限期拆除；逾期未拆除的，经市或者区、县人民政府批准后，予以强制拆除，并可对建筑物按照建筑面积处每平方米300元以上3000元以下罚款，可对构筑物、其它设施处工程造价1倍的罚款。</w:t>
            </w:r>
          </w:p>
        </w:tc>
        <w:tc>
          <w:tcPr>
            <w:tcW w:w="961" w:type="dxa"/>
            <w:gridSpan w:val="4"/>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300元／</w:t>
            </w:r>
            <w:r>
              <w:rPr>
                <w:rFonts w:hint="eastAsia" w:ascii="宋体" w:hAnsi="宋体" w:cs="宋体"/>
                <w:kern w:val="0"/>
                <w:szCs w:val="21"/>
              </w:rPr>
              <w:t>㎡</w:t>
            </w:r>
          </w:p>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（建筑物）</w:t>
            </w:r>
          </w:p>
        </w:tc>
        <w:tc>
          <w:tcPr>
            <w:tcW w:w="720" w:type="dxa"/>
            <w:gridSpan w:val="2"/>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罚款数额＝300×（1＋区域系数＋情节系数）×N</w:t>
            </w:r>
            <w:r>
              <w:rPr>
                <w:rFonts w:hint="eastAsia" w:ascii="宋体" w:hAnsi="宋体" w:cs="宋体"/>
                <w:kern w:val="0"/>
                <w:szCs w:val="21"/>
              </w:rPr>
              <w:t>㎡</w:t>
            </w:r>
            <w:r>
              <w:rPr>
                <w:rFonts w:hint="eastAsia" w:ascii="仿宋_GB2312" w:hAnsi="仿宋_GB2312" w:eastAsia="仿宋_GB2312" w:cs="仿宋_GB2312"/>
                <w:kern w:val="0"/>
                <w:szCs w:val="21"/>
              </w:rPr>
              <w:t>。</w:t>
            </w:r>
            <w:r>
              <w:rPr>
                <w:rFonts w:hint="eastAsia" w:ascii="仿宋_GB2312" w:hAnsi="宋体" w:eastAsia="仿宋_GB2312" w:cs="宋体"/>
                <w:kern w:val="0"/>
                <w:szCs w:val="21"/>
              </w:rPr>
              <w:t>N</w:t>
            </w:r>
            <w:r>
              <w:rPr>
                <w:rFonts w:hint="eastAsia" w:ascii="宋体" w:hAnsi="宋体" w:cs="宋体"/>
                <w:kern w:val="0"/>
                <w:szCs w:val="21"/>
              </w:rPr>
              <w:t>㎡</w:t>
            </w:r>
            <w:r>
              <w:rPr>
                <w:rFonts w:hint="eastAsia" w:ascii="仿宋_GB2312" w:hAnsi="仿宋_GB2312" w:eastAsia="仿宋_GB2312" w:cs="仿宋_GB2312"/>
                <w:kern w:val="0"/>
                <w:szCs w:val="21"/>
              </w:rPr>
              <w:t>为违法建筑面积</w:t>
            </w:r>
          </w:p>
        </w:tc>
        <w:tc>
          <w:tcPr>
            <w:tcW w:w="2415" w:type="dxa"/>
            <w:gridSpan w:val="7"/>
            <w:vMerge w:val="restart"/>
            <w:shd w:val="clear" w:color="auto" w:fill="auto"/>
            <w:noWrap/>
            <w:vAlign w:val="center"/>
          </w:tcPr>
          <w:p>
            <w:pPr>
              <w:widowControl/>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03"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1699" w:type="dxa"/>
            <w:gridSpan w:val="5"/>
            <w:vMerge w:val="continue"/>
            <w:shd w:val="clear" w:color="auto" w:fill="auto"/>
            <w:vAlign w:val="center"/>
          </w:tcPr>
          <w:p>
            <w:pPr>
              <w:widowControl/>
              <w:spacing w:line="360" w:lineRule="exact"/>
              <w:rPr>
                <w:rFonts w:ascii="仿宋_GB2312" w:hAnsi="宋体" w:eastAsia="仿宋_GB2312" w:cs="宋体"/>
                <w:kern w:val="0"/>
                <w:szCs w:val="21"/>
              </w:rPr>
            </w:pPr>
          </w:p>
        </w:tc>
        <w:tc>
          <w:tcPr>
            <w:tcW w:w="3820" w:type="dxa"/>
            <w:gridSpan w:val="5"/>
            <w:vMerge w:val="continue"/>
            <w:shd w:val="clear" w:color="auto" w:fill="auto"/>
            <w:vAlign w:val="center"/>
          </w:tcPr>
          <w:p>
            <w:pPr>
              <w:widowControl/>
              <w:spacing w:line="36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造价</w:t>
            </w:r>
          </w:p>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（构筑物、设施）</w:t>
            </w:r>
          </w:p>
        </w:tc>
        <w:tc>
          <w:tcPr>
            <w:tcW w:w="720" w:type="dxa"/>
            <w:gridSpan w:val="2"/>
            <w:shd w:val="clear" w:color="auto" w:fill="auto"/>
            <w:noWrap/>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36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按照法规规定执行。</w:t>
            </w:r>
          </w:p>
        </w:tc>
        <w:tc>
          <w:tcPr>
            <w:tcW w:w="2415" w:type="dxa"/>
            <w:gridSpan w:val="7"/>
            <w:vMerge w:val="continue"/>
            <w:shd w:val="clear" w:color="auto" w:fill="auto"/>
            <w:noWrap/>
            <w:vAlign w:val="center"/>
          </w:tcPr>
          <w:p>
            <w:pPr>
              <w:widowControl/>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未按规定管护井盖雨箅</w:t>
            </w:r>
          </w:p>
        </w:tc>
        <w:tc>
          <w:tcPr>
            <w:tcW w:w="4318" w:type="dxa"/>
            <w:gridSpan w:val="8"/>
            <w:shd w:val="clear" w:color="auto" w:fill="auto"/>
            <w:vAlign w:val="center"/>
          </w:tcPr>
          <w:p>
            <w:pPr>
              <w:pStyle w:val="6"/>
              <w:spacing w:line="400" w:lineRule="exact"/>
              <w:jc w:val="both"/>
              <w:rPr>
                <w:rFonts w:ascii="仿宋_GB2312" w:hAnsi="宋体" w:eastAsia="仿宋_GB2312" w:cs="宋体"/>
                <w:kern w:val="0"/>
                <w:szCs w:val="21"/>
              </w:rPr>
            </w:pPr>
            <w:r>
              <w:rPr>
                <w:rFonts w:hint="eastAsia" w:ascii="仿宋_GB2312" w:hAnsi="宋体" w:eastAsia="仿宋_GB2312" w:cs="宋体"/>
                <w:kern w:val="0"/>
                <w:szCs w:val="21"/>
              </w:rPr>
              <w:t>违反条款：第三十一条第一款；处罚条款：第三十一条第二款，责令改正，并可处200元以上2000元以下罚款。</w:t>
            </w:r>
          </w:p>
        </w:tc>
        <w:tc>
          <w:tcPr>
            <w:tcW w:w="961" w:type="dxa"/>
            <w:gridSpan w:val="4"/>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740"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井盖执法的其它案由，按照《北京市地下设施检查井井盖管理规定》执行。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03" w:type="dxa"/>
            <w:gridSpan w:val="2"/>
            <w:shd w:val="clear" w:color="auto" w:fill="auto"/>
            <w:vAlign w:val="center"/>
          </w:tcPr>
          <w:p>
            <w:pPr>
              <w:pStyle w:val="6"/>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pStyle w:val="6"/>
              <w:spacing w:line="400" w:lineRule="exact"/>
              <w:jc w:val="both"/>
              <w:rPr>
                <w:rFonts w:ascii="仿宋_GB2312" w:hAnsi="宋体" w:eastAsia="仿宋_GB2312" w:cs="宋体"/>
                <w:kern w:val="0"/>
                <w:szCs w:val="21"/>
              </w:rPr>
            </w:pPr>
            <w:r>
              <w:rPr>
                <w:rFonts w:hint="eastAsia" w:ascii="仿宋_GB2312" w:hAnsi="宋体" w:eastAsia="仿宋_GB2312" w:cs="宋体"/>
                <w:kern w:val="0"/>
                <w:szCs w:val="21"/>
              </w:rPr>
              <w:t>未经批准或未按照批准要求在公共场所设置设施</w:t>
            </w:r>
          </w:p>
        </w:tc>
        <w:tc>
          <w:tcPr>
            <w:tcW w:w="4318" w:type="dxa"/>
            <w:gridSpan w:val="8"/>
            <w:shd w:val="clear" w:color="auto" w:fill="auto"/>
            <w:vAlign w:val="center"/>
          </w:tcPr>
          <w:p>
            <w:pPr>
              <w:pStyle w:val="6"/>
              <w:spacing w:line="400" w:lineRule="exact"/>
              <w:jc w:val="both"/>
              <w:rPr>
                <w:rFonts w:ascii="仿宋_GB2312" w:hAnsi="宋体" w:eastAsia="仿宋_GB2312" w:cs="宋体"/>
                <w:kern w:val="0"/>
                <w:szCs w:val="21"/>
              </w:rPr>
            </w:pPr>
            <w:r>
              <w:rPr>
                <w:rFonts w:hint="eastAsia" w:ascii="仿宋_GB2312" w:hAnsi="宋体" w:eastAsia="仿宋_GB2312" w:cs="宋体"/>
                <w:kern w:val="0"/>
                <w:szCs w:val="21"/>
              </w:rPr>
              <w:t>违反条款：第三十三条第一款；处罚条款：第三十三条第三款，责令限期拆除，逾期未拆除的，报经市或者区、县人民政府批准后，强制拆除。</w:t>
            </w:r>
          </w:p>
        </w:tc>
        <w:tc>
          <w:tcPr>
            <w:tcW w:w="961" w:type="dxa"/>
            <w:gridSpan w:val="4"/>
            <w:shd w:val="clear" w:color="auto" w:fill="auto"/>
            <w:noWrap/>
            <w:vAlign w:val="center"/>
          </w:tcPr>
          <w:p>
            <w:pPr>
              <w:pStyle w:val="6"/>
              <w:spacing w:line="400" w:lineRule="exact"/>
              <w:jc w:val="both"/>
              <w:rPr>
                <w:rFonts w:ascii="仿宋_GB2312" w:hAnsi="宋体" w:eastAsia="仿宋_GB2312" w:cs="宋体"/>
                <w:kern w:val="0"/>
                <w:szCs w:val="21"/>
              </w:rPr>
            </w:pPr>
          </w:p>
        </w:tc>
        <w:tc>
          <w:tcPr>
            <w:tcW w:w="720" w:type="dxa"/>
            <w:gridSpan w:val="2"/>
            <w:shd w:val="clear" w:color="auto" w:fill="auto"/>
            <w:noWrap/>
            <w:vAlign w:val="center"/>
          </w:tcPr>
          <w:p>
            <w:pPr>
              <w:pStyle w:val="6"/>
              <w:spacing w:line="400" w:lineRule="exact"/>
              <w:jc w:val="both"/>
              <w:rPr>
                <w:rFonts w:ascii="仿宋_GB2312" w:hAnsi="宋体" w:eastAsia="仿宋_GB2312" w:cs="宋体"/>
                <w:kern w:val="0"/>
                <w:szCs w:val="21"/>
              </w:rPr>
            </w:pPr>
          </w:p>
        </w:tc>
        <w:tc>
          <w:tcPr>
            <w:tcW w:w="3600" w:type="dxa"/>
            <w:gridSpan w:val="7"/>
            <w:shd w:val="clear" w:color="auto" w:fill="auto"/>
            <w:vAlign w:val="center"/>
          </w:tcPr>
          <w:p>
            <w:pPr>
              <w:pStyle w:val="6"/>
              <w:spacing w:line="400" w:lineRule="exact"/>
              <w:jc w:val="both"/>
              <w:rPr>
                <w:rFonts w:ascii="仿宋_GB2312" w:hAnsi="宋体" w:eastAsia="仿宋_GB2312" w:cs="宋体"/>
                <w:kern w:val="0"/>
                <w:szCs w:val="21"/>
              </w:rPr>
            </w:pPr>
          </w:p>
        </w:tc>
        <w:tc>
          <w:tcPr>
            <w:tcW w:w="1740" w:type="dxa"/>
            <w:gridSpan w:val="2"/>
            <w:shd w:val="clear" w:color="auto" w:fill="auto"/>
            <w:vAlign w:val="center"/>
          </w:tcPr>
          <w:p>
            <w:pPr>
              <w:pStyle w:val="6"/>
              <w:spacing w:line="400" w:lineRule="exact"/>
              <w:jc w:val="both"/>
              <w:rPr>
                <w:rFonts w:ascii="仿宋_GB2312" w:hAnsi="宋体" w:eastAsia="仿宋_GB2312" w:cs="宋体"/>
                <w:kern w:val="0"/>
                <w:szCs w:val="21"/>
              </w:rPr>
            </w:pPr>
          </w:p>
        </w:tc>
        <w:tc>
          <w:tcPr>
            <w:tcW w:w="2415" w:type="dxa"/>
            <w:gridSpan w:val="7"/>
            <w:shd w:val="clear" w:color="auto" w:fill="auto"/>
            <w:noWrap/>
            <w:vAlign w:val="center"/>
          </w:tcPr>
          <w:p>
            <w:pPr>
              <w:pStyle w:val="6"/>
              <w:spacing w:line="400" w:lineRule="exact"/>
              <w:jc w:val="both"/>
              <w:rPr>
                <w:rFonts w:ascii="仿宋_GB2312" w:hAnsi="宋体" w:eastAsia="仿宋_GB2312" w:cs="宋体"/>
                <w:kern w:val="0"/>
                <w:szCs w:val="21"/>
              </w:rPr>
            </w:pPr>
            <w:r>
              <w:rPr>
                <w:rFonts w:hint="eastAsia" w:ascii="仿宋_GB2312" w:hAnsi="宋体" w:eastAsia="仿宋_GB2312" w:cs="宋体"/>
                <w:kern w:val="0"/>
                <w:szCs w:val="21"/>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3"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未按规定管护公共设施</w:t>
            </w:r>
          </w:p>
        </w:tc>
        <w:tc>
          <w:tcPr>
            <w:tcW w:w="4318" w:type="dxa"/>
            <w:gridSpan w:val="8"/>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违反、处罚条款：第三十四条，责令限期改正，并可处500元以上5000元以下罚款。</w:t>
            </w:r>
          </w:p>
        </w:tc>
        <w:tc>
          <w:tcPr>
            <w:tcW w:w="961" w:type="dxa"/>
            <w:gridSpan w:val="4"/>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4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3"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擅自摆摊设点</w:t>
            </w:r>
          </w:p>
        </w:tc>
        <w:tc>
          <w:tcPr>
            <w:tcW w:w="4318" w:type="dxa"/>
            <w:gridSpan w:val="8"/>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违反条款：第三十五条第一款；处罚条款：第三十五条第五款，责令改正，没收违法所得和非法财物，并可处500元以上5000元以下的罚款。</w:t>
            </w:r>
          </w:p>
        </w:tc>
        <w:tc>
          <w:tcPr>
            <w:tcW w:w="961" w:type="dxa"/>
            <w:gridSpan w:val="4"/>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1.占用盲道或者机动车道的，系数为2；2.摆设摊点经营现场加工制作的食品的，系数2；3.摆设摊点经营违禁品的，系数9；4.使用畜力车、农用运输车及其它机动车、电动车为工具的，系数为1；5.占用过街桥、地下过街通道的，系数为1；6.占用非机动车道或者其它公共场所，面积较大，系数为1；7.造成交通秩序、市容秩序严重混乱的，系数5。</w:t>
            </w:r>
          </w:p>
        </w:tc>
        <w:tc>
          <w:tcPr>
            <w:tcW w:w="1740" w:type="dxa"/>
            <w:gridSpan w:val="2"/>
            <w:shd w:val="clear" w:color="auto" w:fill="auto"/>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w:t>
            </w:r>
            <w:r>
              <w:rPr>
                <w:rFonts w:ascii="仿宋_GB2312" w:hAnsi="宋体" w:eastAsia="仿宋_GB2312" w:cs="宋体"/>
                <w:kern w:val="0"/>
                <w:szCs w:val="21"/>
              </w:rPr>
              <w:t>系数</w:t>
            </w:r>
            <w:r>
              <w:rPr>
                <w:rFonts w:hint="eastAsia" w:ascii="仿宋_GB2312" w:hAnsi="宋体" w:eastAsia="仿宋_GB2312" w:cs="宋体"/>
                <w:kern w:val="0"/>
                <w:szCs w:val="21"/>
              </w:rPr>
              <w:t>）</w:t>
            </w:r>
          </w:p>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有</w:t>
            </w:r>
            <w:r>
              <w:rPr>
                <w:rFonts w:ascii="仿宋_GB2312" w:hAnsi="宋体" w:eastAsia="仿宋_GB2312" w:cs="宋体"/>
                <w:kern w:val="0"/>
                <w:szCs w:val="21"/>
              </w:rPr>
              <w:t>生活困难</w:t>
            </w:r>
            <w:r>
              <w:rPr>
                <w:rFonts w:hint="eastAsia" w:ascii="仿宋_GB2312" w:hAnsi="宋体" w:eastAsia="仿宋_GB2312" w:cs="宋体"/>
                <w:kern w:val="0"/>
                <w:szCs w:val="21"/>
              </w:rPr>
              <w:t>，</w:t>
            </w:r>
            <w:r>
              <w:rPr>
                <w:rFonts w:ascii="仿宋_GB2312" w:hAnsi="宋体" w:eastAsia="仿宋_GB2312" w:cs="宋体"/>
                <w:kern w:val="0"/>
                <w:szCs w:val="21"/>
              </w:rPr>
              <w:t>并出具保证书，提出从轻处罚申请的，情节系数和变量系数可为</w:t>
            </w:r>
            <w:r>
              <w:rPr>
                <w:rFonts w:hint="eastAsia" w:ascii="仿宋_GB2312" w:hAnsi="宋体" w:eastAsia="仿宋_GB2312" w:cs="宋体"/>
                <w:kern w:val="0"/>
                <w:szCs w:val="21"/>
              </w:rPr>
              <w:t>0。</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注意“无照经营”案由和“摆摊设点”案由的区别适用。“无照经营”行为侵害的是简单的市场经营秩序，而“摆摊设点”行为侵害的是交通通行秩序和市容环境秩序，还可能侵害到市场经营秩序。存在竞合时，建议按照“上位法优于下位法”、“新法优于旧法”、“复杂法优于简单法”、“实害法优于危险法”等原则，选择案由进行定性和处罚。</w:t>
            </w:r>
          </w:p>
          <w:p>
            <w:pPr>
              <w:widowControl/>
              <w:rPr>
                <w:rFonts w:ascii="仿宋_GB2312" w:hAnsi="宋体" w:eastAsia="仿宋_GB2312" w:cs="宋体"/>
                <w:kern w:val="0"/>
                <w:szCs w:val="21"/>
              </w:rPr>
            </w:pPr>
            <w:r>
              <w:rPr>
                <w:rFonts w:hint="eastAsia" w:ascii="仿宋_GB2312" w:hAnsi="宋体" w:eastAsia="仿宋_GB2312" w:cs="宋体"/>
                <w:kern w:val="0"/>
                <w:szCs w:val="21"/>
              </w:rPr>
              <w:t>2.本案由中的“违法所得”主要指行为人通过违法行为获取的财产，“非法财物”主要指违禁物品</w:t>
            </w:r>
            <w:r>
              <w:rPr>
                <w:rFonts w:ascii="仿宋_GB2312" w:hAnsi="宋体" w:eastAsia="仿宋_GB2312" w:cs="宋体"/>
                <w:kern w:val="0"/>
                <w:szCs w:val="21"/>
              </w:rPr>
              <w:t>或者用以实施违法行为的工具，</w:t>
            </w:r>
            <w:r>
              <w:rPr>
                <w:rFonts w:hint="eastAsia" w:ascii="仿宋_GB2312" w:hAnsi="宋体" w:eastAsia="仿宋_GB2312" w:cs="宋体"/>
                <w:kern w:val="0"/>
                <w:szCs w:val="21"/>
              </w:rPr>
              <w:t>而</w:t>
            </w:r>
            <w:r>
              <w:rPr>
                <w:rFonts w:ascii="仿宋_GB2312" w:hAnsi="宋体" w:eastAsia="仿宋_GB2312" w:cs="宋体"/>
                <w:kern w:val="0"/>
                <w:szCs w:val="21"/>
              </w:rPr>
              <w:t>工具的范畴需与违法行为直接关联，是否实施没收，需要考虑是否违背行政行为适当性和合理性</w:t>
            </w:r>
            <w:r>
              <w:rPr>
                <w:rFonts w:hint="eastAsia" w:ascii="仿宋_GB2312" w:hAnsi="宋体" w:eastAsia="仿宋_GB2312" w:cs="宋体"/>
                <w:kern w:val="0"/>
                <w:szCs w:val="21"/>
              </w:rPr>
              <w:t>等</w:t>
            </w:r>
            <w:r>
              <w:rPr>
                <w:rFonts w:ascii="仿宋_GB2312" w:hAnsi="宋体" w:eastAsia="仿宋_GB2312" w:cs="宋体"/>
                <w:kern w:val="0"/>
                <w:szCs w:val="21"/>
              </w:rPr>
              <w:t>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03"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乱堆物料</w:t>
            </w:r>
          </w:p>
        </w:tc>
        <w:tc>
          <w:tcPr>
            <w:tcW w:w="4318" w:type="dxa"/>
            <w:gridSpan w:val="8"/>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违反条款：第三十五条第一款；处罚条款：第三十五条第五款，责令改正，没收违法所得和非法财物，并可处500元以上5000元以下的罚款。</w:t>
            </w:r>
          </w:p>
        </w:tc>
        <w:tc>
          <w:tcPr>
            <w:tcW w:w="961" w:type="dxa"/>
            <w:gridSpan w:val="4"/>
            <w:shd w:val="clear" w:color="auto" w:fill="auto"/>
            <w:noWrap/>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80" w:lineRule="exact"/>
              <w:rPr>
                <w:rFonts w:ascii="仿宋_GB2312" w:hAnsi="宋体" w:eastAsia="仿宋_GB2312" w:cs="宋体"/>
                <w:kern w:val="0"/>
                <w:sz w:val="24"/>
              </w:rPr>
            </w:pPr>
            <w:r>
              <w:rPr>
                <w:rFonts w:hint="eastAsia" w:ascii="仿宋_GB2312" w:hAnsi="宋体" w:eastAsia="仿宋_GB2312" w:cs="宋体"/>
                <w:kern w:val="0"/>
                <w:szCs w:val="21"/>
              </w:rPr>
              <w:t>1.占用盲道或者机动车道的，系数为2；2.在公共绿地燃气、热力等保护范围、管理范围堆放，或者占用过街桥、地下过街通道的，系数为1；3.占用非机动车道或者其它公共场所，面积较大，或者造成通行秩序、市容秩序混乱的，系数为1。</w:t>
            </w:r>
          </w:p>
        </w:tc>
        <w:tc>
          <w:tcPr>
            <w:tcW w:w="1740"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对“乱堆物料”行为，原则上按照《北京市市容环境卫生条例》进行查处；本市绿化、燃气、热力等法规规章另有规定，确需给予从重罚款处罚，或者需要给予其它种类处罚决定，或者需要采取相关行政措施的，可适用相关法规查处。2.在城市道路上乱堆物料，占路面积很大，确需给予5000元以上2万元以下罚款的，可酌情按照“擅自占用城市道路”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3"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未按规定举办活动</w:t>
            </w:r>
          </w:p>
        </w:tc>
        <w:tc>
          <w:tcPr>
            <w:tcW w:w="4318" w:type="dxa"/>
            <w:gridSpan w:val="8"/>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违反条款：第三十五条第二款；</w:t>
            </w:r>
          </w:p>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处罚条款：第三十五条第五款：责令改正，并可处1000元以上1万元以下的罚款；</w:t>
            </w:r>
          </w:p>
        </w:tc>
        <w:tc>
          <w:tcPr>
            <w:tcW w:w="961" w:type="dxa"/>
            <w:gridSpan w:val="4"/>
            <w:shd w:val="clear" w:color="auto" w:fill="auto"/>
            <w:noWrap/>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28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03"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店外经营</w:t>
            </w:r>
          </w:p>
        </w:tc>
        <w:tc>
          <w:tcPr>
            <w:tcW w:w="4318" w:type="dxa"/>
            <w:gridSpan w:val="8"/>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违反条款：第三十五条第三款；</w:t>
            </w:r>
          </w:p>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处罚条款：第三十五条第五款：责令改正，并可处300元以上3000元以下的罚款.</w:t>
            </w:r>
          </w:p>
        </w:tc>
        <w:tc>
          <w:tcPr>
            <w:tcW w:w="961" w:type="dxa"/>
            <w:gridSpan w:val="4"/>
            <w:shd w:val="clear" w:color="auto" w:fill="auto"/>
            <w:noWrap/>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28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 占用盲道或者机动车道、绿地的，系数为2；2.店外经营餐饮的，系数2；3.经营违禁品的，系数9；4.占用非机动车道或者其它公共场所，面积较大，系数1;5.造成交通秩序、市容秩序严重混乱的，系数5。</w:t>
            </w:r>
          </w:p>
        </w:tc>
        <w:tc>
          <w:tcPr>
            <w:tcW w:w="1740"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罚款数额＝300×（1＋区域系数＋情节系数＋变量系数）</w:t>
            </w:r>
          </w:p>
        </w:tc>
        <w:tc>
          <w:tcPr>
            <w:tcW w:w="2415" w:type="dxa"/>
            <w:gridSpan w:val="7"/>
            <w:shd w:val="clear" w:color="auto" w:fill="auto"/>
            <w:vAlign w:val="center"/>
          </w:tcPr>
          <w:p>
            <w:pPr>
              <w:widowControl/>
              <w:spacing w:line="28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3" w:type="dxa"/>
            <w:gridSpan w:val="2"/>
            <w:shd w:val="clear" w:color="auto" w:fill="auto"/>
            <w:vAlign w:val="center"/>
          </w:tcPr>
          <w:p>
            <w:pPr>
              <w:widowControl/>
              <w:spacing w:line="300" w:lineRule="exact"/>
              <w:rPr>
                <w:rFonts w:ascii="仿宋_GB2312" w:hAnsi="宋体" w:eastAsia="仿宋_GB2312" w:cs="宋体"/>
                <w:kern w:val="0"/>
                <w:szCs w:val="21"/>
              </w:rPr>
            </w:pPr>
            <w:r>
              <w:rPr>
                <w:rFonts w:ascii="仿宋_GB2312" w:hAnsi="宋体" w:eastAsia="仿宋_GB2312" w:cs="宋体"/>
                <w:kern w:val="0"/>
                <w:szCs w:val="21"/>
              </w:rPr>
              <w:t>15</w:t>
            </w:r>
          </w:p>
        </w:tc>
        <w:tc>
          <w:tcPr>
            <w:tcW w:w="1201"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在城市道路及其它公共场所晾晒衣物、吊挂物品</w:t>
            </w:r>
          </w:p>
        </w:tc>
        <w:tc>
          <w:tcPr>
            <w:tcW w:w="4318" w:type="dxa"/>
            <w:gridSpan w:val="8"/>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违反条款：第三十六条第一款；</w:t>
            </w:r>
          </w:p>
          <w:p>
            <w:pPr>
              <w:widowControl/>
              <w:spacing w:line="300" w:lineRule="exact"/>
              <w:rPr>
                <w:rFonts w:ascii="仿宋_GB2312" w:hAnsi="宋体" w:eastAsia="仿宋_GB2312" w:cs="宋体"/>
                <w:b/>
                <w:kern w:val="0"/>
                <w:szCs w:val="21"/>
              </w:rPr>
            </w:pPr>
            <w:r>
              <w:rPr>
                <w:rFonts w:hint="eastAsia" w:ascii="仿宋_GB2312" w:hAnsi="宋体" w:eastAsia="仿宋_GB2312" w:cs="宋体"/>
                <w:kern w:val="0"/>
                <w:szCs w:val="21"/>
              </w:rPr>
              <w:t>处罚条款：第三十六条第二款：责令改正，并可处20元以上50元以下罚款。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p>
        </w:tc>
        <w:tc>
          <w:tcPr>
            <w:tcW w:w="2415" w:type="dxa"/>
            <w:gridSpan w:val="7"/>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3" w:type="dxa"/>
            <w:gridSpan w:val="2"/>
            <w:shd w:val="clear" w:color="auto" w:fill="auto"/>
            <w:vAlign w:val="center"/>
          </w:tcPr>
          <w:p>
            <w:pPr>
              <w:widowControl/>
              <w:spacing w:line="300" w:lineRule="exact"/>
              <w:rPr>
                <w:rFonts w:ascii="仿宋_GB2312" w:hAnsi="宋体" w:eastAsia="仿宋_GB2312" w:cs="宋体"/>
                <w:kern w:val="0"/>
                <w:szCs w:val="21"/>
              </w:rPr>
            </w:pPr>
            <w:r>
              <w:rPr>
                <w:rFonts w:ascii="仿宋_GB2312" w:hAnsi="宋体" w:eastAsia="仿宋_GB2312" w:cs="宋体"/>
                <w:kern w:val="0"/>
                <w:szCs w:val="21"/>
              </w:rPr>
              <w:t>16</w:t>
            </w:r>
          </w:p>
        </w:tc>
        <w:tc>
          <w:tcPr>
            <w:tcW w:w="1201"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违反规划设置户外广告设施</w:t>
            </w:r>
          </w:p>
        </w:tc>
        <w:tc>
          <w:tcPr>
            <w:tcW w:w="4318" w:type="dxa"/>
            <w:gridSpan w:val="8"/>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违反条款：第三十八条第一款；</w:t>
            </w:r>
          </w:p>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处罚条款：第三十八条第二款 责令限期拆除，逾期未拆除的，强制拆除，并可处1万元以上10万元以下罚款。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w:t>
            </w:r>
            <w:r>
              <w:rPr>
                <w:rFonts w:hint="eastAsia" w:ascii="仿宋_GB2312" w:eastAsia="仿宋_GB2312"/>
              </w:rPr>
              <w:t>逾期不改正的情形，不记入本项“情节系数”。</w:t>
            </w:r>
          </w:p>
        </w:tc>
        <w:tc>
          <w:tcPr>
            <w:tcW w:w="2415" w:type="dxa"/>
            <w:gridSpan w:val="7"/>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在严禁设置区或者严格限制设置区域擅自设置户外广告设施；擅自设置大型单立柱或者大型附着式户外广告设施的，设置户外广告设施同时不符合安全技术标准的，经案审会讨论，可以处以5万元以上罚款。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3" w:type="dxa"/>
            <w:gridSpan w:val="2"/>
            <w:shd w:val="clear" w:color="auto" w:fill="auto"/>
            <w:vAlign w:val="center"/>
          </w:tcPr>
          <w:p>
            <w:pPr>
              <w:widowControl/>
              <w:spacing w:line="320" w:lineRule="exact"/>
              <w:rPr>
                <w:rFonts w:ascii="仿宋_GB2312" w:hAnsi="宋体" w:eastAsia="仿宋_GB2312" w:cs="宋体"/>
                <w:kern w:val="0"/>
                <w:szCs w:val="21"/>
              </w:rPr>
            </w:pPr>
            <w:r>
              <w:rPr>
                <w:rFonts w:ascii="仿宋_GB2312" w:hAnsi="宋体" w:eastAsia="仿宋_GB2312" w:cs="宋体"/>
                <w:kern w:val="0"/>
                <w:szCs w:val="21"/>
              </w:rPr>
              <w:t>17</w:t>
            </w:r>
          </w:p>
        </w:tc>
        <w:tc>
          <w:tcPr>
            <w:tcW w:w="1201"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设置户外广告设施不符合安全技术标准</w:t>
            </w:r>
          </w:p>
        </w:tc>
        <w:tc>
          <w:tcPr>
            <w:tcW w:w="4318" w:type="dxa"/>
            <w:gridSpan w:val="8"/>
            <w:vMerge w:val="continue"/>
            <w:shd w:val="clear" w:color="auto" w:fill="auto"/>
            <w:vAlign w:val="center"/>
          </w:tcPr>
          <w:p>
            <w:pPr>
              <w:widowControl/>
              <w:spacing w:line="32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在环路、高（快）速路两侧，或者车站、机场、居民小区、医院、学校、体育场馆、影剧院、繁华商业街区、旅游景区等人口集中地区设置不符合标准设施的，系数2。</w:t>
            </w: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r>
              <w:rPr>
                <w:rFonts w:hint="eastAsia" w:ascii="仿宋_GB2312" w:eastAsia="仿宋_GB2312"/>
              </w:rPr>
              <w:t>逾期不改正的情形，不记入本项“情节系数”。</w:t>
            </w:r>
          </w:p>
        </w:tc>
        <w:tc>
          <w:tcPr>
            <w:tcW w:w="2415" w:type="dxa"/>
            <w:gridSpan w:val="7"/>
            <w:shd w:val="clear" w:color="auto" w:fill="auto"/>
            <w:vAlign w:val="center"/>
          </w:tcPr>
          <w:p>
            <w:pPr>
              <w:widowControl/>
              <w:spacing w:line="320" w:lineRule="exact"/>
              <w:rPr>
                <w:rFonts w:ascii="仿宋_GB2312" w:hAnsi="宋体" w:eastAsia="仿宋_GB2312" w:cs="宋体"/>
                <w:strike/>
                <w:kern w:val="0"/>
                <w:sz w:val="24"/>
              </w:rPr>
            </w:pPr>
            <w:r>
              <w:rPr>
                <w:rFonts w:hint="eastAsia" w:ascii="仿宋_GB2312" w:hAnsi="宋体" w:eastAsia="仿宋_GB2312" w:cs="宋体"/>
                <w:kern w:val="0"/>
                <w:szCs w:val="21"/>
              </w:rPr>
              <w:t>同时存在违反规划设置情形的，按照“违反规划设置户外广告设施”案由执行和裁量。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03"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w:t>
            </w:r>
          </w:p>
        </w:tc>
        <w:tc>
          <w:tcPr>
            <w:tcW w:w="1201"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未按规定管护户外广告</w:t>
            </w:r>
          </w:p>
        </w:tc>
        <w:tc>
          <w:tcPr>
            <w:tcW w:w="4318" w:type="dxa"/>
            <w:gridSpan w:val="8"/>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违反条款：第三十九条第一款第（一）项；</w:t>
            </w:r>
          </w:p>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处罚条款：第三十九条第二款 责令限期改正，并可处500元以上5000元以下罚款。</w:t>
            </w:r>
          </w:p>
        </w:tc>
        <w:tc>
          <w:tcPr>
            <w:tcW w:w="961" w:type="dxa"/>
            <w:gridSpan w:val="4"/>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vAlign w:val="center"/>
          </w:tcPr>
          <w:p>
            <w:pPr>
              <w:widowControl/>
              <w:spacing w:line="320" w:lineRule="exac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03" w:type="dxa"/>
            <w:gridSpan w:val="2"/>
            <w:shd w:val="clear" w:color="auto" w:fill="auto"/>
            <w:vAlign w:val="center"/>
          </w:tcPr>
          <w:p>
            <w:pPr>
              <w:widowControl/>
              <w:spacing w:line="320" w:lineRule="exact"/>
              <w:rPr>
                <w:rFonts w:ascii="仿宋_GB2312" w:hAnsi="宋体" w:eastAsia="仿宋_GB2312" w:cs="宋体"/>
                <w:kern w:val="0"/>
                <w:szCs w:val="21"/>
              </w:rPr>
            </w:pPr>
            <w:r>
              <w:rPr>
                <w:rFonts w:ascii="仿宋_GB2312" w:hAnsi="宋体" w:eastAsia="仿宋_GB2312" w:cs="宋体"/>
                <w:kern w:val="0"/>
                <w:szCs w:val="21"/>
              </w:rPr>
              <w:t>19</w:t>
            </w:r>
          </w:p>
        </w:tc>
        <w:tc>
          <w:tcPr>
            <w:tcW w:w="1201"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未按规定管护显亮式户外广告</w:t>
            </w:r>
          </w:p>
        </w:tc>
        <w:tc>
          <w:tcPr>
            <w:tcW w:w="4318" w:type="dxa"/>
            <w:gridSpan w:val="8"/>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违反条款：第三十九条第一款第（二）项；</w:t>
            </w:r>
          </w:p>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处罚条款：第三十九条第二款 责令限期改正，并可处500元以上5000元以下罚款；霓虹灯、电子显示屏、灯箱等断亮、残损的，在修复前应当停止使用。</w:t>
            </w:r>
          </w:p>
        </w:tc>
        <w:tc>
          <w:tcPr>
            <w:tcW w:w="961" w:type="dxa"/>
            <w:gridSpan w:val="4"/>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vAlign w:val="center"/>
          </w:tcPr>
          <w:p>
            <w:pPr>
              <w:widowControl/>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03"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201"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未按规定设置牌匾标识</w:t>
            </w:r>
          </w:p>
        </w:tc>
        <w:tc>
          <w:tcPr>
            <w:tcW w:w="4318" w:type="dxa"/>
            <w:gridSpan w:val="8"/>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违反、处罚条款：第四十条第一款 责令限期改正，逾期不改正的，予以强制拆除，并可处500元以上5000元以下罚款。</w:t>
            </w:r>
          </w:p>
        </w:tc>
        <w:tc>
          <w:tcPr>
            <w:tcW w:w="961" w:type="dxa"/>
            <w:gridSpan w:val="4"/>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vAlign w:val="center"/>
          </w:tcPr>
          <w:p>
            <w:pPr>
              <w:widowControl/>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03"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1</w:t>
            </w:r>
          </w:p>
        </w:tc>
        <w:tc>
          <w:tcPr>
            <w:tcW w:w="1201"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未按规定管护牌匾标识</w:t>
            </w:r>
          </w:p>
        </w:tc>
        <w:tc>
          <w:tcPr>
            <w:tcW w:w="4318" w:type="dxa"/>
            <w:gridSpan w:val="8"/>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违反、处罚条款：第四十条第二款 责令停止使用，限期修复，并可处500元以上5000元以下罚款。</w:t>
            </w:r>
          </w:p>
        </w:tc>
        <w:tc>
          <w:tcPr>
            <w:tcW w:w="961" w:type="dxa"/>
            <w:gridSpan w:val="4"/>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vAlign w:val="center"/>
          </w:tcPr>
          <w:p>
            <w:pPr>
              <w:widowControl/>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未按规定设置标语宣传品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违反条款：第四十一条第一款；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处罚条款：第四十一条第三款 责令限期改正，并可处500元以上5000以下罚款。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未经批准设置，系数为2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违反禁止规定设置标语宣传品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违反条款：第四十一条第二款；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处罚条款：第四十一条第三款 责令限期改正，并可处500元以上5000以下罚款。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数量较多，或者影响公用设施使用的，系数为2-4。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可参照《北京市标语宣传品设置管理规定》第六条等规定执行。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03"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4</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擅自（散发、悬挂、张贴、刻画、涂写、喷涂）宣传品、广告</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违反、处罚条款：第四十三条第一款没收非法财物和违法所得，并处100元以上1000元以下罚款；情节严重的，处1000元以上1万元以下罚款。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1.散发，系数为1；2.张贴、悬挂，系数为2；3.刻画、涂写、喷涂，系数为3。</w:t>
            </w:r>
          </w:p>
        </w:tc>
        <w:tc>
          <w:tcPr>
            <w:tcW w:w="1314" w:type="dxa"/>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罚款数额＝100×（1＋区域系数＋情节系数＋变量系数）</w:t>
            </w:r>
          </w:p>
        </w:tc>
        <w:tc>
          <w:tcPr>
            <w:tcW w:w="2841" w:type="dxa"/>
            <w:gridSpan w:val="8"/>
            <w:shd w:val="clear" w:color="auto" w:fill="auto"/>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503"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1000（情节严重）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1.因散发、悬挂等行为影响交通通行的，系数为2；2.张贴、喷涂等污损名胜古迹的，或者严重污损市政、环卫、电信等设施、城市道路、墙体的，系数5；3.其它情形按照《基准》的规定执行。</w:t>
            </w:r>
          </w:p>
        </w:tc>
        <w:tc>
          <w:tcPr>
            <w:tcW w:w="1314" w:type="dxa"/>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罚款数额＝1000×（1＋区域系数＋情节系数＋变量系数）</w:t>
            </w:r>
          </w:p>
        </w:tc>
        <w:tc>
          <w:tcPr>
            <w:tcW w:w="2841"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一类地区小广告违法行为，按照此档处罚；特殊情况下需给予1000元以下罚款的，报经案审会审核。2.“涉黑”、“涉黄”等内容违法的小广告违法行为，如刻章办证、卖药、销售假冒伪劣商品、交友等，按照此档处罚。3.现场发现小广告数量达到500张以上，悬挂、张贴达到20张以上的，刻画、喷涂、涂写达到10条以上的，按照此档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03"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擅自利用或者组织（张贴、涂写、刻画、喷涂、散发）（标语、宣传品、广告）进行宣传</w:t>
            </w:r>
          </w:p>
          <w:p>
            <w:pPr>
              <w:widowControl/>
              <w:spacing w:line="0" w:lineRule="atLeast"/>
              <w:rPr>
                <w:rFonts w:ascii="仿宋_GB2312" w:hAnsi="宋体" w:eastAsia="仿宋_GB2312" w:cs="宋体"/>
                <w:kern w:val="0"/>
                <w:szCs w:val="21"/>
                <w:u w:val="single"/>
              </w:rPr>
            </w:pP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违反、处罚条款：第四十三条第二款没收非法财物和违法所得，并处1万元以上10万元以下罚款；情节严重的，处10万元以上50万元以下罚款。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1.散发，系数为1；2.张贴，系数为2；3.刻画、涂写、喷涂，系数为3；4.其它按照《基准》的规定执行。</w:t>
            </w:r>
          </w:p>
        </w:tc>
        <w:tc>
          <w:tcPr>
            <w:tcW w:w="1314" w:type="dxa"/>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841" w:type="dxa"/>
            <w:gridSpan w:val="8"/>
            <w:shd w:val="clear" w:color="auto" w:fill="auto"/>
            <w:noWrap/>
            <w:vAlign w:val="center"/>
          </w:tcPr>
          <w:p>
            <w:pPr>
              <w:spacing w:line="0" w:lineRule="atLeast"/>
              <w:rPr>
                <w:rFonts w:ascii="仿宋_GB2312" w:hAnsi="宋体" w:eastAsia="仿宋_GB2312" w:cs="宋体"/>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vMerge w:val="continue"/>
            <w:shd w:val="clear" w:color="auto" w:fill="auto"/>
            <w:vAlign w:val="center"/>
          </w:tcPr>
          <w:p>
            <w:pPr>
              <w:widowControl/>
              <w:spacing w:line="0" w:lineRule="atLeast"/>
              <w:jc w:val="center"/>
              <w:rPr>
                <w:rFonts w:ascii="仿宋_GB2312" w:hAnsi="宋体" w:eastAsia="仿宋_GB2312" w:cs="宋体"/>
                <w:kern w:val="0"/>
                <w:sz w:val="24"/>
              </w:rPr>
            </w:pPr>
          </w:p>
        </w:tc>
        <w:tc>
          <w:tcPr>
            <w:tcW w:w="1201" w:type="dxa"/>
            <w:gridSpan w:val="2"/>
            <w:vMerge w:val="continue"/>
            <w:shd w:val="clear" w:color="auto" w:fill="auto"/>
            <w:vAlign w:val="center"/>
          </w:tcPr>
          <w:p>
            <w:pPr>
              <w:widowControl/>
              <w:spacing w:line="0" w:lineRule="atLeast"/>
              <w:rPr>
                <w:rFonts w:ascii="仿宋_GB2312" w:eastAsia="仿宋_GB2312"/>
                <w:sz w:val="24"/>
              </w:rPr>
            </w:pPr>
          </w:p>
        </w:tc>
        <w:tc>
          <w:tcPr>
            <w:tcW w:w="4318" w:type="dxa"/>
            <w:gridSpan w:val="8"/>
            <w:vMerge w:val="continue"/>
            <w:shd w:val="clear" w:color="auto" w:fill="auto"/>
            <w:vAlign w:val="center"/>
          </w:tcPr>
          <w:p>
            <w:pPr>
              <w:widowControl/>
              <w:spacing w:line="0" w:lineRule="atLeast"/>
              <w:rPr>
                <w:rFonts w:ascii="仿宋_GB2312" w:eastAsia="仿宋_GB2312"/>
                <w:sz w:val="24"/>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100000（情节严重）</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 w:val="24"/>
              </w:rPr>
            </w:pPr>
            <w:r>
              <w:rPr>
                <w:rFonts w:hint="eastAsia" w:ascii="仿宋_GB2312" w:hAnsi="宋体" w:eastAsia="仿宋_GB2312" w:cs="宋体"/>
                <w:kern w:val="0"/>
                <w:szCs w:val="21"/>
              </w:rPr>
              <w:t>按照《基准》的规定执行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组织利用</w:t>
            </w:r>
            <w:r>
              <w:rPr>
                <w:rFonts w:ascii="仿宋_GB2312" w:hAnsi="宋体" w:eastAsia="仿宋_GB2312" w:cs="宋体"/>
                <w:kern w:val="0"/>
                <w:szCs w:val="21"/>
              </w:rPr>
              <w:t>不满十周岁的未成年</w:t>
            </w:r>
            <w:r>
              <w:rPr>
                <w:rFonts w:hint="eastAsia" w:ascii="仿宋_GB2312" w:hAnsi="宋体" w:eastAsia="仿宋_GB2312" w:cs="宋体"/>
                <w:kern w:val="0"/>
                <w:szCs w:val="21"/>
              </w:rPr>
              <w:t>人进行宣传的；组织利用三名以上（含三名）</w:t>
            </w:r>
            <w:r>
              <w:rPr>
                <w:rFonts w:ascii="仿宋_GB2312" w:hAnsi="宋体" w:eastAsia="仿宋_GB2312" w:cs="宋体"/>
                <w:kern w:val="0"/>
                <w:szCs w:val="21"/>
              </w:rPr>
              <w:t>十周岁以上的</w:t>
            </w:r>
            <w:r>
              <w:rPr>
                <w:rFonts w:hint="eastAsia" w:ascii="仿宋_GB2312" w:hAnsi="宋体" w:eastAsia="仿宋_GB2312" w:cs="宋体"/>
                <w:kern w:val="0"/>
                <w:szCs w:val="21"/>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未按规划要求设置夜景照明设施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违反条款：第四十五条第一款；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处罚条款：第四十五条第四款 责令限期改正，逾期不改正的，处500元以上5000元以下罚款。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未经审核实施夜景照明方案</w:t>
            </w:r>
          </w:p>
        </w:tc>
        <w:tc>
          <w:tcPr>
            <w:tcW w:w="4318" w:type="dxa"/>
            <w:gridSpan w:val="8"/>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违反条款：第四十五条第二款；</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处罚条款：第四十五条第四款 责令限期改正，逾期不改正的，处500元以上5000元以下罚款。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未按照许可要求设置夜景照明设施</w:t>
            </w:r>
          </w:p>
        </w:tc>
        <w:tc>
          <w:tcPr>
            <w:tcW w:w="4318" w:type="dxa"/>
            <w:gridSpan w:val="8"/>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违反条款：第四十五条第四款；</w:t>
            </w:r>
          </w:p>
          <w:p>
            <w:pPr>
              <w:widowControl/>
              <w:spacing w:line="240" w:lineRule="exact"/>
              <w:rPr>
                <w:rFonts w:ascii="仿宋_GB2312" w:hAnsi="宋体" w:eastAsia="仿宋_GB2312" w:cs="宋体"/>
                <w:b/>
                <w:kern w:val="0"/>
                <w:szCs w:val="21"/>
              </w:rPr>
            </w:pPr>
            <w:r>
              <w:rPr>
                <w:rFonts w:hint="eastAsia" w:ascii="仿宋_GB2312" w:hAnsi="宋体" w:eastAsia="仿宋_GB2312" w:cs="宋体"/>
                <w:kern w:val="0"/>
                <w:szCs w:val="21"/>
              </w:rPr>
              <w:t>处罚条款：第四十五条第四款 责令限期改正，逾期不改正的，处500元以上5000元以下罚款。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29</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未按规定管护照明设施</w:t>
            </w:r>
          </w:p>
        </w:tc>
        <w:tc>
          <w:tcPr>
            <w:tcW w:w="4318" w:type="dxa"/>
            <w:gridSpan w:val="8"/>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违反、处罚条款：第四十六条第二款 责令限期改正；逾期不改正的，可处500元以上1000元以下罚款。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未按规定开闭照明设施</w:t>
            </w:r>
          </w:p>
        </w:tc>
        <w:tc>
          <w:tcPr>
            <w:tcW w:w="4318" w:type="dxa"/>
            <w:gridSpan w:val="8"/>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违反、处罚条款：第四十六条第二款 责令限期改正；逾期不改正的，可处500元以上1000元以下罚款。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 w:val="24"/>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1</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未按规定清扫保洁</w:t>
            </w:r>
          </w:p>
        </w:tc>
        <w:tc>
          <w:tcPr>
            <w:tcW w:w="4318" w:type="dxa"/>
            <w:gridSpan w:val="8"/>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违反、处罚条款：第四十七条 责令改正，并可处100元以上1000元以下罚款。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2</w:t>
            </w:r>
          </w:p>
        </w:tc>
        <w:tc>
          <w:tcPr>
            <w:tcW w:w="1201" w:type="dxa"/>
            <w:gridSpan w:val="2"/>
            <w:tcBorders>
              <w:bottom w:val="single" w:color="auto" w:sz="4" w:space="0"/>
            </w:tcBorders>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建设工程未按规定设置围挡、临时厕所和垃圾收集设施</w:t>
            </w:r>
          </w:p>
        </w:tc>
        <w:tc>
          <w:tcPr>
            <w:tcW w:w="4318" w:type="dxa"/>
            <w:gridSpan w:val="8"/>
            <w:vMerge w:val="restart"/>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违反、处罚条款：第四十八条 责令限期改正，并处2000元以上2万元以下罚款。</w:t>
            </w:r>
          </w:p>
        </w:tc>
        <w:tc>
          <w:tcPr>
            <w:tcW w:w="961" w:type="dxa"/>
            <w:gridSpan w:val="4"/>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2000</w:t>
            </w:r>
          </w:p>
          <w:p>
            <w:pPr>
              <w:spacing w:line="240" w:lineRule="exact"/>
              <w:rPr>
                <w:rFonts w:ascii="仿宋_GB2312" w:hAnsi="宋体" w:eastAsia="仿宋_GB2312" w:cs="宋体"/>
                <w:kern w:val="0"/>
                <w:szCs w:val="21"/>
              </w:rPr>
            </w:pPr>
          </w:p>
        </w:tc>
        <w:tc>
          <w:tcPr>
            <w:tcW w:w="720"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对未设置围挡的行为，优先适用《大气污染防治法》等相关案由和裁量，以此案由为补充。对“未对围挡进行维护”等行为，参照适用《北京市大气污染防治条例》《北京市施工现场管理办法》相关案由和裁量。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03"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3</w:t>
            </w:r>
          </w:p>
        </w:tc>
        <w:tc>
          <w:tcPr>
            <w:tcW w:w="1201"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建设工程未按规定采取防尘措施</w:t>
            </w:r>
          </w:p>
        </w:tc>
        <w:tc>
          <w:tcPr>
            <w:tcW w:w="4318" w:type="dxa"/>
            <w:gridSpan w:val="8"/>
            <w:vMerge w:val="continue"/>
            <w:shd w:val="clear" w:color="auto" w:fill="auto"/>
            <w:vAlign w:val="center"/>
          </w:tcPr>
          <w:p>
            <w:pPr>
              <w:spacing w:line="240" w:lineRule="exact"/>
              <w:rPr>
                <w:rFonts w:ascii="仿宋_GB2312" w:hAnsi="宋体" w:eastAsia="仿宋_GB2312" w:cs="宋体"/>
                <w:kern w:val="0"/>
                <w:szCs w:val="21"/>
              </w:rPr>
            </w:pPr>
          </w:p>
        </w:tc>
        <w:tc>
          <w:tcPr>
            <w:tcW w:w="961" w:type="dxa"/>
            <w:gridSpan w:val="4"/>
            <w:vMerge w:val="continue"/>
            <w:shd w:val="clear" w:color="auto" w:fill="auto"/>
            <w:noWrap/>
            <w:vAlign w:val="center"/>
          </w:tcPr>
          <w:p>
            <w:pPr>
              <w:spacing w:line="240" w:lineRule="exact"/>
              <w:rPr>
                <w:rFonts w:ascii="仿宋_GB2312" w:hAnsi="宋体" w:eastAsia="仿宋_GB2312" w:cs="宋体"/>
                <w:kern w:val="0"/>
                <w:szCs w:val="21"/>
              </w:rPr>
            </w:pPr>
          </w:p>
        </w:tc>
        <w:tc>
          <w:tcPr>
            <w:tcW w:w="720" w:type="dxa"/>
            <w:gridSpan w:val="2"/>
            <w:vMerge w:val="continue"/>
            <w:shd w:val="clear" w:color="auto" w:fill="auto"/>
            <w:noWrap/>
            <w:vAlign w:val="center"/>
          </w:tcPr>
          <w:p>
            <w:pPr>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rPr>
              <w:t>1.面积10</w:t>
            </w:r>
            <w:r>
              <w:rPr>
                <w:rFonts w:hint="eastAsia" w:ascii="Batang" w:hAnsi="Batang" w:eastAsia="Batang" w:cs="Batang"/>
              </w:rPr>
              <w:t>㎡</w:t>
            </w:r>
            <w:r>
              <w:rPr>
                <w:rFonts w:hint="eastAsia" w:ascii="仿宋_GB2312" w:eastAsia="仿宋_GB2312"/>
              </w:rPr>
              <w:t>以下的，系数0；11－25</w:t>
            </w:r>
            <w:r>
              <w:rPr>
                <w:rFonts w:hint="eastAsia" w:ascii="Batang" w:hAnsi="Batang" w:eastAsia="Batang" w:cs="Batang"/>
              </w:rPr>
              <w:t>㎡</w:t>
            </w:r>
            <w:r>
              <w:rPr>
                <w:rFonts w:hint="eastAsia" w:ascii="仿宋_GB2312" w:eastAsia="仿宋_GB2312"/>
              </w:rPr>
              <w:t>的，系数1；26－40</w:t>
            </w:r>
            <w:r>
              <w:rPr>
                <w:rFonts w:hint="eastAsia" w:ascii="Batang" w:hAnsi="Batang" w:eastAsia="Batang" w:cs="Batang"/>
              </w:rPr>
              <w:t>㎡</w:t>
            </w:r>
            <w:r>
              <w:rPr>
                <w:rFonts w:hint="eastAsia" w:ascii="仿宋_GB2312" w:eastAsia="仿宋_GB2312"/>
              </w:rPr>
              <w:t>系数2，以此类推。2.造成尘土飞扬，严重污染环境的，系数为</w:t>
            </w:r>
            <w:r>
              <w:rPr>
                <w:rFonts w:ascii="仿宋_GB2312" w:eastAsia="仿宋_GB2312"/>
              </w:rPr>
              <w:t>9</w:t>
            </w:r>
            <w:r>
              <w:rPr>
                <w:rFonts w:hint="eastAsia" w:ascii="仿宋_GB2312" w:eastAsia="仿宋_GB2312"/>
              </w:rPr>
              <w:t>。</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优先适用《大气污染防治法》规定的“施工工地未采取有效防尘降尘措施”等案由和裁量，以此案由为补充。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4</w:t>
            </w:r>
          </w:p>
        </w:tc>
        <w:tc>
          <w:tcPr>
            <w:tcW w:w="1201" w:type="dxa"/>
            <w:gridSpan w:val="2"/>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建设工程现场污水流溢</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违反、处罚条款：第四十八条 责令限期改正，并处2000元以上2万元以下罚款。</w:t>
            </w:r>
          </w:p>
        </w:tc>
        <w:tc>
          <w:tcPr>
            <w:tcW w:w="961" w:type="dxa"/>
            <w:gridSpan w:val="4"/>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vMerge w:val="continue"/>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占地面积10</w:t>
            </w:r>
            <w:r>
              <w:rPr>
                <w:rFonts w:hint="eastAsia" w:ascii="宋体" w:hAnsi="宋体" w:cs="宋体"/>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建筑垃圾未日产日清</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1.垃圾占地面积10</w:t>
            </w:r>
            <w:r>
              <w:rPr>
                <w:rFonts w:hint="eastAsia" w:ascii="宋体" w:hAnsi="宋体" w:cs="宋体"/>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的，系</w:t>
            </w:r>
            <w:r>
              <w:rPr>
                <w:rFonts w:hint="eastAsia" w:ascii="仿宋_GB2312" w:hAnsi="宋体" w:eastAsia="仿宋_GB2312" w:cs="宋体"/>
                <w:kern w:val="0"/>
                <w:szCs w:val="21"/>
              </w:rPr>
              <w:t>数1；16－20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2，以此类推。2.逾期不清的，每逾期2天，系数为１，以此累加。3.造成尘土飞扬，严重污染环境的，系数为9。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优先适用《大气污染防治法》“未及时清运建筑土方（工程渣土、建筑垃圾）”等案由和裁量，以此案由为补充。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6</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未及时清除施工弃物弃料或者临时设施</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1.废料占地面积10</w:t>
            </w:r>
            <w:r>
              <w:rPr>
                <w:rFonts w:hint="eastAsia" w:ascii="宋体" w:hAnsi="宋体" w:cs="宋体"/>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2，以此类推。2.逾期不清除临时设施的，每逾期５天，系数为１，以此累加。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7</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公共设施管护作业未按规定清除废弃物</w:t>
            </w:r>
            <w:r>
              <w:rPr>
                <w:rFonts w:hint="eastAsia" w:ascii="仿宋_GB2312" w:eastAsia="仿宋_GB2312"/>
                <w:sz w:val="32"/>
              </w:rPr>
              <w:t xml:space="preserve"> </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违反、处罚条款：第四十九条 责令限期清理，并可处500元以上5000元以下罚款。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8</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城市绿地管理养护单位未保持绿地整洁</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违反、处罚条款：第五十条 责令限期改正，并可处500元以上5000元以下罚款。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39</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绿化作业未按规定清除废弃物</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违反、处罚条款：第五十条 责令限期改正，并可处500元以上5000元以下罚款。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0</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占用公共场所从事车辆洗刷、维修业务</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违反条款：第五十二条第一款；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处罚条款：第五十二第三款 责令改正，并处50元以上300元以下罚款；情节严重的，处300元以上3000元以下罚款。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3" w:type="dxa"/>
            <w:gridSpan w:val="2"/>
            <w:vMerge w:val="continue"/>
            <w:shd w:val="clear" w:color="auto" w:fill="auto"/>
            <w:vAlign w:val="center"/>
          </w:tcPr>
          <w:p>
            <w:pPr>
              <w:widowControl/>
              <w:spacing w:line="0" w:lineRule="atLeast"/>
              <w:jc w:val="center"/>
              <w:rPr>
                <w:rFonts w:ascii="仿宋_GB2312" w:hAnsi="宋体" w:eastAsia="仿宋_GB2312" w:cs="宋体"/>
                <w:b/>
                <w:kern w:val="0"/>
                <w:sz w:val="24"/>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b/>
                <w:kern w:val="0"/>
                <w:sz w:val="24"/>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b/>
                <w:kern w:val="0"/>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1.占用盲道、机动车道、绿地的，系数2；2.占用非机动车道或者占用其它公共场所面积较大，或者造成通行秩序、市容秩序混乱的，系数为1。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03"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1</w:t>
            </w:r>
          </w:p>
        </w:tc>
        <w:tc>
          <w:tcPr>
            <w:tcW w:w="1201"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车辆作业场所环境脏乱</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违反条款：第五十二条第二款；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处罚条款：第五十二条第三款 责令改正，并处50元以上300元以下罚款；情节严重的，处300元以上3000元以下罚款。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w:t>
            </w:r>
          </w:p>
        </w:tc>
        <w:tc>
          <w:tcPr>
            <w:tcW w:w="2415" w:type="dxa"/>
            <w:gridSpan w:val="7"/>
            <w:shd w:val="clear" w:color="auto" w:fill="auto"/>
            <w:noWrap/>
            <w:vAlign w:val="center"/>
          </w:tcPr>
          <w:p>
            <w:pPr>
              <w:widowControl/>
              <w:spacing w:line="0" w:lineRule="atLeast"/>
              <w:rPr>
                <w:rFonts w:ascii="仿宋_GB2312" w:hAnsi="宋体"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503"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污染面积5</w:t>
            </w:r>
            <w:r>
              <w:rPr>
                <w:rFonts w:hint="eastAsia" w:ascii="宋体" w:hAnsi="宋体" w:cs="宋体"/>
                <w:kern w:val="0"/>
                <w:szCs w:val="21"/>
              </w:rPr>
              <w:t>㎡</w:t>
            </w:r>
            <w:r>
              <w:rPr>
                <w:rFonts w:hint="eastAsia" w:ascii="仿宋_GB2312" w:hAnsi="仿宋_GB2312" w:eastAsia="仿宋_GB2312" w:cs="仿宋_GB2312"/>
                <w:kern w:val="0"/>
                <w:szCs w:val="21"/>
              </w:rPr>
              <w:t>以内的，系数为</w:t>
            </w:r>
            <w:r>
              <w:rPr>
                <w:rFonts w:hint="eastAsia" w:ascii="仿宋_GB2312" w:hAnsi="宋体" w:eastAsia="仿宋_GB2312" w:cs="宋体"/>
                <w:kern w:val="0"/>
                <w:szCs w:val="21"/>
              </w:rPr>
              <w:t>0；6</w:t>
            </w:r>
            <w:r>
              <w:rPr>
                <w:rFonts w:hint="eastAsia" w:ascii="宋体" w:hAnsi="宋体" w:cs="宋体"/>
                <w:kern w:val="0"/>
                <w:szCs w:val="21"/>
              </w:rPr>
              <w:t>㎡</w:t>
            </w:r>
            <w:r>
              <w:rPr>
                <w:rFonts w:hint="eastAsia" w:ascii="仿宋_GB2312" w:hAnsi="仿宋_GB2312" w:eastAsia="仿宋_GB2312" w:cs="仿宋_GB2312"/>
                <w:kern w:val="0"/>
                <w:szCs w:val="21"/>
              </w:rPr>
              <w:t>－</w:t>
            </w:r>
            <w:r>
              <w:rPr>
                <w:rFonts w:hint="eastAsia" w:ascii="仿宋_GB2312" w:hAnsi="宋体" w:eastAsia="仿宋_GB2312" w:cs="宋体"/>
                <w:kern w:val="0"/>
                <w:szCs w:val="21"/>
              </w:rPr>
              <w:t>10</w:t>
            </w:r>
            <w:r>
              <w:rPr>
                <w:rFonts w:hint="eastAsia" w:ascii="宋体" w:hAnsi="宋体" w:cs="宋体"/>
                <w:kern w:val="0"/>
                <w:szCs w:val="21"/>
              </w:rPr>
              <w:t>㎡</w:t>
            </w:r>
            <w:r>
              <w:rPr>
                <w:rFonts w:hint="eastAsia" w:ascii="仿宋_GB2312" w:hAnsi="仿宋_GB2312" w:eastAsia="仿宋_GB2312" w:cs="仿宋_GB2312"/>
                <w:kern w:val="0"/>
                <w:szCs w:val="21"/>
              </w:rPr>
              <w:t>的，系数为</w:t>
            </w:r>
            <w:r>
              <w:rPr>
                <w:rFonts w:hint="eastAsia" w:ascii="仿宋_GB2312" w:hAnsi="宋体" w:eastAsia="仿宋_GB2312" w:cs="宋体"/>
                <w:kern w:val="0"/>
                <w:szCs w:val="21"/>
              </w:rPr>
              <w:t>1，以此类推。</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违法行为发生在一类地区的，或者构成《基准》3.2相关情节之一的，视为情节严重。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2</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废品收购场所环境脏乱</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违反、处罚条款：第五十三条 责令限期改正，并处300元以上3000元以下罚款。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脏乱占地面积10</w:t>
            </w:r>
            <w:r>
              <w:rPr>
                <w:rFonts w:hint="eastAsia" w:ascii="宋体" w:hAnsi="宋体" w:cs="宋体"/>
                <w:kern w:val="0"/>
                <w:szCs w:val="21"/>
              </w:rPr>
              <w:t>㎡</w:t>
            </w:r>
            <w:r>
              <w:rPr>
                <w:rFonts w:hint="eastAsia" w:ascii="仿宋_GB2312" w:hAnsi="仿宋_GB2312" w:eastAsia="仿宋_GB2312" w:cs="仿宋_GB2312"/>
                <w:kern w:val="0"/>
                <w:szCs w:val="21"/>
              </w:rPr>
              <w:t>以下系数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3</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焚烧废旧物品</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eastAsia="仿宋_GB2312"/>
              </w:rPr>
              <w:t>存在特别严重情节的，可按照《大气污染防治法》、《北京市大气污染防治条例》的相关案由执行。其它</w:t>
            </w:r>
            <w:r>
              <w:rPr>
                <w:rFonts w:hint="eastAsia" w:ascii="仿宋_GB2312" w:hAnsi="宋体" w:eastAsia="仿宋_GB2312" w:cs="宋体"/>
                <w:kern w:val="0"/>
                <w:szCs w:val="21"/>
              </w:rPr>
              <w:t>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4</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废品储存场所未采取遮挡措施</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罚款数额＝300×（1＋区域系数＋情节系数）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5</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随地吐痰</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违反条款：第五十四条第一款第（一）项；</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处罚条款：第五十四条第二款 责令改正，并可处20元以上50元以下罚款。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6</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随地便溺</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7</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随地丢弃废弃物</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违反条款：第五十四条第一款第（二）项；</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处罚条款：第五十四条第二款 责令改正，并可处20元以上50元以下罚款。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8</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乱倒污水、垃圾</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违反条款：第五十四条第一款第（三）项；</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处罚条款：第五十四条第二款责令改正，并可处20元以上50元以下罚款。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ascii="仿宋_GB2312" w:hAnsi="宋体" w:eastAsia="仿宋_GB2312" w:cs="宋体"/>
                <w:kern w:val="0"/>
                <w:szCs w:val="21"/>
              </w:rPr>
              <w:t>49</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焚烧树叶、垃圾</w:t>
            </w: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0</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在城镇地区饲养家禽家畜</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违反、处罚条款：第五十五条第一款责令限期改正，并可按照每只（头）处20元以上50元以下罚款。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03"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1</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饲养鸽子影响市容环境卫生</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违反、处罚条款：第五十五条第二款责令限期改正，并处50元以上500元以下罚款；严重影响市容环境卫生和周围居民正常生活的，可以责令拆除鸽舍。</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1.导致建筑物外立面污损的，系数3；2.导致地面污染面积5</w:t>
            </w:r>
            <w:r>
              <w:rPr>
                <w:rFonts w:hint="eastAsia" w:ascii="宋体" w:hAnsi="宋体" w:cs="宋体"/>
                <w:kern w:val="0"/>
                <w:szCs w:val="21"/>
              </w:rPr>
              <w:t>㎡</w:t>
            </w:r>
            <w:r>
              <w:rPr>
                <w:rFonts w:hint="eastAsia" w:ascii="仿宋_GB2312" w:hAnsi="仿宋_GB2312" w:eastAsia="仿宋_GB2312" w:cs="仿宋_GB2312"/>
                <w:kern w:val="0"/>
                <w:szCs w:val="21"/>
              </w:rPr>
              <w:t>以上的，系数</w:t>
            </w:r>
            <w:r>
              <w:rPr>
                <w:rFonts w:hint="eastAsia" w:ascii="仿宋_GB2312" w:hAnsi="宋体" w:eastAsia="仿宋_GB2312" w:cs="宋体"/>
                <w:kern w:val="0"/>
                <w:szCs w:val="21"/>
              </w:rPr>
              <w:t>5。</w:t>
            </w:r>
          </w:p>
        </w:tc>
        <w:tc>
          <w:tcPr>
            <w:tcW w:w="2522" w:type="dxa"/>
            <w:gridSpan w:val="6"/>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1633" w:type="dxa"/>
            <w:gridSpan w:val="3"/>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2</w:t>
            </w:r>
          </w:p>
        </w:tc>
        <w:tc>
          <w:tcPr>
            <w:tcW w:w="1201"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随意倾倒生活垃圾</w:t>
            </w:r>
          </w:p>
        </w:tc>
        <w:tc>
          <w:tcPr>
            <w:tcW w:w="4318" w:type="dxa"/>
            <w:gridSpan w:val="8"/>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违反条款：第五十八条第二款；处罚条款：第五十八条第五款 责令限期改正，并对个人处20元以上200元以下罚款；对单位处500元以上3000元以下罚款；其中对单位随意倾倒或者堆放生活垃圾的，处5000元以上5万元以下罚款。</w:t>
            </w: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20(个人)</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1．垃圾占地面积在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w:t>
            </w:r>
            <w:r>
              <w:rPr>
                <w:rFonts w:hint="eastAsia" w:ascii="仿宋_GB2312" w:hAnsi="宋体" w:eastAsia="仿宋_GB2312" w:cs="宋体"/>
                <w:kern w:val="0"/>
                <w:szCs w:val="21"/>
              </w:rPr>
              <w:t>的，系数0；6－10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罚款数额＝20×（1＋区域系数＋情节系数＋变量系数）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03"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260" w:lineRule="exact"/>
              <w:rPr>
                <w:rFonts w:ascii="仿宋_GB2312" w:hAnsi="宋体" w:eastAsia="仿宋_GB2312" w:cs="宋体"/>
                <w:kern w:val="0"/>
                <w:szCs w:val="21"/>
              </w:rPr>
            </w:pP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60" w:lineRule="exact"/>
              <w:rPr>
                <w:rFonts w:ascii="仿宋_GB2312" w:hAnsi="宋体" w:eastAsia="仿宋_GB2312" w:cs="宋体"/>
                <w:kern w:val="0"/>
                <w:szCs w:val="21"/>
              </w:rPr>
            </w:pP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03"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3</w:t>
            </w:r>
          </w:p>
        </w:tc>
        <w:tc>
          <w:tcPr>
            <w:tcW w:w="1201"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未按规定清运生活垃圾</w:t>
            </w:r>
          </w:p>
        </w:tc>
        <w:tc>
          <w:tcPr>
            <w:tcW w:w="4318" w:type="dxa"/>
            <w:gridSpan w:val="8"/>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违反条款：第五十八条第三款；</w:t>
            </w:r>
          </w:p>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处罚条款：第五十八条第五款 责令限期改正，并对个人处20元以上200元以下罚款；对单位处500元以上3000元以下罚款；其中对单位随意倾倒或者堆放生活垃圾的，处5000元以上5万元以下罚款。</w:t>
            </w: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20（个人）</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1.未清运垃圾面积在5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2；以此类推。2.生活垃圾未做到日产日清的，每逾期2天，系数为１，以此累加。</w:t>
            </w: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罚款数额＝20×（1＋区域系数＋情节系数＋变量系数）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03"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260" w:lineRule="exact"/>
              <w:rPr>
                <w:rFonts w:ascii="仿宋_GB2312" w:hAnsi="宋体" w:eastAsia="仿宋_GB2312" w:cs="宋体"/>
                <w:kern w:val="0"/>
                <w:szCs w:val="21"/>
              </w:rPr>
            </w:pP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500（单位）</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60" w:lineRule="exact"/>
              <w:rPr>
                <w:rFonts w:ascii="仿宋_GB2312" w:hAnsi="宋体" w:eastAsia="仿宋_GB2312" w:cs="宋体"/>
                <w:kern w:val="0"/>
                <w:szCs w:val="21"/>
              </w:rPr>
            </w:pP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03"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260" w:lineRule="exact"/>
              <w:rPr>
                <w:rFonts w:ascii="仿宋_GB2312" w:hAnsi="宋体" w:eastAsia="仿宋_GB2312" w:cs="宋体"/>
                <w:kern w:val="0"/>
                <w:szCs w:val="21"/>
              </w:rPr>
            </w:pP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60" w:lineRule="exact"/>
              <w:rPr>
                <w:rFonts w:ascii="仿宋_GB2312" w:hAnsi="宋体" w:eastAsia="仿宋_GB2312" w:cs="宋体"/>
                <w:kern w:val="0"/>
                <w:szCs w:val="21"/>
              </w:rPr>
            </w:pP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单位随意倾倒或堆放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3"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1201" w:type="dxa"/>
            <w:gridSpan w:val="2"/>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施工等作业影响垃圾清运未采取解决措施</w:t>
            </w:r>
          </w:p>
        </w:tc>
        <w:tc>
          <w:tcPr>
            <w:tcW w:w="4318" w:type="dxa"/>
            <w:gridSpan w:val="8"/>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违反条款：第五十八条第四款；</w:t>
            </w:r>
          </w:p>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处罚条款：第五十八条第五款：责令限期改正，并对个人处20元以上200元以下罚款；对单位处500元以上3000元以下罚款。</w:t>
            </w: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20（个人）</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罚款数额＝20×（1＋区域系数＋情节系数）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03"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6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260" w:lineRule="exact"/>
              <w:rPr>
                <w:rFonts w:ascii="仿宋_GB2312" w:hAnsi="宋体" w:eastAsia="仿宋_GB2312" w:cs="宋体"/>
                <w:kern w:val="0"/>
                <w:szCs w:val="21"/>
              </w:rPr>
            </w:pPr>
          </w:p>
        </w:tc>
        <w:tc>
          <w:tcPr>
            <w:tcW w:w="961" w:type="dxa"/>
            <w:gridSpan w:val="4"/>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500（单位）</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60" w:lineRule="exact"/>
              <w:rPr>
                <w:rFonts w:ascii="仿宋_GB2312" w:hAnsi="宋体" w:eastAsia="仿宋_GB2312" w:cs="宋体"/>
                <w:kern w:val="0"/>
                <w:szCs w:val="21"/>
              </w:rPr>
            </w:pPr>
          </w:p>
        </w:tc>
        <w:tc>
          <w:tcPr>
            <w:tcW w:w="2522" w:type="dxa"/>
            <w:gridSpan w:val="6"/>
            <w:shd w:val="clear" w:color="auto" w:fill="auto"/>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1633" w:type="dxa"/>
            <w:gridSpan w:val="3"/>
            <w:shd w:val="clear" w:color="auto" w:fill="auto"/>
            <w:noWrap/>
            <w:vAlign w:val="center"/>
          </w:tcPr>
          <w:p>
            <w:pPr>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3"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5</w:t>
            </w:r>
          </w:p>
        </w:tc>
        <w:tc>
          <w:tcPr>
            <w:tcW w:w="1201"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违反规定倾倒建筑废弃物</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违反条款：第五十九条第一款；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处罚条款：第五十九条第四款 责令限期改正，并对个人处50元以上200元以下罚款；对单位处2000元以上2万元以下罚款，其中对单位随意倾倒或者堆放建筑垃圾、渣土的，处5000元以上5万元以下罚款。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50（个人）</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1.倾倒垃圾面积在10</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4；以此类推。2.倾倒在绿地、公厕、城市道路等公共场所，或者燃气、供暖等公用管道和设施保护（管理）范围的，或者农田内的，系数3。</w:t>
            </w: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03" w:type="dxa"/>
            <w:gridSpan w:val="2"/>
            <w:vMerge w:val="continue"/>
            <w:shd w:val="clear" w:color="auto" w:fill="auto"/>
            <w:vAlign w:val="center"/>
          </w:tcPr>
          <w:p>
            <w:pPr>
              <w:widowControl/>
              <w:spacing w:line="0" w:lineRule="atLeast"/>
              <w:jc w:val="center"/>
              <w:rPr>
                <w:rFonts w:ascii="仿宋_GB2312" w:hAnsi="宋体" w:eastAsia="仿宋_GB2312" w:cs="宋体"/>
                <w:kern w:val="0"/>
                <w:sz w:val="24"/>
              </w:rPr>
            </w:pPr>
          </w:p>
        </w:tc>
        <w:tc>
          <w:tcPr>
            <w:tcW w:w="1201" w:type="dxa"/>
            <w:gridSpan w:val="2"/>
            <w:vMerge w:val="continue"/>
            <w:shd w:val="clear" w:color="auto" w:fill="auto"/>
            <w:vAlign w:val="center"/>
          </w:tcPr>
          <w:p>
            <w:pPr>
              <w:widowControl/>
              <w:spacing w:line="0" w:lineRule="atLeast"/>
              <w:rPr>
                <w:rFonts w:ascii="仿宋_GB2312" w:eastAsia="仿宋_GB2312"/>
                <w:sz w:val="24"/>
              </w:rPr>
            </w:pPr>
          </w:p>
        </w:tc>
        <w:tc>
          <w:tcPr>
            <w:tcW w:w="4318" w:type="dxa"/>
            <w:gridSpan w:val="8"/>
            <w:vMerge w:val="continue"/>
            <w:shd w:val="clear" w:color="auto" w:fill="auto"/>
            <w:vAlign w:val="center"/>
          </w:tcPr>
          <w:p>
            <w:pPr>
              <w:widowControl/>
              <w:spacing w:line="0" w:lineRule="atLeast"/>
              <w:rPr>
                <w:rFonts w:ascii="仿宋_GB2312" w:eastAsia="仿宋_GB2312"/>
                <w:bCs/>
                <w:sz w:val="24"/>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2000（单位）</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continue"/>
            <w:shd w:val="clear" w:color="auto" w:fill="auto"/>
            <w:vAlign w:val="center"/>
          </w:tcPr>
          <w:p>
            <w:pPr>
              <w:spacing w:line="0" w:lineRule="atLeast"/>
              <w:rPr>
                <w:rFonts w:ascii="仿宋_GB2312" w:hAnsi="宋体" w:eastAsia="仿宋_GB2312" w:cs="宋体"/>
                <w:kern w:val="0"/>
                <w:szCs w:val="21"/>
              </w:rPr>
            </w:pP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3"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continue"/>
            <w:shd w:val="clear" w:color="auto" w:fill="auto"/>
            <w:vAlign w:val="center"/>
          </w:tcPr>
          <w:p>
            <w:pPr>
              <w:spacing w:line="0" w:lineRule="atLeast"/>
              <w:rPr>
                <w:rFonts w:ascii="仿宋_GB2312" w:hAnsi="宋体" w:eastAsia="仿宋_GB2312" w:cs="宋体"/>
                <w:kern w:val="0"/>
                <w:szCs w:val="21"/>
              </w:rPr>
            </w:pP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主要适用于建筑垃圾、渣土收集过程中，产生单位随意倾倒或者堆放的行为。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6</w:t>
            </w:r>
          </w:p>
        </w:tc>
        <w:tc>
          <w:tcPr>
            <w:tcW w:w="1201"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未办理渣土消纳许可证</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违反条款：第五十九条第二款；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 xml:space="preserve">处罚条款：第五十九条第四款 责令限期改正，并对个人处50元以上200元以下罚款；对单位处2000元以上2万元以下罚款。 </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50（个人）</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03"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2000（单位）</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continue"/>
            <w:shd w:val="clear" w:color="auto" w:fill="auto"/>
            <w:vAlign w:val="center"/>
          </w:tcPr>
          <w:p>
            <w:pPr>
              <w:spacing w:line="0" w:lineRule="atLeast"/>
              <w:rPr>
                <w:rFonts w:ascii="仿宋_GB2312" w:hAnsi="宋体" w:eastAsia="仿宋_GB2312" w:cs="宋体"/>
                <w:kern w:val="0"/>
                <w:szCs w:val="21"/>
              </w:rPr>
            </w:pP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罚款数额＝2000×（1＋情节系数）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03"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7</w:t>
            </w:r>
          </w:p>
        </w:tc>
        <w:tc>
          <w:tcPr>
            <w:tcW w:w="1201" w:type="dxa"/>
            <w:gridSpan w:val="2"/>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未按规定清运建筑垃圾渣土</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违反条款：第五十九条第三款；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处罚条款：第五十九条第四款 责令限期改正，并对个人处50元以上200元以下罚款；对单位处2000元以上2万元以下罚款。其中对单位随意倾倒或者堆放建筑垃圾、渣土的，处5000元以上5万元以下罚款。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50（个人）</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未清运垃圾面积在10</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w:t>
            </w: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03"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2000（单位）</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880" w:type="dxa"/>
            <w:gridSpan w:val="4"/>
            <w:vMerge w:val="continue"/>
            <w:shd w:val="clear" w:color="auto" w:fill="auto"/>
            <w:vAlign w:val="center"/>
          </w:tcPr>
          <w:p>
            <w:pPr>
              <w:spacing w:line="0" w:lineRule="atLeast"/>
              <w:rPr>
                <w:rFonts w:ascii="仿宋_GB2312" w:hAnsi="宋体" w:eastAsia="仿宋_GB2312" w:cs="宋体"/>
                <w:kern w:val="0"/>
                <w:szCs w:val="21"/>
              </w:rPr>
            </w:pPr>
          </w:p>
        </w:tc>
        <w:tc>
          <w:tcPr>
            <w:tcW w:w="2460"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03" w:type="dxa"/>
            <w:gridSpan w:val="2"/>
            <w:vMerge w:val="continue"/>
            <w:shd w:val="clear" w:color="auto" w:fill="auto"/>
            <w:noWrap/>
            <w:vAlign w:val="center"/>
          </w:tcPr>
          <w:p>
            <w:pPr>
              <w:spacing w:line="0" w:lineRule="atLeast"/>
              <w:rPr>
                <w:rFonts w:ascii="仿宋_GB2312" w:hAnsi="宋体" w:eastAsia="仿宋_GB2312" w:cs="宋体"/>
                <w:kern w:val="0"/>
                <w:szCs w:val="21"/>
              </w:rPr>
            </w:pPr>
          </w:p>
        </w:tc>
        <w:tc>
          <w:tcPr>
            <w:tcW w:w="1201" w:type="dxa"/>
            <w:gridSpan w:val="2"/>
            <w:vMerge w:val="continue"/>
            <w:tcBorders>
              <w:bottom w:val="single" w:color="auto" w:sz="4" w:space="0"/>
            </w:tcBorders>
            <w:shd w:val="clear" w:color="auto" w:fill="auto"/>
            <w:vAlign w:val="center"/>
          </w:tcPr>
          <w:p>
            <w:pPr>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1.倾倒垃圾面积在10</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4；以此类推。2.倾倒在绿地、公厕、城市道路等公共场所，或者燃气、供暖等公用管道和设施保护（管理）范围的，或者农田内的，系数3。</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适用于清运建筑垃圾、渣土过程中，相关单位随意倾倒或者堆放的行为。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03" w:type="dxa"/>
            <w:gridSpan w:val="2"/>
            <w:shd w:val="clear" w:color="auto" w:fill="auto"/>
            <w:noWrap/>
            <w:vAlign w:val="center"/>
          </w:tcPr>
          <w:p>
            <w:pPr>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8</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无准运证件运输</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违反条款：第六十条第一款；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处罚条款：第六十条第三款 责令改正，并处500元以上3000元以下罚款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eastAsia="仿宋_GB2312"/>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同时存在未</w:t>
            </w:r>
            <w:r>
              <w:rPr>
                <w:rFonts w:ascii="仿宋_GB2312" w:eastAsia="仿宋_GB2312"/>
              </w:rPr>
              <w:t>密闭</w:t>
            </w:r>
            <w:r>
              <w:rPr>
                <w:rFonts w:hint="eastAsia" w:ascii="仿宋_GB2312" w:eastAsia="仿宋_GB2312"/>
              </w:rPr>
              <w:t>、密闭装置不符合规定等</w:t>
            </w:r>
            <w:r>
              <w:rPr>
                <w:rFonts w:ascii="仿宋_GB2312" w:eastAsia="仿宋_GB2312"/>
              </w:rPr>
              <w:t>情形的</w:t>
            </w:r>
            <w:r>
              <w:rPr>
                <w:rFonts w:hint="eastAsia" w:ascii="仿宋_GB2312" w:eastAsia="仿宋_GB2312"/>
              </w:rPr>
              <w:t>，适用《大气污染防治法》《北京市大气污染防治条例》相关案由和裁量。</w:t>
            </w:r>
          </w:p>
          <w:p>
            <w:pPr>
              <w:spacing w:line="0" w:lineRule="atLeast"/>
              <w:rPr>
                <w:rFonts w:ascii="仿宋_GB2312" w:hAnsi="宋体" w:eastAsia="仿宋_GB2312" w:cs="宋体"/>
                <w:szCs w:val="21"/>
              </w:rPr>
            </w:pPr>
            <w:r>
              <w:rPr>
                <w:rFonts w:hint="eastAsia" w:ascii="仿宋_GB2312" w:hAnsi="宋体" w:eastAsia="仿宋_GB2312" w:cs="宋体"/>
                <w:szCs w:val="21"/>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03" w:type="dxa"/>
            <w:gridSpan w:val="2"/>
            <w:shd w:val="clear" w:color="auto" w:fill="auto"/>
            <w:vAlign w:val="center"/>
          </w:tcPr>
          <w:p>
            <w:pPr>
              <w:spacing w:line="0" w:lineRule="atLeast"/>
              <w:jc w:val="center"/>
              <w:rPr>
                <w:rFonts w:ascii="仿宋_GB2312" w:hAnsi="宋体" w:eastAsia="仿宋_GB2312" w:cs="宋体"/>
                <w:kern w:val="0"/>
                <w:szCs w:val="21"/>
              </w:rPr>
            </w:pPr>
            <w:r>
              <w:rPr>
                <w:rFonts w:ascii="仿宋_GB2312" w:hAnsi="宋体" w:eastAsia="仿宋_GB2312" w:cs="宋体"/>
                <w:kern w:val="0"/>
                <w:szCs w:val="21"/>
              </w:rPr>
              <w:t>59</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运输车辆不符合要求</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违反条款：第六十条第二款；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处罚条款：第六十条第三款 责令改正，并处500元以上3000元以下罚款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车辆同时存在不符合条件、未安装卫星定位系统、未密闭等2种以上（含2种）行为的，系数4；，同时还存在无准运证运输等行为的，系数5。</w:t>
            </w: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优先适用《大气污染防治法》《北京市大气污染防治条例》相关案由和裁量，以此案由为补充。</w:t>
            </w:r>
          </w:p>
          <w:p>
            <w:pPr>
              <w:spacing w:line="0" w:lineRule="atLeast"/>
              <w:rPr>
                <w:rFonts w:ascii="仿宋_GB2312" w:hAnsi="宋体" w:eastAsia="仿宋_GB2312" w:cs="宋体"/>
                <w:kern w:val="0"/>
                <w:szCs w:val="21"/>
              </w:rPr>
            </w:pPr>
            <w:r>
              <w:rPr>
                <w:rFonts w:hint="eastAsia" w:ascii="仿宋_GB2312" w:eastAsia="仿宋_GB2312"/>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03" w:type="dxa"/>
            <w:gridSpan w:val="2"/>
            <w:shd w:val="clear" w:color="auto" w:fill="auto"/>
            <w:vAlign w:val="center"/>
          </w:tcPr>
          <w:p>
            <w:pPr>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0</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运输车辆泄漏遗撒</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违反条款：第六十条第二款；</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处罚条款：第六十条第三款 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运输车辆车轮带泥行驶</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处罚条款：第六十条第三款 责令改正，并处500元以上3000元以下罚款。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擅自从事生活垃圾经营性服务</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违反、处罚条款：第六十一条 责令改正，并处5000元以上1万元以下罚款。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未按规定排入粪便</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违反条款：第六十三条第一款；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处罚条款：第六十三条第三款 责令改正，并处1000元以上2000元以下罚款。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未按规定清掏（运输）粪便</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违反条款：第六十三条第二款；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处罚条款：第六十三条第三款 责令改正，并处1000元以上2000元以下罚款。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随意倾倒粪便</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违反条款：第六十三条第二款；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处罚条款：第六十三条第三款 随意倾倒粪便的，处5000元以上5万元以下罚款。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1．垃圾占地面积在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1；6－10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2；以此类推；2.倾倒在绿地、公厕、城市道路等公共场所，或者燃气、供暖等公用管道和设施保护（管理）范围的，或者农田内的，系数3。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03" w:type="dxa"/>
            <w:gridSpan w:val="2"/>
            <w:vMerge w:val="restart"/>
            <w:shd w:val="clear" w:color="auto" w:fill="auto"/>
            <w:noWrap/>
            <w:vAlign w:val="center"/>
          </w:tcPr>
          <w:p>
            <w:pPr>
              <w:widowControl/>
              <w:spacing w:line="0" w:lineRule="atLeas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6</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违反规定倾倒餐厨垃圾</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p>
          <w:p>
            <w:pPr>
              <w:widowControl/>
              <w:spacing w:line="0" w:lineRule="atLeast"/>
              <w:rPr>
                <w:rFonts w:ascii="仿宋_GB2312" w:hAnsi="宋体" w:eastAsia="仿宋_GB2312" w:cs="宋体"/>
                <w:kern w:val="0"/>
                <w:szCs w:val="21"/>
              </w:rPr>
            </w:pP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违反条款：第六十四条第一款；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四条第四款：责令改正，并处500元以上3000元以下罚款；情节严重的，处3000元以上3万元以下罚款，其中对单位随意倾倒或者运输车辆泄漏、遗撒餐厨垃圾的，责令清除，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垃圾占地面积在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hAnsi="宋体"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污染面积在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违法行为发生在一类地区的，或者构成《基准》情节系数情形之一的，视为情节严重。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hAnsi="宋体"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污染面积在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适用于产生单位随意倾倒的行为。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7</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未按要求设置餐厨垃圾收集、贮存设施</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违反条款：第六十四条第二款；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处罚条款：第六十四条第四款 责令改正，并处500元以上3000元以下罚款；情节严重的，处3000元以上3万元以下罚款。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确需给予500元以上1000元以下罚款，报案审会审议。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罚款数额＝6000×（1＋区域系数＋情节系数）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违法行为发生在一类地区的，或者构成《基准》情节系数情形之一的，视为情节严重。</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确需给予3000元以上6000元以下罚款，报案审会审议。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8</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未按规定清运、处理餐厨垃圾</w:t>
            </w:r>
          </w:p>
          <w:p>
            <w:pPr>
              <w:widowControl/>
              <w:spacing w:line="0" w:lineRule="atLeast"/>
              <w:rPr>
                <w:rFonts w:ascii="仿宋_GB2312" w:hAnsi="宋体" w:eastAsia="仿宋_GB2312" w:cs="宋体"/>
                <w:kern w:val="0"/>
                <w:szCs w:val="21"/>
              </w:rPr>
            </w:pP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违反条款：第六十四条第三款；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处罚条款：第六十四条第四款 责令改正，并处500元以上3000元以下罚款；情节严重的，处3000元以上3万元以下罚款，其中对单位随意倾倒或者运输车辆泄漏、遗撒餐厨垃圾的，责令清除，处5000元以上5万元以下罚款。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违法行为发生在一类地区的，或者构成《基准》情节系数情形之一的，视为情节严重。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污染面积在</w:t>
            </w:r>
            <w:r>
              <w:rPr>
                <w:rFonts w:hint="eastAsia" w:ascii="仿宋_GB2312" w:hAnsi="宋体" w:eastAsia="仿宋_GB2312" w:cs="宋体"/>
                <w:b/>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对清运单位清运过程中的随意倾倒适用此案由。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69</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运输餐厨垃圾泄漏、遗撒</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违反条款：第六十四条第四款；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处罚条款：第六十四条第四款 运输车辆泄漏、遗撒餐厨垃圾的，责令清除，处5000元以上5万元以下罚款。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0</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擅自设置建筑垃圾、渣土消纳场所</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违反、处罚条款：第六十六条 责令改正，并处5000元以上1万元以下罚款。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未按规定管护公共厕所</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违反、处罚条款：第六十八条第二款 责令限期改正，并可处500元以上3000元以下罚款。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致使车站、机场、居民小区、医院、学校、体育场馆、影剧院、繁华商业街区、旅游景区等人口集中地区周边公共厕所不能正常使用的，系数为1。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环卫设施未经验收（验收不合格）投入使用</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违反条款：第七十条第二款；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处罚条款：第七十条第三款 责令限期改正，并处5000元以上3万元以下罚款。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车站、机场、居民小区、医院、学校、体育场馆、影剧院、繁华商业街区、旅游景区等人口集中地区环卫设施未经验收或者验收不合格投入使用的，系数为1。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擅自占用、损毁环卫设施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违反条款：第七十一条第一款；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处罚条款：第七十一条第三款 责令恢复原状或者赔偿损失，并处500元以上3000元以下罚款。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占用、损毁车站、机场、居民小区、医院、学校、体育场馆、影剧院、繁华商业街区、旅游景区等人口集中地区环卫设施的，系数为1。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擅自拆除、迁移、改建、停用环卫设施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违反条款：第七十一条第二款；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处罚条款：第七十一条第三款 责令改正，并可处5000元以上5万元以下罚款。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拆除、迁移、改建、停用车站、机场、居民小区、医院、学校、体育场馆、影剧院、繁华商业街区、旅游景区等人口集中地区环卫设施的，系数为1。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r>
              <w:rPr>
                <w:rFonts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擅自改变环卫设施用途</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违反条款：第七十一条第二款；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处罚条款：第七十一条第三款 责令改正，并可处5000元以上5万元以下罚款。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擅自改变车站、机场、居民小区、医院、学校、体育场馆、影剧院、繁华商业街区、旅游景区等人口集中地区环卫设施的，系数为1。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58" w:type="dxa"/>
            <w:gridSpan w:val="34"/>
            <w:shd w:val="clear" w:color="auto" w:fill="auto"/>
            <w:noWrap/>
            <w:vAlign w:val="center"/>
          </w:tcPr>
          <w:p>
            <w:pPr>
              <w:pStyle w:val="3"/>
              <w:rPr>
                <w:rFonts w:ascii="仿宋_GB2312" w:eastAsia="仿宋_GB2312"/>
                <w:szCs w:val="30"/>
              </w:rPr>
            </w:pPr>
            <w:bookmarkStart w:id="3" w:name="_Toc39911666"/>
            <w:r>
              <w:rPr>
                <w:rFonts w:hint="eastAsia"/>
                <w:szCs w:val="30"/>
              </w:rPr>
              <w:t>《北京市生活垃圾管理条例》案由</w:t>
            </w:r>
            <w:r>
              <w:rPr>
                <w:szCs w:val="30"/>
              </w:rPr>
              <w:t>35</w:t>
            </w:r>
            <w:r>
              <w:rPr>
                <w:rFonts w:hint="eastAsia"/>
                <w:szCs w:val="30"/>
              </w:rPr>
              <w:t>项</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738" w:hRule="atLeast"/>
          <w:tblHeader/>
          <w:jc w:val="center"/>
        </w:trPr>
        <w:tc>
          <w:tcPr>
            <w:tcW w:w="568"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序号</w:t>
            </w:r>
          </w:p>
        </w:tc>
        <w:tc>
          <w:tcPr>
            <w:tcW w:w="1134"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案由</w:t>
            </w:r>
          </w:p>
        </w:tc>
        <w:tc>
          <w:tcPr>
            <w:tcW w:w="4252" w:type="dxa"/>
            <w:gridSpan w:val="8"/>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处罚依据</w:t>
            </w:r>
          </w:p>
        </w:tc>
        <w:tc>
          <w:tcPr>
            <w:tcW w:w="992" w:type="dxa"/>
            <w:gridSpan w:val="4"/>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罚款</w:t>
            </w:r>
          </w:p>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 xml:space="preserve">基数 </w:t>
            </w:r>
          </w:p>
        </w:tc>
        <w:tc>
          <w:tcPr>
            <w:tcW w:w="709" w:type="dxa"/>
            <w:gridSpan w:val="2"/>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基准</w:t>
            </w:r>
          </w:p>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系数</w:t>
            </w:r>
          </w:p>
        </w:tc>
        <w:tc>
          <w:tcPr>
            <w:tcW w:w="3544" w:type="dxa"/>
            <w:gridSpan w:val="5"/>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变量系数</w:t>
            </w:r>
          </w:p>
        </w:tc>
        <w:tc>
          <w:tcPr>
            <w:tcW w:w="1843" w:type="dxa"/>
            <w:gridSpan w:val="5"/>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计算公式</w:t>
            </w:r>
          </w:p>
        </w:tc>
        <w:tc>
          <w:tcPr>
            <w:tcW w:w="2268" w:type="dxa"/>
            <w:gridSpan w:val="3"/>
            <w:shd w:val="clear" w:color="auto" w:fill="auto"/>
            <w:vAlign w:val="center"/>
          </w:tcPr>
          <w:p>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restart"/>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gridSpan w:val="2"/>
            <w:vMerge w:val="restart"/>
            <w:shd w:val="clear" w:color="auto" w:fill="auto"/>
            <w:vAlign w:val="center"/>
          </w:tcPr>
          <w:p>
            <w:pPr>
              <w:widowControl/>
              <w:jc w:val="left"/>
              <w:rPr>
                <w:rFonts w:ascii="仿宋_GB2312" w:eastAsia="仿宋_GB2312"/>
                <w:color w:val="000000"/>
                <w:szCs w:val="21"/>
              </w:rPr>
            </w:pPr>
            <w:r>
              <w:rPr>
                <w:rFonts w:hint="eastAsia" w:ascii="仿宋_GB2312" w:eastAsia="仿宋_GB2312"/>
                <w:color w:val="000000"/>
                <w:szCs w:val="21"/>
              </w:rPr>
              <w:t>主动向消费者提供一次性用品的</w:t>
            </w:r>
          </w:p>
        </w:tc>
        <w:tc>
          <w:tcPr>
            <w:tcW w:w="4252" w:type="dxa"/>
            <w:gridSpan w:val="8"/>
            <w:vMerge w:val="restart"/>
            <w:shd w:val="clear" w:color="auto" w:fill="auto"/>
            <w:vAlign w:val="center"/>
          </w:tcPr>
          <w:p>
            <w:pPr>
              <w:rPr>
                <w:rFonts w:ascii="仿宋_GB2312" w:eastAsia="仿宋_GB2312"/>
                <w:color w:val="000000"/>
                <w:szCs w:val="21"/>
              </w:rPr>
            </w:pPr>
            <w:r>
              <w:rPr>
                <w:rFonts w:hint="eastAsia" w:ascii="仿宋_GB2312" w:eastAsia="仿宋_GB2312"/>
                <w:color w:val="000000"/>
                <w:szCs w:val="21"/>
              </w:rPr>
              <w:t>违反条款：第二十六条第二款；处罚条款：第六十五条第二款 责令立即改正，处5000元以上1万元以下罚款；再次违反规定的，处1万元以上5万元以下罚款。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5000（初次违反）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初次违反适用此情形。</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一年度内有2次同类性质违法行为，并受到本市城管执法机关书面告诫的，情节系数1；受到行政处罚的，适用“再次违反”的情形。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shd w:val="clear" w:color="auto" w:fill="auto"/>
            <w:vAlign w:val="center"/>
          </w:tcPr>
          <w:p>
            <w:pPr>
              <w:rPr>
                <w:rFonts w:ascii="仿宋_GB2312" w:eastAsia="仿宋_GB2312"/>
                <w:szCs w:val="21"/>
              </w:rPr>
            </w:pPr>
          </w:p>
        </w:tc>
        <w:tc>
          <w:tcPr>
            <w:tcW w:w="4252" w:type="dxa"/>
            <w:gridSpan w:val="8"/>
            <w:vMerge w:val="continue"/>
            <w:shd w:val="clear" w:color="auto" w:fill="auto"/>
            <w:vAlign w:val="center"/>
          </w:tcPr>
          <w:p>
            <w:pPr>
              <w:rPr>
                <w:rFonts w:ascii="仿宋_GB2312" w:eastAsia="仿宋_GB2312"/>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10000（再次违反）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r>
              <w:rPr>
                <w:rFonts w:hint="eastAsia" w:ascii="仿宋_GB2312" w:eastAsia="仿宋_GB2312"/>
                <w:szCs w:val="21"/>
              </w:rPr>
              <w:t>1、特大</w:t>
            </w:r>
            <w:r>
              <w:rPr>
                <w:rFonts w:ascii="仿宋_GB2312" w:eastAsia="仿宋_GB2312"/>
                <w:szCs w:val="21"/>
              </w:rPr>
              <w:t>型、</w:t>
            </w:r>
            <w:r>
              <w:rPr>
                <w:rFonts w:hint="eastAsia" w:ascii="仿宋_GB2312" w:eastAsia="仿宋_GB2312"/>
                <w:szCs w:val="21"/>
              </w:rPr>
              <w:t>大型餐饮经营者，</w:t>
            </w:r>
            <w:r>
              <w:rPr>
                <w:rFonts w:ascii="仿宋_GB2312" w:eastAsia="仿宋_GB2312"/>
                <w:szCs w:val="21"/>
              </w:rPr>
              <w:t>变量系数为</w:t>
            </w:r>
            <w:r>
              <w:rPr>
                <w:rFonts w:hint="eastAsia" w:ascii="仿宋_GB2312" w:eastAsia="仿宋_GB2312"/>
                <w:szCs w:val="21"/>
              </w:rPr>
              <w:t>1；（以餐饮服务</w:t>
            </w:r>
            <w:r>
              <w:rPr>
                <w:rFonts w:ascii="仿宋_GB2312" w:eastAsia="仿宋_GB2312"/>
                <w:szCs w:val="21"/>
              </w:rPr>
              <w:t>许可标注的类</w:t>
            </w:r>
            <w:r>
              <w:rPr>
                <w:rFonts w:hint="eastAsia" w:ascii="仿宋_GB2312" w:eastAsia="仿宋_GB2312"/>
                <w:szCs w:val="21"/>
              </w:rPr>
              <w:t>别</w:t>
            </w:r>
            <w:r>
              <w:rPr>
                <w:rFonts w:ascii="仿宋_GB2312" w:eastAsia="仿宋_GB2312"/>
                <w:szCs w:val="21"/>
              </w:rPr>
              <w:t>为准。</w:t>
            </w:r>
            <w:r>
              <w:rPr>
                <w:rFonts w:hint="eastAsia" w:ascii="仿宋_GB2312" w:eastAsia="仿宋_GB2312"/>
                <w:szCs w:val="21"/>
              </w:rPr>
              <w:t>）</w:t>
            </w:r>
          </w:p>
          <w:p>
            <w:pPr>
              <w:widowControl/>
              <w:spacing w:line="0" w:lineRule="atLeast"/>
              <w:rPr>
                <w:rFonts w:ascii="仿宋_GB2312" w:eastAsia="仿宋_GB2312"/>
                <w:szCs w:val="21"/>
              </w:rPr>
            </w:pPr>
            <w:r>
              <w:rPr>
                <w:rFonts w:hint="eastAsia" w:ascii="仿宋_GB2312" w:eastAsia="仿宋_GB2312"/>
                <w:szCs w:val="21"/>
              </w:rPr>
              <w:t>2.旅馆经营单位，符合《星级饭店评定标准》四星及以上的或</w:t>
            </w:r>
            <w:r>
              <w:rPr>
                <w:rFonts w:ascii="仿宋_GB2312" w:eastAsia="仿宋_GB2312"/>
                <w:szCs w:val="21"/>
              </w:rPr>
              <w:t>至少</w:t>
            </w:r>
            <w:r>
              <w:rPr>
                <w:rFonts w:hint="eastAsia" w:ascii="仿宋_GB2312" w:eastAsia="仿宋_GB2312"/>
                <w:szCs w:val="21"/>
              </w:rPr>
              <w:t>有40间</w:t>
            </w:r>
            <w:r>
              <w:rPr>
                <w:rFonts w:ascii="仿宋_GB2312" w:eastAsia="仿宋_GB2312"/>
                <w:szCs w:val="21"/>
              </w:rPr>
              <w:t>（</w:t>
            </w:r>
            <w:r>
              <w:rPr>
                <w:rFonts w:hint="eastAsia" w:ascii="仿宋_GB2312" w:eastAsia="仿宋_GB2312"/>
                <w:szCs w:val="21"/>
              </w:rPr>
              <w:t>套</w:t>
            </w:r>
            <w:r>
              <w:rPr>
                <w:rFonts w:ascii="仿宋_GB2312" w:eastAsia="仿宋_GB2312"/>
                <w:szCs w:val="21"/>
              </w:rPr>
              <w:t>）</w:t>
            </w:r>
            <w:r>
              <w:rPr>
                <w:rFonts w:hint="eastAsia" w:ascii="仿宋_GB2312" w:eastAsia="仿宋_GB2312"/>
                <w:szCs w:val="21"/>
              </w:rPr>
              <w:t>可供</w:t>
            </w:r>
            <w:r>
              <w:rPr>
                <w:rFonts w:ascii="仿宋_GB2312" w:eastAsia="仿宋_GB2312"/>
                <w:szCs w:val="21"/>
              </w:rPr>
              <w:t>出租的客房的</w:t>
            </w:r>
            <w:r>
              <w:rPr>
                <w:rFonts w:hint="eastAsia" w:ascii="仿宋_GB2312" w:eastAsia="仿宋_GB2312"/>
                <w:szCs w:val="21"/>
              </w:rPr>
              <w:t>，变量系数为1。</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restart"/>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134" w:type="dxa"/>
            <w:gridSpan w:val="2"/>
            <w:vMerge w:val="restart"/>
            <w:shd w:val="clear" w:color="auto" w:fill="auto"/>
            <w:vAlign w:val="center"/>
          </w:tcPr>
          <w:p>
            <w:pPr>
              <w:widowControl/>
              <w:jc w:val="left"/>
              <w:rPr>
                <w:rFonts w:ascii="仿宋_GB2312" w:eastAsia="仿宋_GB2312"/>
                <w:color w:val="000000"/>
                <w:szCs w:val="21"/>
              </w:rPr>
            </w:pPr>
            <w:r>
              <w:rPr>
                <w:rFonts w:hint="eastAsia" w:ascii="仿宋_GB2312" w:eastAsia="仿宋_GB2312"/>
                <w:color w:val="000000"/>
                <w:szCs w:val="21"/>
              </w:rPr>
              <w:t>未将生活垃圾分别投入相应标识的收集容器</w:t>
            </w:r>
          </w:p>
        </w:tc>
        <w:tc>
          <w:tcPr>
            <w:tcW w:w="4252" w:type="dxa"/>
            <w:gridSpan w:val="8"/>
            <w:vMerge w:val="restart"/>
            <w:shd w:val="clear" w:color="auto" w:fill="auto"/>
            <w:vAlign w:val="center"/>
          </w:tcPr>
          <w:p>
            <w:pPr>
              <w:rPr>
                <w:rFonts w:ascii="仿宋_GB2312" w:eastAsia="仿宋_GB2312"/>
                <w:color w:val="000000"/>
                <w:szCs w:val="21"/>
              </w:rPr>
            </w:pPr>
            <w:r>
              <w:rPr>
                <w:rFonts w:hint="eastAsia" w:ascii="仿宋_GB2312" w:eastAsia="仿宋_GB2312"/>
                <w:color w:val="000000"/>
                <w:szCs w:val="21"/>
              </w:rPr>
              <w:t>违反条款：第三十三条第（一）项；处罚条款：第六十七条第一款 责令立即改正，处1000元罚款；再次违反规定的，处1万元以上5万元以下罚款。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1000（单位初次违反）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shd w:val="clear" w:color="auto" w:fill="auto"/>
            <w:vAlign w:val="center"/>
          </w:tcPr>
          <w:p>
            <w:pPr>
              <w:rPr>
                <w:rFonts w:ascii="仿宋_GB2312" w:eastAsia="仿宋_GB2312"/>
                <w:szCs w:val="21"/>
              </w:rPr>
            </w:pPr>
          </w:p>
        </w:tc>
        <w:tc>
          <w:tcPr>
            <w:tcW w:w="4252" w:type="dxa"/>
            <w:gridSpan w:val="8"/>
            <w:vMerge w:val="continue"/>
            <w:shd w:val="clear" w:color="auto" w:fill="auto"/>
            <w:vAlign w:val="center"/>
          </w:tcPr>
          <w:p>
            <w:pPr>
              <w:rPr>
                <w:rFonts w:ascii="仿宋_GB2312" w:eastAsia="仿宋_GB2312"/>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10000（单位再次违反）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shd w:val="clear" w:color="auto" w:fill="auto"/>
            <w:vAlign w:val="center"/>
          </w:tcPr>
          <w:p>
            <w:pPr>
              <w:rPr>
                <w:rFonts w:ascii="仿宋_GB2312" w:eastAsia="仿宋_GB2312"/>
                <w:szCs w:val="21"/>
              </w:rPr>
            </w:pPr>
          </w:p>
        </w:tc>
        <w:tc>
          <w:tcPr>
            <w:tcW w:w="4252" w:type="dxa"/>
            <w:gridSpan w:val="8"/>
            <w:vMerge w:val="restart"/>
            <w:shd w:val="clear" w:color="auto" w:fill="auto"/>
            <w:vAlign w:val="center"/>
          </w:tcPr>
          <w:p>
            <w:pPr>
              <w:rPr>
                <w:rFonts w:ascii="仿宋_GB2312" w:eastAsia="仿宋_GB2312"/>
                <w:szCs w:val="21"/>
              </w:rPr>
            </w:pPr>
            <w:r>
              <w:rPr>
                <w:rFonts w:hint="eastAsia" w:ascii="仿宋_GB2312" w:eastAsia="仿宋_GB2312"/>
                <w:szCs w:val="21"/>
              </w:rPr>
              <w:t>违反条款：第三十三条第（一）项；处罚条款：第六十七条第二款 对拒不听从生活垃圾分类管理责任人劝阻的，给予书面警告；再次违反规定的，处50元以上200元以下罚款。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警告（初次违反）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个人拒不听从生活垃圾分类管理责任人劝阻，且</w:t>
            </w:r>
            <w:r>
              <w:rPr>
                <w:rFonts w:ascii="仿宋_GB2312" w:hAnsi="宋体" w:eastAsia="仿宋_GB2312" w:cs="宋体"/>
                <w:kern w:val="0"/>
                <w:szCs w:val="21"/>
              </w:rPr>
              <w:t>拒不改正的，适用此情形。</w:t>
            </w:r>
            <w:r>
              <w:rPr>
                <w:rFonts w:hint="eastAsia" w:ascii="仿宋_GB2312" w:hAnsi="宋体" w:eastAsia="仿宋_GB2312" w:cs="宋体"/>
                <w:kern w:val="0"/>
                <w:szCs w:val="21"/>
              </w:rPr>
              <w:t>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shd w:val="clear" w:color="auto" w:fill="auto"/>
            <w:vAlign w:val="center"/>
          </w:tcPr>
          <w:p>
            <w:pPr>
              <w:rPr>
                <w:rFonts w:ascii="仿宋_GB2312" w:eastAsia="仿宋_GB2312"/>
                <w:szCs w:val="21"/>
              </w:rPr>
            </w:pPr>
          </w:p>
        </w:tc>
        <w:tc>
          <w:tcPr>
            <w:tcW w:w="4252" w:type="dxa"/>
            <w:gridSpan w:val="8"/>
            <w:vMerge w:val="continue"/>
            <w:shd w:val="clear" w:color="auto" w:fill="auto"/>
            <w:vAlign w:val="center"/>
          </w:tcPr>
          <w:p>
            <w:pPr>
              <w:rPr>
                <w:rFonts w:ascii="仿宋_GB2312" w:eastAsia="仿宋_GB2312"/>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50（个人再次违反）</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个人拒不听从生活垃圾分类管理责任人劝阻，且</w:t>
            </w:r>
            <w:r>
              <w:rPr>
                <w:rFonts w:ascii="仿宋_GB2312" w:hAnsi="宋体" w:eastAsia="仿宋_GB2312" w:cs="宋体"/>
                <w:kern w:val="0"/>
                <w:szCs w:val="21"/>
              </w:rPr>
              <w:t>拒不改正的，适用此情形。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.曾因此违法行为受过到行政处罚，再次违反的适用此情形。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.应当受到处罚的个人，自愿参加生活垃圾分类等社区服务活动的，不予行政处罚。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体积较大的废弃物品未单独堆放</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违反条款：第三十三条第（二）项；处罚条款：第六十七条第一款 责令立即改正，处1000元罚款；再次违反规定的，处1万元以上5万元以下罚款。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1000（单位初次违反）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10000（单位再次违反）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1．占地面积在</w:t>
            </w:r>
            <w:r>
              <w:rPr>
                <w:rFonts w:hint="eastAsia" w:ascii="仿宋_GB2312" w:hAnsi="宋体" w:eastAsia="仿宋_GB2312" w:cs="宋体"/>
                <w:b/>
                <w:kern w:val="0"/>
                <w:szCs w:val="21"/>
              </w:rPr>
              <w:t>5</w:t>
            </w:r>
            <w:r>
              <w:rPr>
                <w:rFonts w:hint="eastAsia" w:ascii="Batang" w:hAnsi="Batang" w:eastAsia="Batang" w:cs="Batang"/>
                <w:kern w:val="0"/>
                <w:szCs w:val="21"/>
              </w:rPr>
              <w:t>㎡</w:t>
            </w:r>
            <w:r>
              <w:rPr>
                <w:rFonts w:hint="eastAsia" w:ascii="仿宋_GB2312" w:hAnsi="仿宋_GB2312" w:eastAsia="仿宋_GB2312" w:cs="仿宋_GB2312"/>
                <w:kern w:val="0"/>
                <w:szCs w:val="21"/>
              </w:rPr>
              <w:t>下</w:t>
            </w:r>
            <w:r>
              <w:rPr>
                <w:rFonts w:hint="eastAsia" w:ascii="仿宋_GB2312" w:hAnsi="宋体" w:eastAsia="仿宋_GB2312" w:cs="宋体"/>
                <w:kern w:val="0"/>
                <w:szCs w:val="21"/>
              </w:rPr>
              <w:t>的，系数0；6－10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1；以此类推。2.堆放在绿地、公厕、城市道路等公共场所，或者燃气、供暖等公用管道和设施保护（管理）范围的，或者农田内的，系数3。</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违反条款：第三十三条第（二）项；处罚条款：第六十七条第二款 对拒不听从生活垃圾分类管理责任人劝阻的，给予书面警告；再次违反规定的，处50元以上200元以下罚款。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警告（初次违反）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个人拒不听从生活垃圾分类管理责任人劝阻，且</w:t>
            </w:r>
            <w:r>
              <w:rPr>
                <w:rFonts w:ascii="仿宋_GB2312" w:hAnsi="宋体" w:eastAsia="仿宋_GB2312" w:cs="宋体"/>
                <w:kern w:val="0"/>
                <w:szCs w:val="21"/>
              </w:rPr>
              <w:t>拒不改正的，适用此情形。</w:t>
            </w:r>
            <w:r>
              <w:rPr>
                <w:rFonts w:hint="eastAsia" w:ascii="仿宋_GB2312" w:hAnsi="宋体" w:eastAsia="仿宋_GB2312" w:cs="宋体"/>
                <w:kern w:val="0"/>
                <w:szCs w:val="21"/>
              </w:rPr>
              <w:t>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50（个人再次违反）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1．占地面积在</w:t>
            </w:r>
            <w:r>
              <w:rPr>
                <w:rFonts w:hint="eastAsia" w:ascii="仿宋_GB2312" w:hAnsi="宋体" w:eastAsia="仿宋_GB2312" w:cs="宋体"/>
                <w:b/>
                <w:kern w:val="0"/>
                <w:szCs w:val="21"/>
              </w:rPr>
              <w:t>5</w:t>
            </w:r>
            <w:r>
              <w:rPr>
                <w:rFonts w:hint="eastAsia" w:ascii="Batang" w:hAnsi="Batang" w:eastAsia="Batang" w:cs="Batang"/>
                <w:kern w:val="0"/>
                <w:szCs w:val="21"/>
              </w:rPr>
              <w:t>㎡</w:t>
            </w:r>
            <w:r>
              <w:rPr>
                <w:rFonts w:hint="eastAsia" w:ascii="仿宋_GB2312" w:hAnsi="仿宋_GB2312" w:eastAsia="仿宋_GB2312" w:cs="仿宋_GB2312"/>
                <w:kern w:val="0"/>
                <w:szCs w:val="21"/>
              </w:rPr>
              <w:t>下</w:t>
            </w:r>
            <w:r>
              <w:rPr>
                <w:rFonts w:hint="eastAsia" w:ascii="仿宋_GB2312" w:hAnsi="宋体" w:eastAsia="仿宋_GB2312" w:cs="宋体"/>
                <w:kern w:val="0"/>
                <w:szCs w:val="21"/>
              </w:rPr>
              <w:t>的，系数0；6－10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1；以此类推。2.堆放在绿地、公厕、城市道路等公共场所，或者燃气、供暖等公用管道和设施保护（管理）范围的，或者农田内的，系数3。</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个人拒不听从生活垃圾分类管理责任人劝阻，且</w:t>
            </w:r>
            <w:r>
              <w:rPr>
                <w:rFonts w:ascii="仿宋_GB2312" w:hAnsi="宋体" w:eastAsia="仿宋_GB2312" w:cs="宋体"/>
                <w:kern w:val="0"/>
                <w:szCs w:val="21"/>
              </w:rPr>
              <w:t>拒不改正的，适用此情形。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.曾因此违法行为受过到行政处罚，再次违反的适用此情形。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.应当受到处罚的个人，自愿参加生活垃圾分类等社区服务活动的，不予行政处罚。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建筑垃圾未按指定的时间、地点和要求单独堆放</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违反条款：第三十三条第（三）项；处罚条款：第六十七条第一款 责令立即改正，处1000元罚款；再次违反规定的，处1万元以上5万元以下罚款。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1000（单位初次违反）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10000（单位再次违反）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1.堆放面积在10</w:t>
            </w:r>
            <w:r>
              <w:rPr>
                <w:rFonts w:hint="eastAsia" w:ascii="Batang" w:hAnsi="Batang" w:eastAsia="Batang" w:cs="Batang"/>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4；以此类推。2.堆放在绿地、公厕、城市道路等公共场所，或者燃气、供暖等公用管道和设施保护（管理）范围的，或者农田内的，系数3。</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违反条款：第三十三条第（三）项；处罚条款：第六十七条第二款 对拒不听从生活垃圾分类管理责任人劝阻的，给予书面警告；再次违反规定的，处50元以上200元以下罚款。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警告（初次违反）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个人拒不听从生活垃圾分类管理责任人劝阻，且</w:t>
            </w:r>
            <w:r>
              <w:rPr>
                <w:rFonts w:ascii="仿宋_GB2312" w:hAnsi="宋体" w:eastAsia="仿宋_GB2312" w:cs="宋体"/>
                <w:kern w:val="0"/>
                <w:szCs w:val="21"/>
              </w:rPr>
              <w:t>拒不改正的，适用此情形。</w:t>
            </w:r>
            <w:r>
              <w:rPr>
                <w:rFonts w:hint="eastAsia" w:ascii="仿宋_GB2312" w:hAnsi="宋体" w:eastAsia="仿宋_GB2312" w:cs="宋体"/>
                <w:kern w:val="0"/>
                <w:szCs w:val="21"/>
              </w:rPr>
              <w:t>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50（个人再次违反）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1.堆放面积在10</w:t>
            </w:r>
            <w:r>
              <w:rPr>
                <w:rFonts w:hint="eastAsia" w:ascii="Batang" w:hAnsi="Batang" w:eastAsia="Batang" w:cs="Batang"/>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4；以此类推。2.堆放在绿地、公厕、城市道路等公共场所，或者燃气、供暖等公用管道和设施保护（管理）范围的，或者农田内的，系数3。</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个人拒不听从生活垃圾分类管理责任人劝阻，且</w:t>
            </w:r>
            <w:r>
              <w:rPr>
                <w:rFonts w:ascii="仿宋_GB2312" w:hAnsi="宋体" w:eastAsia="仿宋_GB2312" w:cs="宋体"/>
                <w:kern w:val="0"/>
                <w:szCs w:val="21"/>
              </w:rPr>
              <w:t>拒不改正的，适用此情形。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.曾因此违法行为受过到行政处罚，再次违反的适用此情形。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.应当受到处罚的个人，自愿参加生活垃圾分类等社区服务活动的，不予行政处罚。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农村村民产生的灰土未按规定投放的</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违反条款：第三十三条第（四）项；处罚条款：第六十七条第二款 对拒不听从生活垃圾分类管理责任人劝阻的，给予书面警告；再次违反规定的，处50元以上200元以下罚款。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警告（初次违反）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个人拒不听从生活垃圾分类管理责任人劝阻，且</w:t>
            </w:r>
            <w:r>
              <w:rPr>
                <w:rFonts w:ascii="仿宋_GB2312" w:hAnsi="宋体" w:eastAsia="仿宋_GB2312" w:cs="宋体"/>
                <w:kern w:val="0"/>
                <w:szCs w:val="21"/>
              </w:rPr>
              <w:t>拒不改正的，适用此情形。</w:t>
            </w:r>
            <w:r>
              <w:rPr>
                <w:rFonts w:hint="eastAsia" w:ascii="仿宋_GB2312" w:hAnsi="宋体" w:eastAsia="仿宋_GB2312" w:cs="宋体"/>
                <w:kern w:val="0"/>
                <w:szCs w:val="21"/>
              </w:rPr>
              <w:t>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50（个人再次违反）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1.堆放面积在10</w:t>
            </w:r>
            <w:r>
              <w:rPr>
                <w:rFonts w:hint="eastAsia" w:ascii="Batang" w:hAnsi="Batang" w:eastAsia="Batang" w:cs="Batang"/>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4；以此类推。2.堆放在绿地、公厕、道路等公共场所，或者燃气、供暖等公用管道和设施保护（管理）范围的，或者农田内的，系数3。</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个人拒不听从生活垃圾分类管理责任人劝阻，且</w:t>
            </w:r>
            <w:r>
              <w:rPr>
                <w:rFonts w:ascii="仿宋_GB2312" w:hAnsi="宋体" w:eastAsia="仿宋_GB2312" w:cs="宋体"/>
                <w:kern w:val="0"/>
                <w:szCs w:val="21"/>
              </w:rPr>
              <w:t>拒不改正的，适用此情形。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.曾因此违法行为受过到行政处罚，再次违反的适用此情形。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.应当受到处罚的个人，自愿参加生活垃圾分类等社区服务活动的，不予行政处罚。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03" w:hRule="atLeast"/>
          <w:jc w:val="center"/>
        </w:trPr>
        <w:tc>
          <w:tcPr>
            <w:tcW w:w="568"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未建立生活垃圾分类日常管理制度</w:t>
            </w:r>
          </w:p>
        </w:tc>
        <w:tc>
          <w:tcPr>
            <w:tcW w:w="4252" w:type="dxa"/>
            <w:gridSpan w:val="8"/>
            <w:shd w:val="clear" w:color="auto" w:fill="auto"/>
            <w:vAlign w:val="center"/>
          </w:tcPr>
          <w:p>
            <w:pPr>
              <w:rPr>
                <w:rFonts w:ascii="仿宋_GB2312" w:hAnsi="宋体" w:eastAsia="仿宋_GB2312" w:cs="宋体"/>
                <w:szCs w:val="21"/>
              </w:rPr>
            </w:pPr>
            <w:r>
              <w:rPr>
                <w:rFonts w:hint="eastAsia" w:ascii="仿宋_GB2312" w:eastAsia="仿宋_GB2312"/>
                <w:szCs w:val="21"/>
              </w:rPr>
              <w:t>违反条款：第三十五条第一款第（一）项；处罚条款：第六十八条第一款 责令立即改正，处3000元以上3万元以下罚款。　</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restart"/>
            <w:shd w:val="clear" w:color="auto" w:fill="auto"/>
            <w:vAlign w:val="center"/>
          </w:tcPr>
          <w:p>
            <w:pPr>
              <w:spacing w:line="0" w:lineRule="atLeast"/>
              <w:rPr>
                <w:rFonts w:ascii="仿宋_GB2312" w:eastAsia="仿宋_GB2312"/>
                <w:szCs w:val="21"/>
              </w:rPr>
            </w:pPr>
            <w:r>
              <w:rPr>
                <w:rFonts w:hint="eastAsia" w:ascii="仿宋_GB2312" w:eastAsia="仿宋_GB2312"/>
                <w:szCs w:val="21"/>
              </w:rPr>
              <w:t>1.发生在天安门周边、长安街沿线及周边、主要商业繁华场所周边、机场车站等大型交通枢纽周边的，系数3；2.发生在其它重点大街、其它交通枢纽周边，或者主要旅游景区周边的，系数2；3.发生在城市居住区或者其它人口集中地区周边的，系数为2；4.同时存在其它违法行为，或者对环境秩序造成较严重影响的，系数2。</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03" w:hRule="atLeast"/>
          <w:jc w:val="center"/>
        </w:trPr>
        <w:tc>
          <w:tcPr>
            <w:tcW w:w="568"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134" w:type="dxa"/>
            <w:gridSpan w:val="2"/>
            <w:shd w:val="clear" w:color="auto" w:fill="auto"/>
            <w:vAlign w:val="center"/>
          </w:tcPr>
          <w:p>
            <w:pPr>
              <w:widowControl/>
              <w:jc w:val="left"/>
              <w:rPr>
                <w:rFonts w:ascii="仿宋_GB2312" w:eastAsia="仿宋_GB2312"/>
                <w:color w:val="000000"/>
                <w:szCs w:val="21"/>
              </w:rPr>
            </w:pPr>
            <w:r>
              <w:rPr>
                <w:rFonts w:hint="eastAsia" w:ascii="仿宋_GB2312" w:eastAsia="仿宋_GB2312"/>
                <w:color w:val="000000"/>
                <w:szCs w:val="21"/>
              </w:rPr>
              <w:t>未开展宣传或未指定专人负责指导、监督垃圾分类工作</w:t>
            </w:r>
          </w:p>
        </w:tc>
        <w:tc>
          <w:tcPr>
            <w:tcW w:w="4252" w:type="dxa"/>
            <w:gridSpan w:val="8"/>
            <w:shd w:val="clear" w:color="auto" w:fill="auto"/>
            <w:vAlign w:val="center"/>
          </w:tcPr>
          <w:p>
            <w:pPr>
              <w:rPr>
                <w:rFonts w:ascii="仿宋_GB2312" w:eastAsia="仿宋_GB2312"/>
                <w:color w:val="000000"/>
                <w:szCs w:val="21"/>
              </w:rPr>
            </w:pPr>
            <w:r>
              <w:rPr>
                <w:rFonts w:hint="eastAsia" w:ascii="仿宋_GB2312" w:eastAsia="仿宋_GB2312"/>
                <w:color w:val="000000"/>
                <w:szCs w:val="21"/>
              </w:rPr>
              <w:t>违反条款：第三十五条第一款第（二）项；处罚条款：第六十八条第一款 责令立即改正，处3000元以上3万元以下罚款。　</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vMerge w:val="continue"/>
            <w:shd w:val="clear" w:color="auto" w:fill="auto"/>
            <w:vAlign w:val="center"/>
          </w:tcPr>
          <w:p>
            <w:pPr>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391" w:hRule="atLeast"/>
          <w:jc w:val="center"/>
        </w:trPr>
        <w:tc>
          <w:tcPr>
            <w:tcW w:w="568"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未按规定设置生活垃圾分类收集容器</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违反条款：第三十五条第一款第（三）项；处罚条款：第六十八条第一款 责令立即改正，处3000元以上3万元以下罚款。　</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268" w:hRule="atLeast"/>
          <w:jc w:val="center"/>
        </w:trPr>
        <w:tc>
          <w:tcPr>
            <w:tcW w:w="568"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未按规定管护生活垃圾分类收集容器</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违反条款：第三十五条第一款第（三）项；处罚条款：第六十八条第一款 责令立即改正，处3000元以上3万元以下罚款。　</w:t>
            </w:r>
          </w:p>
          <w:p>
            <w:pPr>
              <w:rPr>
                <w:rFonts w:ascii="仿宋_GB2312" w:hAnsi="宋体" w:eastAsia="仿宋_GB2312" w:cs="宋体"/>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117" w:hRule="atLeast"/>
          <w:jc w:val="center"/>
        </w:trPr>
        <w:tc>
          <w:tcPr>
            <w:tcW w:w="568"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未明确生活垃圾投放的时间、地点</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违反条款：第三十五条第一款第（四）项；处罚条款：第六十八条第一款 责令立即改正，处3000元以上3万元以下罚款。　</w:t>
            </w:r>
          </w:p>
          <w:p>
            <w:pPr>
              <w:rPr>
                <w:rFonts w:ascii="仿宋_GB2312" w:hAnsi="宋体" w:eastAsia="仿宋_GB2312" w:cs="宋体"/>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117"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rPr>
            </w:pPr>
            <w:r>
              <w:rPr>
                <w:rFonts w:ascii="仿宋_GB2312" w:hAnsi="宋体" w:eastAsia="仿宋_GB2312" w:cs="宋体"/>
                <w:kern w:val="0"/>
                <w:szCs w:val="21"/>
                <w:highlight w:val="none"/>
              </w:rPr>
              <w:t>11</w:t>
            </w:r>
          </w:p>
        </w:tc>
        <w:tc>
          <w:tcPr>
            <w:tcW w:w="1134" w:type="dxa"/>
            <w:gridSpan w:val="2"/>
            <w:shd w:val="clear" w:color="auto" w:fill="auto"/>
            <w:vAlign w:val="center"/>
          </w:tcPr>
          <w:p>
            <w:pPr>
              <w:rPr>
                <w:rFonts w:hint="eastAsia" w:ascii="仿宋_GB2312" w:eastAsia="仿宋_GB2312"/>
                <w:color w:val="000000"/>
                <w:szCs w:val="21"/>
              </w:rPr>
            </w:pPr>
            <w:r>
              <w:rPr>
                <w:rFonts w:hint="eastAsia" w:ascii="仿宋_GB2312" w:eastAsia="仿宋_GB2312"/>
                <w:szCs w:val="21"/>
                <w:highlight w:val="none"/>
              </w:rPr>
              <w:t>分类管理责任人未分类收集、贮存生活垃圾</w:t>
            </w:r>
          </w:p>
        </w:tc>
        <w:tc>
          <w:tcPr>
            <w:tcW w:w="4252" w:type="dxa"/>
            <w:gridSpan w:val="8"/>
            <w:shd w:val="clear" w:color="auto" w:fill="auto"/>
            <w:vAlign w:val="center"/>
          </w:tcPr>
          <w:p>
            <w:pPr>
              <w:widowControl/>
              <w:rPr>
                <w:rFonts w:hint="eastAsia" w:ascii="仿宋_GB2312" w:eastAsia="仿宋_GB2312"/>
                <w:color w:val="000000"/>
                <w:szCs w:val="21"/>
              </w:rPr>
            </w:pPr>
            <w:r>
              <w:rPr>
                <w:rFonts w:hint="eastAsia" w:ascii="仿宋_GB2312" w:eastAsia="仿宋_GB2312"/>
                <w:color w:val="000000"/>
                <w:szCs w:val="21"/>
                <w:highlight w:val="none"/>
              </w:rPr>
              <w:t>违反条款：第三十五条第一款第（四）项；处罚条款：第六十八条第一款 责令立即改正，处3000元以上3万元以下罚款。　</w:t>
            </w:r>
          </w:p>
        </w:tc>
        <w:tc>
          <w:tcPr>
            <w:tcW w:w="992" w:type="dxa"/>
            <w:gridSpan w:val="4"/>
            <w:shd w:val="clear" w:color="auto" w:fill="auto"/>
            <w:noWrap/>
            <w:vAlign w:val="center"/>
          </w:tcPr>
          <w:p>
            <w:pPr>
              <w:widowControl/>
              <w:spacing w:line="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highlight w:val="none"/>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highlight w:val="none"/>
              </w:rPr>
              <w:t>1</w:t>
            </w:r>
          </w:p>
        </w:tc>
        <w:tc>
          <w:tcPr>
            <w:tcW w:w="3544" w:type="dxa"/>
            <w:gridSpan w:val="5"/>
            <w:vMerge w:val="restart"/>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hint="eastAsia" w:ascii="仿宋_GB2312" w:hAnsi="宋体" w:eastAsia="仿宋_GB2312" w:cs="宋体"/>
                <w:kern w:val="0"/>
                <w:szCs w:val="21"/>
              </w:rPr>
            </w:pPr>
            <w:r>
              <w:rPr>
                <w:rFonts w:hint="eastAsia" w:ascii="仿宋_GB2312" w:hAnsi="宋体" w:eastAsia="仿宋_GB2312" w:cs="宋体"/>
                <w:kern w:val="0"/>
                <w:szCs w:val="21"/>
                <w:highlight w:val="none"/>
              </w:rPr>
              <w:t>罚款数额＝3000×（1＋情节系数＋变量系数）</w:t>
            </w:r>
          </w:p>
        </w:tc>
        <w:tc>
          <w:tcPr>
            <w:tcW w:w="2268" w:type="dxa"/>
            <w:gridSpan w:val="3"/>
            <w:shd w:val="clear" w:color="auto" w:fill="auto"/>
            <w:noWrap/>
            <w:vAlign w:val="center"/>
          </w:tcPr>
          <w:p>
            <w:pPr>
              <w:widowControl/>
              <w:spacing w:line="0" w:lineRule="atLeast"/>
              <w:jc w:val="center"/>
              <w:rPr>
                <w:rFonts w:ascii="仿宋_GB2312" w:eastAsia="仿宋_GB2312"/>
                <w:szCs w:val="21"/>
              </w:rPr>
            </w:pPr>
            <w:r>
              <w:rPr>
                <w:rFonts w:ascii="仿宋_GB2312" w:hAnsi="宋体" w:eastAsia="仿宋_GB2312" w:cs="宋体"/>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117"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2</w:t>
            </w:r>
          </w:p>
        </w:tc>
        <w:tc>
          <w:tcPr>
            <w:tcW w:w="1134" w:type="dxa"/>
            <w:gridSpan w:val="2"/>
            <w:shd w:val="clear" w:color="auto" w:fill="auto"/>
            <w:vAlign w:val="center"/>
          </w:tcPr>
          <w:p>
            <w:pPr>
              <w:widowControl/>
              <w:jc w:val="left"/>
              <w:rPr>
                <w:rFonts w:ascii="仿宋_GB2312" w:eastAsia="仿宋_GB2312"/>
                <w:color w:val="000000"/>
                <w:szCs w:val="21"/>
              </w:rPr>
            </w:pPr>
            <w:r>
              <w:rPr>
                <w:rFonts w:hint="eastAsia" w:ascii="仿宋_GB2312" w:eastAsia="仿宋_GB2312"/>
                <w:color w:val="000000"/>
                <w:szCs w:val="21"/>
              </w:rPr>
              <w:t>未及时制止翻捡、混合已分类生活垃圾的行为</w:t>
            </w:r>
          </w:p>
        </w:tc>
        <w:tc>
          <w:tcPr>
            <w:tcW w:w="4252" w:type="dxa"/>
            <w:gridSpan w:val="8"/>
            <w:shd w:val="clear" w:color="auto" w:fill="auto"/>
            <w:vAlign w:val="center"/>
          </w:tcPr>
          <w:p>
            <w:pPr>
              <w:rPr>
                <w:rFonts w:ascii="仿宋_GB2312" w:eastAsia="仿宋_GB2312"/>
                <w:color w:val="000000"/>
                <w:szCs w:val="21"/>
              </w:rPr>
            </w:pPr>
            <w:r>
              <w:rPr>
                <w:rFonts w:hint="eastAsia" w:ascii="仿宋_GB2312" w:eastAsia="仿宋_GB2312"/>
                <w:color w:val="000000"/>
                <w:szCs w:val="21"/>
              </w:rPr>
              <w:t>违反条款：第三十五条第一款第（六）项；处罚条款：第六十八条第一款 责令立即改正，处3000元以上3万元以下罚款。　</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vMerge w:val="continue"/>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076"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3</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将生活垃圾交由未经许可或者备案的企业和个人进行处置</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违反条款：第三十五条第一款第（五）项；处罚条款：第六十八条第二款 责令立即改正，处1万元以上10万元以下罚款。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eastAsia="仿宋_GB2312"/>
                <w:szCs w:val="21"/>
              </w:rPr>
            </w:pPr>
            <w:r>
              <w:rPr>
                <w:rFonts w:hint="eastAsia" w:ascii="仿宋_GB2312" w:eastAsia="仿宋_GB2312"/>
                <w:szCs w:val="21"/>
              </w:rPr>
              <w:t>1.城市居住地区分类管理责任人违反规定的，系数3；</w:t>
            </w:r>
            <w:r>
              <w:rPr>
                <w:rFonts w:ascii="仿宋_GB2312" w:eastAsia="仿宋_GB2312"/>
                <w:szCs w:val="21"/>
              </w:rPr>
              <w:t>2</w:t>
            </w:r>
            <w:r>
              <w:rPr>
                <w:rFonts w:hint="eastAsia" w:ascii="仿宋_GB2312" w:eastAsia="仿宋_GB2312"/>
                <w:szCs w:val="21"/>
              </w:rPr>
              <w:t>.建设单位违反规定的，系数3；</w:t>
            </w:r>
            <w:r>
              <w:rPr>
                <w:rFonts w:ascii="仿宋_GB2312" w:eastAsia="仿宋_GB2312"/>
                <w:szCs w:val="21"/>
              </w:rPr>
              <w:t>3</w:t>
            </w:r>
            <w:r>
              <w:rPr>
                <w:rFonts w:hint="eastAsia" w:ascii="仿宋_GB2312" w:eastAsia="仿宋_GB2312"/>
                <w:szCs w:val="21"/>
              </w:rPr>
              <w:t>.违法行为持续时间较长、垃圾产生量较大、造成环境秩序较严重影响的，系数3-9。</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餐饮服务</w:t>
            </w:r>
            <w:r>
              <w:rPr>
                <w:rFonts w:ascii="仿宋_GB2312" w:hAnsi="宋体" w:eastAsia="仿宋_GB2312" w:cs="宋体"/>
                <w:kern w:val="0"/>
                <w:szCs w:val="21"/>
              </w:rPr>
              <w:t>单位未按规定收集、交运、处理厨余垃圾</w:t>
            </w:r>
            <w:r>
              <w:rPr>
                <w:rFonts w:hint="eastAsia" w:ascii="仿宋_GB2312" w:hAnsi="宋体" w:eastAsia="仿宋_GB2312" w:cs="宋体"/>
                <w:kern w:val="0"/>
                <w:szCs w:val="21"/>
              </w:rPr>
              <w:t>的行为</w:t>
            </w:r>
            <w:r>
              <w:rPr>
                <w:rFonts w:ascii="仿宋_GB2312" w:hAnsi="宋体" w:eastAsia="仿宋_GB2312" w:cs="宋体"/>
                <w:kern w:val="0"/>
                <w:szCs w:val="21"/>
              </w:rPr>
              <w:t>，优先适用</w:t>
            </w:r>
            <w:r>
              <w:rPr>
                <w:rFonts w:hint="eastAsia" w:ascii="仿宋_GB2312" w:eastAsia="仿宋_GB2312"/>
                <w:color w:val="000000"/>
                <w:szCs w:val="21"/>
              </w:rPr>
              <w:t>第四十七条第二款的</w:t>
            </w:r>
            <w:r>
              <w:rPr>
                <w:rFonts w:ascii="仿宋_GB2312" w:eastAsia="仿宋_GB2312"/>
                <w:color w:val="000000"/>
                <w:szCs w:val="21"/>
              </w:rPr>
              <w:t>规定，依据</w:t>
            </w:r>
            <w:r>
              <w:rPr>
                <w:rFonts w:hint="eastAsia" w:ascii="仿宋_GB2312" w:eastAsia="仿宋_GB2312"/>
                <w:color w:val="000000"/>
                <w:szCs w:val="21"/>
              </w:rPr>
              <w:t>第七十三条第一款予以</w:t>
            </w:r>
            <w:r>
              <w:rPr>
                <w:rFonts w:ascii="仿宋_GB2312" w:eastAsia="仿宋_GB2312"/>
                <w:color w:val="000000"/>
                <w:szCs w:val="21"/>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4"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1</w:t>
            </w:r>
            <w:r>
              <w:rPr>
                <w:rFonts w:hint="eastAsia" w:ascii="仿宋_GB2312" w:hAnsi="宋体" w:eastAsia="仿宋_GB2312" w:cs="宋体"/>
                <w:kern w:val="0"/>
                <w:szCs w:val="21"/>
                <w:lang w:val="en-US" w:eastAsia="zh-CN"/>
              </w:rPr>
              <w:t>4</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分类管理责任人未办理生活垃圾排放登记</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违反条款：第三十七条第一款；处罚条款：第六十九条第一款 责令立即改正，处1000元以上5000元以下罚款。　</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restart"/>
            <w:shd w:val="clear" w:color="auto" w:fill="auto"/>
            <w:vAlign w:val="center"/>
          </w:tcPr>
          <w:p>
            <w:pPr>
              <w:widowControl/>
              <w:spacing w:line="0" w:lineRule="atLeast"/>
              <w:rPr>
                <w:rFonts w:ascii="仿宋_GB2312" w:eastAsia="仿宋_GB2312"/>
                <w:szCs w:val="21"/>
              </w:rPr>
            </w:pPr>
            <w:r>
              <w:rPr>
                <w:rFonts w:hint="eastAsia" w:ascii="仿宋_GB2312" w:eastAsia="仿宋_GB2312"/>
                <w:szCs w:val="21"/>
              </w:rPr>
              <w:t>1.城市居住地区分类管理责任人违反规定的，系数3；2.餐饮服务单位违反规定的，系数4；3.建设单位违反规定的，系数3；4.违法行为持续时间较长、垃圾产生量较大、造成环境秩序较严重影响的，系数3-9。</w:t>
            </w:r>
          </w:p>
          <w:p>
            <w:pPr>
              <w:spacing w:line="0" w:lineRule="atLeast"/>
              <w:rPr>
                <w:rFonts w:ascii="仿宋_GB2312" w:hAnsi="宋体" w:eastAsia="仿宋_GB2312" w:cs="宋体"/>
                <w:kern w:val="0"/>
                <w:szCs w:val="21"/>
              </w:rPr>
            </w:pPr>
          </w:p>
        </w:tc>
        <w:tc>
          <w:tcPr>
            <w:tcW w:w="1843" w:type="dxa"/>
            <w:gridSpan w:val="5"/>
            <w:shd w:val="clear" w:color="auto" w:fill="auto"/>
            <w:vAlign w:val="center"/>
          </w:tcPr>
          <w:p>
            <w:pPr>
              <w:widowControl/>
              <w:spacing w:line="0" w:lineRule="atLeast"/>
              <w:rPr>
                <w:rFonts w:ascii="仿宋_GB2312" w:eastAsia="仿宋_GB2312"/>
                <w:szCs w:val="21"/>
              </w:rPr>
            </w:pPr>
            <w:r>
              <w:rPr>
                <w:rFonts w:hint="eastAsia" w:ascii="仿宋_GB2312" w:hAnsi="宋体" w:eastAsia="仿宋_GB2312" w:cs="宋体"/>
                <w:kern w:val="0"/>
                <w:szCs w:val="21"/>
              </w:rPr>
              <w:t>罚款数额＝1000×（1＋情节系数＋变量系数）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6"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分类管理责任人未如实办理生活垃圾排放登记</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违反条款：第三十七条第一款；处罚条款：第六十九条第一款 责令立即改正，处1000元以上5000元以下罚款。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spacing w:line="0" w:lineRule="atLeast"/>
              <w:rPr>
                <w:rFonts w:ascii="仿宋_GB2312" w:hAnsi="宋体" w:eastAsia="仿宋_GB2312" w:cs="宋体"/>
                <w:kern w:val="0"/>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268" w:type="dxa"/>
            <w:gridSpan w:val="3"/>
            <w:shd w:val="clear" w:color="auto" w:fill="auto"/>
            <w:noWrap/>
            <w:vAlign w:val="center"/>
          </w:tcPr>
          <w:p>
            <w:pPr>
              <w:widowControl/>
              <w:spacing w:line="0" w:lineRule="atLeas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6"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16</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分类管理责任人未建立生活垃圾管理台账</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违反条款：第三十七条第二款；处罚条款：第六十九条第二款 责令立即改正，处1000元以上1万元以下罚款。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6"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17</w:t>
            </w:r>
          </w:p>
        </w:tc>
        <w:tc>
          <w:tcPr>
            <w:tcW w:w="1134" w:type="dxa"/>
            <w:gridSpan w:val="2"/>
            <w:shd w:val="clear" w:color="auto" w:fill="auto"/>
            <w:vAlign w:val="center"/>
          </w:tcPr>
          <w:p>
            <w:pPr>
              <w:spacing w:line="240" w:lineRule="exact"/>
              <w:rPr>
                <w:rFonts w:ascii="仿宋_GB2312" w:hAnsi="宋体" w:eastAsia="仿宋_GB2312" w:cs="宋体"/>
                <w:szCs w:val="21"/>
              </w:rPr>
            </w:pPr>
            <w:r>
              <w:rPr>
                <w:rFonts w:hint="eastAsia" w:ascii="仿宋_GB2312" w:eastAsia="仿宋_GB2312"/>
                <w:szCs w:val="21"/>
              </w:rPr>
              <w:t>分类管理责任人未如实记录生活垃圾排放情况</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违反条款：第三十七条第二款；处罚条款：第六十九条第二款 责令立即改正，处1000元以上1万元以下罚款。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continue"/>
            <w:shd w:val="clear" w:color="auto" w:fill="auto"/>
            <w:vAlign w:val="center"/>
          </w:tcPr>
          <w:p>
            <w:pPr>
              <w:widowControl/>
              <w:spacing w:line="0" w:lineRule="atLeast"/>
              <w:rPr>
                <w:rFonts w:ascii="仿宋_GB2312" w:eastAsia="仿宋_GB2312"/>
                <w:szCs w:val="21"/>
              </w:rPr>
            </w:pP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6"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18</w:t>
            </w:r>
          </w:p>
        </w:tc>
        <w:tc>
          <w:tcPr>
            <w:tcW w:w="1134" w:type="dxa"/>
            <w:gridSpan w:val="2"/>
            <w:shd w:val="clear" w:color="auto" w:fill="auto"/>
            <w:vAlign w:val="center"/>
          </w:tcPr>
          <w:p>
            <w:pPr>
              <w:spacing w:line="240" w:lineRule="exact"/>
              <w:rPr>
                <w:rFonts w:ascii="仿宋_GB2312" w:hAnsi="宋体" w:eastAsia="仿宋_GB2312" w:cs="宋体"/>
                <w:szCs w:val="21"/>
              </w:rPr>
            </w:pPr>
            <w:r>
              <w:rPr>
                <w:rFonts w:hint="eastAsia" w:ascii="仿宋_GB2312" w:eastAsia="仿宋_GB2312"/>
                <w:szCs w:val="21"/>
              </w:rPr>
              <w:t>收集、运输单位未按时、分类收集、运输生活垃圾</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违反条款：第四十四条第一款第（一）项；处罚条款：第七十条第一款 责令限期改正，处1万元以上3万元以下罚款；情节严重的，由城市管理综合执法部门吊销生活垃圾收集、运输经营许可证。</w:t>
            </w:r>
          </w:p>
          <w:p>
            <w:pPr>
              <w:rPr>
                <w:rFonts w:ascii="仿宋_GB2312" w:hAnsi="宋体" w:eastAsia="仿宋_GB2312" w:cs="宋体"/>
                <w:szCs w:val="21"/>
              </w:rPr>
            </w:pP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rPr>
                <w:rFonts w:ascii="仿宋_GB2312" w:hAnsi="宋体" w:eastAsia="仿宋_GB2312" w:cs="宋体"/>
                <w:kern w:val="0"/>
                <w:szCs w:val="21"/>
              </w:rPr>
            </w:pPr>
            <w:r>
              <w:rPr>
                <w:rFonts w:hint="eastAsia" w:ascii="仿宋_GB2312" w:eastAsia="仿宋_GB2312"/>
                <w:szCs w:val="21"/>
              </w:rPr>
              <w:t>1.未按时、分类收运城市居住地区垃圾的，系数3；2.未按时、分类收运厨余垃圾、建筑垃圾的，系数4；3.违法行为持续时间较长、造成环境秩序较严重影响的，系数3-5。</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 依据京政发〔2017〕32号，存在上述情形之一，拟作出吊销处罚的，作出处罚决定前，要邀请职权划出部门共同会商；对于可能影响公共利益的，提请职权划出部门拟定接管方案。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936"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19</w:t>
            </w:r>
          </w:p>
        </w:tc>
        <w:tc>
          <w:tcPr>
            <w:tcW w:w="1134" w:type="dxa"/>
            <w:gridSpan w:val="2"/>
            <w:shd w:val="clear" w:color="auto" w:fill="auto"/>
            <w:vAlign w:val="center"/>
          </w:tcPr>
          <w:p>
            <w:pPr>
              <w:spacing w:line="240" w:lineRule="exact"/>
              <w:rPr>
                <w:rFonts w:ascii="仿宋_GB2312" w:hAnsi="宋体" w:eastAsia="仿宋_GB2312" w:cs="宋体"/>
                <w:szCs w:val="21"/>
              </w:rPr>
            </w:pPr>
            <w:r>
              <w:rPr>
                <w:rFonts w:hint="eastAsia" w:ascii="仿宋_GB2312" w:eastAsia="仿宋_GB2312"/>
                <w:szCs w:val="21"/>
              </w:rPr>
              <w:t>生活垃圾收集工具、运输车辆、人员不符合要求</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违反条款：第四十四条第一款第（一）项；处罚条款：第七十条第一款 责令限期改正，处1万元以上3万元以下罚款；情节严重的，由城市管理综合执法部门吊销生活垃圾收集、运输经营许可证。</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rPr>
                <w:rFonts w:ascii="仿宋_GB2312" w:eastAsia="仿宋_GB2312"/>
                <w:szCs w:val="21"/>
              </w:rPr>
            </w:pPr>
            <w:r>
              <w:rPr>
                <w:rFonts w:hint="eastAsia" w:ascii="仿宋_GB2312" w:eastAsia="仿宋_GB2312"/>
                <w:szCs w:val="21"/>
              </w:rPr>
              <w:t>1.工具、车辆、人员都不符合要求的，系数5，其中两类不符合要求的，系数3；2.同时存在其它违法行为，系数2。</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1.造成泄漏遗撒的，按照专项案由从重处罚。</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r>
              <w:rPr>
                <w:rFonts w:hint="eastAsia" w:ascii="仿宋_GB2312" w:eastAsia="仿宋_GB2312"/>
                <w:szCs w:val="21"/>
              </w:rPr>
              <w:t xml:space="preserve"> </w:t>
            </w:r>
            <w:r>
              <w:rPr>
                <w:rFonts w:hint="eastAsia" w:ascii="仿宋_GB2312" w:hAnsi="宋体" w:eastAsia="仿宋_GB2312" w:cs="宋体"/>
                <w:kern w:val="0"/>
                <w:szCs w:val="21"/>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 依据京政发〔2017〕32号，存在上述情形之一，拟作出吊销处罚的，作出处罚决定前，要邀请职权划出部门共同会商；对于可能影响公共利益的，提请职权划出部门拟定接管方案。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867"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134" w:type="dxa"/>
            <w:gridSpan w:val="2"/>
            <w:shd w:val="clear" w:color="auto" w:fill="auto"/>
            <w:vAlign w:val="center"/>
          </w:tcPr>
          <w:p>
            <w:pPr>
              <w:spacing w:line="240" w:lineRule="exact"/>
              <w:rPr>
                <w:rFonts w:ascii="仿宋_GB2312" w:hAnsi="宋体" w:eastAsia="仿宋_GB2312" w:cs="宋体"/>
                <w:szCs w:val="21"/>
              </w:rPr>
            </w:pPr>
            <w:r>
              <w:rPr>
                <w:rFonts w:hint="eastAsia" w:ascii="仿宋_GB2312" w:eastAsia="仿宋_GB2312"/>
                <w:szCs w:val="21"/>
              </w:rPr>
              <w:t>收集、运输单位未按要求将生活垃圾运输至集中收集设施或者转运、处理设施</w:t>
            </w:r>
          </w:p>
        </w:tc>
        <w:tc>
          <w:tcPr>
            <w:tcW w:w="4252" w:type="dxa"/>
            <w:gridSpan w:val="8"/>
            <w:vMerge w:val="restart"/>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违反条款：第四十四条第一款第（二）项；处罚条款：第七十条第二款 责令清除，处2万元以上10万元以下罚款；情节严重的，由城市管理综合执法部门吊销生活垃圾收集、运输经营许可证。　</w:t>
            </w:r>
          </w:p>
        </w:tc>
        <w:tc>
          <w:tcPr>
            <w:tcW w:w="992" w:type="dxa"/>
            <w:gridSpan w:val="4"/>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09"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1.未按要求收运的</w:t>
            </w:r>
            <w:r>
              <w:rPr>
                <w:rFonts w:hint="eastAsia" w:ascii="仿宋_GB2312" w:eastAsia="仿宋_GB2312"/>
                <w:szCs w:val="21"/>
              </w:rPr>
              <w:t>垃圾总量较大、违法行为持续时间较长、对环境秩序造成较严重影响的，系数3-9；</w:t>
            </w:r>
            <w:r>
              <w:rPr>
                <w:rFonts w:hint="eastAsia" w:ascii="仿宋_GB2312" w:hAnsi="宋体" w:eastAsia="仿宋_GB2312" w:cs="宋体"/>
                <w:kern w:val="0"/>
                <w:szCs w:val="21"/>
              </w:rPr>
              <w:t>2.将垃圾随意倾倒、丢弃、堆放至绿地、公厕、城市道路等公共场所，或者燃气、供暖等公用管道和设施保护（管理）范围的，或者农田内的，系数3；沿途遗撒的，污染道路长21－30米的，系数1；31－40米的，系数2；以此类推。</w:t>
            </w:r>
          </w:p>
        </w:tc>
        <w:tc>
          <w:tcPr>
            <w:tcW w:w="1843" w:type="dxa"/>
            <w:gridSpan w:val="5"/>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罚款数额＝20000×（1＋区域系数＋情节系数＋变量系数）</w:t>
            </w:r>
          </w:p>
        </w:tc>
        <w:tc>
          <w:tcPr>
            <w:tcW w:w="2268" w:type="dxa"/>
            <w:gridSpan w:val="3"/>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 依据京政发〔2017〕32号，存在上述情形之一，拟作出吊销处罚的，作出处罚决定前，要邀请职权划出部门共同会商；对于可能影响公共利益的，提请职权划出部门拟定接管方案。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579"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21</w:t>
            </w:r>
          </w:p>
        </w:tc>
        <w:tc>
          <w:tcPr>
            <w:tcW w:w="1134" w:type="dxa"/>
            <w:gridSpan w:val="2"/>
            <w:shd w:val="clear" w:color="auto" w:fill="auto"/>
            <w:vAlign w:val="center"/>
          </w:tcPr>
          <w:p>
            <w:pPr>
              <w:spacing w:line="240" w:lineRule="exact"/>
              <w:rPr>
                <w:rFonts w:ascii="仿宋_GB2312" w:eastAsia="仿宋_GB2312"/>
                <w:szCs w:val="21"/>
              </w:rPr>
            </w:pPr>
            <w:r>
              <w:rPr>
                <w:rFonts w:hint="eastAsia" w:ascii="仿宋_GB2312" w:eastAsia="仿宋_GB2312"/>
                <w:szCs w:val="21"/>
              </w:rPr>
              <w:t>收集、运输单位将生活垃圾混装混运</w:t>
            </w:r>
          </w:p>
        </w:tc>
        <w:tc>
          <w:tcPr>
            <w:tcW w:w="4252" w:type="dxa"/>
            <w:gridSpan w:val="8"/>
            <w:vMerge w:val="continue"/>
            <w:shd w:val="clear" w:color="auto" w:fill="auto"/>
            <w:vAlign w:val="center"/>
          </w:tcPr>
          <w:p>
            <w:pPr>
              <w:rPr>
                <w:rFonts w:ascii="仿宋_GB2312" w:eastAsia="仿宋_GB2312"/>
                <w:szCs w:val="21"/>
              </w:rPr>
            </w:pPr>
          </w:p>
        </w:tc>
        <w:tc>
          <w:tcPr>
            <w:tcW w:w="992" w:type="dxa"/>
            <w:gridSpan w:val="4"/>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709"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vMerge w:val="continue"/>
            <w:shd w:val="clear" w:color="auto" w:fill="auto"/>
            <w:vAlign w:val="center"/>
          </w:tcPr>
          <w:p>
            <w:pPr>
              <w:spacing w:line="0" w:lineRule="atLeast"/>
              <w:rPr>
                <w:rFonts w:ascii="仿宋_GB2312" w:hAnsi="宋体" w:eastAsia="仿宋_GB2312" w:cs="宋体"/>
                <w:kern w:val="0"/>
                <w:szCs w:val="21"/>
              </w:rPr>
            </w:pPr>
          </w:p>
        </w:tc>
        <w:tc>
          <w:tcPr>
            <w:tcW w:w="1843" w:type="dxa"/>
            <w:gridSpan w:val="5"/>
            <w:vMerge w:val="continue"/>
            <w:shd w:val="clear" w:color="auto" w:fill="auto"/>
            <w:vAlign w:val="center"/>
          </w:tcPr>
          <w:p>
            <w:pPr>
              <w:spacing w:line="0" w:lineRule="atLeast"/>
              <w:rPr>
                <w:rFonts w:ascii="仿宋_GB2312" w:hAnsi="宋体" w:eastAsia="仿宋_GB2312" w:cs="宋体"/>
                <w:kern w:val="0"/>
                <w:szCs w:val="21"/>
              </w:rPr>
            </w:pPr>
          </w:p>
        </w:tc>
        <w:tc>
          <w:tcPr>
            <w:tcW w:w="2268" w:type="dxa"/>
            <w:gridSpan w:val="3"/>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806"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2</w:t>
            </w:r>
            <w:r>
              <w:rPr>
                <w:rFonts w:hint="eastAsia" w:ascii="仿宋_GB2312" w:hAnsi="宋体" w:eastAsia="仿宋_GB2312" w:cs="宋体"/>
                <w:kern w:val="0"/>
                <w:szCs w:val="21"/>
                <w:lang w:val="en-US" w:eastAsia="zh-CN"/>
              </w:rPr>
              <w:t>2</w:t>
            </w:r>
          </w:p>
        </w:tc>
        <w:tc>
          <w:tcPr>
            <w:tcW w:w="1134" w:type="dxa"/>
            <w:gridSpan w:val="2"/>
            <w:shd w:val="clear" w:color="auto" w:fill="auto"/>
            <w:vAlign w:val="center"/>
          </w:tcPr>
          <w:p>
            <w:pPr>
              <w:spacing w:line="240" w:lineRule="exact"/>
              <w:rPr>
                <w:rFonts w:ascii="仿宋_GB2312" w:eastAsia="仿宋_GB2312"/>
                <w:szCs w:val="21"/>
              </w:rPr>
            </w:pPr>
            <w:r>
              <w:rPr>
                <w:rFonts w:hint="eastAsia" w:ascii="仿宋_GB2312" w:eastAsia="仿宋_GB2312"/>
                <w:szCs w:val="21"/>
              </w:rPr>
              <w:t>收集、运输单位随意倾倒、丢弃、遗撒、堆放生活垃圾</w:t>
            </w:r>
          </w:p>
        </w:tc>
        <w:tc>
          <w:tcPr>
            <w:tcW w:w="4252" w:type="dxa"/>
            <w:gridSpan w:val="8"/>
            <w:vMerge w:val="continue"/>
            <w:shd w:val="clear" w:color="auto" w:fill="auto"/>
            <w:vAlign w:val="center"/>
          </w:tcPr>
          <w:p>
            <w:pPr>
              <w:rPr>
                <w:rFonts w:ascii="仿宋_GB2312" w:eastAsia="仿宋_GB2312"/>
                <w:szCs w:val="21"/>
              </w:rPr>
            </w:pPr>
          </w:p>
        </w:tc>
        <w:tc>
          <w:tcPr>
            <w:tcW w:w="992" w:type="dxa"/>
            <w:gridSpan w:val="4"/>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709"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3544" w:type="dxa"/>
            <w:gridSpan w:val="5"/>
            <w:vMerge w:val="continue"/>
            <w:shd w:val="clear" w:color="auto" w:fill="auto"/>
            <w:vAlign w:val="center"/>
          </w:tcPr>
          <w:p>
            <w:pPr>
              <w:spacing w:line="0" w:lineRule="atLeast"/>
              <w:rPr>
                <w:rFonts w:ascii="仿宋_GB2312" w:hAnsi="宋体" w:eastAsia="仿宋_GB2312" w:cs="宋体"/>
                <w:kern w:val="0"/>
                <w:szCs w:val="21"/>
              </w:rPr>
            </w:pPr>
          </w:p>
        </w:tc>
        <w:tc>
          <w:tcPr>
            <w:tcW w:w="1843" w:type="dxa"/>
            <w:gridSpan w:val="5"/>
            <w:vMerge w:val="continue"/>
            <w:shd w:val="clear" w:color="auto" w:fill="auto"/>
            <w:vAlign w:val="center"/>
          </w:tcPr>
          <w:p>
            <w:pPr>
              <w:spacing w:line="0" w:lineRule="atLeast"/>
              <w:rPr>
                <w:rFonts w:ascii="仿宋_GB2312" w:hAnsi="宋体" w:eastAsia="仿宋_GB2312" w:cs="宋体"/>
                <w:kern w:val="0"/>
                <w:szCs w:val="21"/>
              </w:rPr>
            </w:pPr>
          </w:p>
        </w:tc>
        <w:tc>
          <w:tcPr>
            <w:tcW w:w="2268" w:type="dxa"/>
            <w:gridSpan w:val="3"/>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570" w:hRule="atLeast"/>
          <w:jc w:val="center"/>
        </w:trPr>
        <w:tc>
          <w:tcPr>
            <w:tcW w:w="568" w:type="dxa"/>
            <w:gridSpan w:val="2"/>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2</w:t>
            </w:r>
            <w:r>
              <w:rPr>
                <w:rFonts w:hint="eastAsia" w:ascii="仿宋_GB2312" w:hAnsi="宋体" w:eastAsia="仿宋_GB2312" w:cs="宋体"/>
                <w:kern w:val="0"/>
                <w:szCs w:val="21"/>
                <w:lang w:val="en-US" w:eastAsia="zh-CN"/>
              </w:rPr>
              <w:t>3</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收集、运输单位未落实生活垃圾管理台帐制度</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违反条款：第四十四条第一款第（三）项；处罚条款：第七十条第三款 责令限期改正，处1000元以上1万元以下罚款；情节严重的，由城市管理综合执法部门吊销生活垃圾收集、运输经营许可证。</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1．未建立台帐的</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2；2.建立台帐而未如实记录的，系数2；3.存在其它较严重影响的情形，系数2-9。</w:t>
            </w:r>
          </w:p>
        </w:tc>
        <w:tc>
          <w:tcPr>
            <w:tcW w:w="1843"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268" w:type="dxa"/>
            <w:gridSpan w:val="3"/>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533"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24</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未按规定接收、分类处理生活垃圾</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违反条款：第四十五条第一款；处罚条款：第七十一条 责令限期改正，处5万元以上10万元以下罚款；情节严重的，由城市管理综合执法部门吊销生活垃圾处理经营许可证或者渣土消纳场所许可证。</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843"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w:t>
            </w:r>
          </w:p>
        </w:tc>
        <w:tc>
          <w:tcPr>
            <w:tcW w:w="2268" w:type="dxa"/>
            <w:gridSpan w:val="3"/>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233"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未按规定交运、处理建筑垃圾</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违反条款：第四十六条第一款；处罚条款：第七十二条 责令限期改正，处1万元以上10万元以下罚款。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根据违规交运或者处置的</w:t>
            </w:r>
            <w:r>
              <w:rPr>
                <w:rFonts w:hint="eastAsia" w:ascii="仿宋_GB2312" w:eastAsia="仿宋_GB2312"/>
                <w:szCs w:val="21"/>
              </w:rPr>
              <w:t>垃圾数量、持续时间、对环境秩序较造成的影响等因素，在1-9之间确定变量系数。</w:t>
            </w:r>
          </w:p>
        </w:tc>
        <w:tc>
          <w:tcPr>
            <w:tcW w:w="1843"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26</w:t>
            </w:r>
          </w:p>
        </w:tc>
        <w:tc>
          <w:tcPr>
            <w:tcW w:w="1134" w:type="dxa"/>
            <w:gridSpan w:val="2"/>
            <w:shd w:val="clear" w:color="auto" w:fill="auto"/>
            <w:vAlign w:val="center"/>
          </w:tcPr>
          <w:p>
            <w:pPr>
              <w:rPr>
                <w:rFonts w:ascii="仿宋_GB2312" w:hAnsi="宋体" w:eastAsia="仿宋_GB2312" w:cs="宋体"/>
                <w:szCs w:val="21"/>
              </w:rPr>
            </w:pPr>
            <w:r>
              <w:rPr>
                <w:rFonts w:hint="eastAsia" w:ascii="仿宋_GB2312" w:eastAsia="仿宋_GB2312"/>
                <w:szCs w:val="21"/>
              </w:rPr>
              <w:t>餐饮服务单位未按规定收集、处理厨余垃圾</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违反条款：第四十七条第二款；处罚条款：第七十三条第一款 处1万元以上10万元以下罚款；情节严重的，责令停业整顿。</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eastAsia="仿宋_GB2312"/>
                <w:szCs w:val="21"/>
              </w:rPr>
              <w:t xml:space="preserve"> 特大</w:t>
            </w:r>
            <w:r>
              <w:rPr>
                <w:rFonts w:ascii="仿宋_GB2312" w:eastAsia="仿宋_GB2312"/>
                <w:szCs w:val="21"/>
              </w:rPr>
              <w:t>型、</w:t>
            </w:r>
            <w:r>
              <w:rPr>
                <w:rFonts w:hint="eastAsia" w:ascii="仿宋_GB2312" w:eastAsia="仿宋_GB2312"/>
                <w:szCs w:val="21"/>
              </w:rPr>
              <w:t>大型餐饮经营者，</w:t>
            </w:r>
            <w:r>
              <w:rPr>
                <w:rFonts w:ascii="仿宋_GB2312" w:eastAsia="仿宋_GB2312"/>
                <w:szCs w:val="21"/>
              </w:rPr>
              <w:t>变量系数为</w:t>
            </w:r>
            <w:r>
              <w:rPr>
                <w:rFonts w:hint="eastAsia" w:ascii="仿宋_GB2312" w:eastAsia="仿宋_GB2312"/>
                <w:szCs w:val="21"/>
              </w:rPr>
              <w:t>1；（以餐饮服务</w:t>
            </w:r>
            <w:r>
              <w:rPr>
                <w:rFonts w:ascii="仿宋_GB2312" w:eastAsia="仿宋_GB2312"/>
                <w:szCs w:val="21"/>
              </w:rPr>
              <w:t>许可标注的类</w:t>
            </w:r>
            <w:r>
              <w:rPr>
                <w:rFonts w:hint="eastAsia" w:ascii="仿宋_GB2312" w:eastAsia="仿宋_GB2312"/>
                <w:szCs w:val="21"/>
              </w:rPr>
              <w:t>别</w:t>
            </w:r>
            <w:r>
              <w:rPr>
                <w:rFonts w:ascii="仿宋_GB2312" w:eastAsia="仿宋_GB2312"/>
                <w:szCs w:val="21"/>
              </w:rPr>
              <w:t>为准。</w:t>
            </w:r>
            <w:r>
              <w:rPr>
                <w:rFonts w:hint="eastAsia" w:ascii="仿宋_GB2312" w:eastAsia="仿宋_GB2312"/>
                <w:szCs w:val="21"/>
              </w:rPr>
              <w:t>）</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2.未按要求收集、处理的垃圾总量较大、持续时间较长、对环境秩序造成较严重影响的，系数3-9；</w:t>
            </w:r>
          </w:p>
          <w:p>
            <w:pPr>
              <w:spacing w:line="0" w:lineRule="atLeast"/>
              <w:rPr>
                <w:rFonts w:ascii="仿宋_GB2312" w:hAnsi="宋体" w:eastAsia="仿宋_GB2312" w:cs="宋体"/>
                <w:kern w:val="0"/>
                <w:szCs w:val="21"/>
              </w:rPr>
            </w:pPr>
            <w:r>
              <w:rPr>
                <w:rFonts w:ascii="仿宋_GB2312" w:hAnsi="宋体" w:eastAsia="仿宋_GB2312" w:cs="宋体"/>
                <w:kern w:val="0"/>
                <w:szCs w:val="21"/>
              </w:rPr>
              <w:t>3</w:t>
            </w:r>
            <w:r>
              <w:rPr>
                <w:rFonts w:hint="eastAsia" w:ascii="仿宋_GB2312" w:hAnsi="宋体" w:eastAsia="仿宋_GB2312" w:cs="宋体"/>
                <w:kern w:val="0"/>
                <w:szCs w:val="21"/>
              </w:rPr>
              <w:t>. 餐饮服务单位知道或者应当知道无资质收运单位和个人收集厨余垃圾用于生产“地沟油”而继续交运的，系数9。</w:t>
            </w:r>
          </w:p>
        </w:tc>
        <w:tc>
          <w:tcPr>
            <w:tcW w:w="1843"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存在下列情形的，可视为“情节严重”：</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w:t>
            </w:r>
          </w:p>
        </w:tc>
        <w:tc>
          <w:tcPr>
            <w:tcW w:w="1134" w:type="dxa"/>
            <w:gridSpan w:val="2"/>
            <w:shd w:val="clear" w:color="auto" w:fill="auto"/>
            <w:vAlign w:val="center"/>
          </w:tcPr>
          <w:p>
            <w:pPr>
              <w:rPr>
                <w:rFonts w:ascii="仿宋_GB2312" w:eastAsia="仿宋_GB2312"/>
                <w:szCs w:val="21"/>
              </w:rPr>
            </w:pPr>
            <w:r>
              <w:rPr>
                <w:rFonts w:hint="eastAsia" w:ascii="仿宋_GB2312" w:eastAsia="仿宋_GB2312"/>
                <w:szCs w:val="21"/>
              </w:rPr>
              <w:t>无资质单位和个人擅自收集、运输厨余垃圾</w:t>
            </w:r>
          </w:p>
        </w:tc>
        <w:tc>
          <w:tcPr>
            <w:tcW w:w="4252" w:type="dxa"/>
            <w:gridSpan w:val="8"/>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违反条款：第四十七条第三款；处罚条款：第七十三条第三款 暂扣其车辆，没收违法收运的厨余垃圾及其容器，处1万元以上10万元以下罚款。</w:t>
            </w:r>
          </w:p>
        </w:tc>
        <w:tc>
          <w:tcPr>
            <w:tcW w:w="992"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09"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长期无资质收运厨余垃圾的，系数3；2.同时存在随意倾倒、丢弃、堆放等情形的，系数3-5；3.未经无害化处理用于饲养畜禽的，系数3-5；4.知道是“食用油”非法生产企业和个人而出售，或者直接将收集的厨余垃圾用于生产“地沟油”的，系数9。</w:t>
            </w:r>
          </w:p>
        </w:tc>
        <w:tc>
          <w:tcPr>
            <w:tcW w:w="1843" w:type="dxa"/>
            <w:gridSpan w:val="5"/>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268" w:type="dxa"/>
            <w:gridSpan w:val="3"/>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28</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集中转运、处理设施的运行管理单位未按规定和标准处理生活垃圾</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违反条款：第五十一条第一款第（一）项；处罚条款：第七十四条第一款 责令限期改正，处3万元以上10万元以下罚款；情节严重的，由城市管理综合执法部门吊销生活垃圾处理经营许可证。</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 依据京政发〔2017〕32号，存在上述情形之一，拟作出吊销处罚的，作出处罚决定前，要邀请职权划出部门共同会商；对于可能影响公共利益的，提请职权划出部门拟定接管方案。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29</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生活垃圾集中转运、处理设施排放未达标</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违反条款：第五十一条第一款第（二）项；处罚条款：第七十四条第一款 责令限期改正，处3万元以上10万元以下罚款；情节严重的，由城市管理综合执法部门吊销生活垃圾处理经营许可证。</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未按要求对生活垃圾等处理过程中常规参数进行检测</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违反条款：第五十一条第一款第（三）项；处罚条款：第七十四条第二款 责令限期改正，处3万元以上10万元以下罚款。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1</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未按要求对生活垃圾处理设施相关指标进行检测</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违反条款：第五十一条第一款第（四）项；处罚条款：第七十四条第二款 责令限期改正，处3万元以上10万元以下罚款。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2</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未按要求传送生活垃圾处理设施相关指标检测数据</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违反条款：第五十一条第一款第（四）项；处罚条款：第七十四条第二款 责令限期改正，处2000元以上2万元以下罚款。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1.长期未按要求传送，未如实传送数据的，系数2；2.造成较严重后果的，系数2-9。</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3</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未落实生活垃圾处理台帐制度</w:t>
            </w:r>
          </w:p>
        </w:tc>
        <w:tc>
          <w:tcPr>
            <w:tcW w:w="42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违反条款：第五十一条第一款第（五）项；处罚条款：第七十四条第三款 责令限期改正，处1000元以上1万元以下罚款；情节严重的，由城市管理综合执法部门吊销生活垃圾处理经营许可证。</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1.长期未落实相关制度、未如实传送相关数据的，系数2；2.造成较严重后果的，系数2-9。</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 依据京政发〔2017〕32号，存在上述情形之一，拟作出吊销处罚的，作出处罚决定前，要邀请职权划出部门共同会商；对于可能影响公共利益的，提请职权划出部门拟定接管方案。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4</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未按要求公开设施污染控制监测指标和处理设施运行数据</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违反条款：第五十一条第一款第（六）项；处罚条款：第七十四条第四款 责令立即改正，处2000元罚款；拒不改正的，处5000元以上3万元以下罚款。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5000（拒不改正的）</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325"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5</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未按要求对外开放生活垃圾集中转运、处理设施</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违反条款：第五十一条第一款第（七）项；处罚条款：第七十四条第四款 责令立即改正，处2000元罚款；拒不改正的，处5000元以上3万元以下罚款。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5000（拒不改正的）</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774" w:hRule="atLeast"/>
          <w:jc w:val="center"/>
        </w:trPr>
        <w:tc>
          <w:tcPr>
            <w:tcW w:w="568"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6</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Cs w:val="21"/>
              </w:rPr>
            </w:pPr>
            <w:r>
              <w:rPr>
                <w:rFonts w:hint="eastAsia" w:ascii="仿宋_GB2312" w:eastAsia="仿宋_GB2312"/>
                <w:szCs w:val="21"/>
              </w:rPr>
              <w:t>再生资源回收经营者未分类贮存物品</w:t>
            </w:r>
          </w:p>
        </w:tc>
        <w:tc>
          <w:tcPr>
            <w:tcW w:w="4252" w:type="dxa"/>
            <w:gridSpan w:val="8"/>
            <w:vMerge w:val="restart"/>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000000"/>
                <w:szCs w:val="21"/>
              </w:rPr>
            </w:pPr>
            <w:r>
              <w:rPr>
                <w:rFonts w:hint="eastAsia" w:ascii="仿宋_GB2312" w:eastAsia="仿宋_GB2312"/>
                <w:color w:val="000000"/>
                <w:szCs w:val="21"/>
              </w:rPr>
              <w:t>违反条款：第三十一条第一款第（三）项；处罚条款：第六十六条由区城市管理综合执法部门责令限期改正，处1000元以上5000元以下罚款；再次违反规定的，处5000元以上1万元以下罚款。</w:t>
            </w: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1000（初次违反）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初次违反适用此情形。</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一年度内有2次同类性质违法行为，并受到本市城管执法机关书面告诫的，情节系数1；受到行政处罚的，适用“再次违反”的情形。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75" w:type="dxa"/>
          <w:wAfter w:w="73" w:type="dxa"/>
          <w:trHeight w:val="1525" w:hRule="atLeast"/>
          <w:jc w:val="center"/>
        </w:trPr>
        <w:tc>
          <w:tcPr>
            <w:tcW w:w="568"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Cs w:val="21"/>
              </w:rPr>
            </w:pPr>
          </w:p>
        </w:tc>
        <w:tc>
          <w:tcPr>
            <w:tcW w:w="4252" w:type="dxa"/>
            <w:gridSpan w:val="8"/>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000000"/>
                <w:szCs w:val="21"/>
              </w:rPr>
            </w:pPr>
          </w:p>
        </w:tc>
        <w:tc>
          <w:tcPr>
            <w:tcW w:w="9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5000（再次违反）</w:t>
            </w: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58" w:type="dxa"/>
            <w:gridSpan w:val="34"/>
            <w:shd w:val="clear" w:color="auto" w:fill="auto"/>
            <w:noWrap/>
            <w:vAlign w:val="center"/>
          </w:tcPr>
          <w:p>
            <w:pPr>
              <w:pStyle w:val="3"/>
              <w:rPr>
                <w:rFonts w:ascii="仿宋_GB2312" w:eastAsia="仿宋_GB2312"/>
                <w:szCs w:val="30"/>
              </w:rPr>
            </w:pPr>
            <w:bookmarkStart w:id="4" w:name="_Toc39911667"/>
            <w:r>
              <w:rPr>
                <w:rFonts w:hint="eastAsia"/>
                <w:szCs w:val="30"/>
              </w:rPr>
              <w:t>《城市生活垃圾管理办法》案由11项</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未按规定缴纳城市生活垃圾处理费</w:t>
            </w:r>
          </w:p>
        </w:tc>
        <w:tc>
          <w:tcPr>
            <w:tcW w:w="4318" w:type="dxa"/>
            <w:gridSpan w:val="8"/>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961" w:type="dxa"/>
            <w:gridSpan w:val="4"/>
            <w:shd w:val="clear" w:color="auto" w:fill="auto"/>
            <w:noWrap/>
            <w:vAlign w:val="center"/>
          </w:tcPr>
          <w:p>
            <w:pPr>
              <w:widowControl/>
              <w:spacing w:line="30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30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未按规定配套建设城市生活垃圾收集设施</w:t>
            </w:r>
          </w:p>
        </w:tc>
        <w:tc>
          <w:tcPr>
            <w:tcW w:w="4318" w:type="dxa"/>
            <w:gridSpan w:val="8"/>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违反条款：第十条；处罚条款：第三十九条，责令限期改正，并可处以1万元以下的罚款。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00" w:lineRule="exact"/>
              <w:rPr>
                <w:rFonts w:ascii="仿宋_GB2312" w:eastAsia="仿宋_GB2312"/>
                <w:szCs w:val="21"/>
              </w:rPr>
            </w:pPr>
            <w:r>
              <w:rPr>
                <w:rFonts w:hint="eastAsia" w:ascii="仿宋_GB2312" w:eastAsia="仿宋_GB2312"/>
                <w:szCs w:val="21"/>
              </w:rPr>
              <w:t>1.发生在天安门周边、长安街沿线及周边、主要商业繁华场所周边、机场车站等大型交通枢纽周边的，系数3；2.发生在其它重点大街、其它交通枢纽周边，或者主要旅游景区周边的，系数2；3.发生在城市居住区或者其它人口集中地区周边的，系数为2；4.同时存在其它违法行为，或者对环境秩序造成较严重影响的，系数2。</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eastAsia="仿宋_GB2312"/>
                <w:szCs w:val="21"/>
              </w:rPr>
              <w:t>拟作出1000元以下罚款，说明理由并报案审会决定。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擅自关闭、闲置或者拆除城市生活垃圾处置设施、场所</w:t>
            </w:r>
          </w:p>
        </w:tc>
        <w:tc>
          <w:tcPr>
            <w:tcW w:w="4318" w:type="dxa"/>
            <w:gridSpan w:val="8"/>
            <w:shd w:val="clear" w:color="auto" w:fill="auto"/>
            <w:vAlign w:val="center"/>
          </w:tcPr>
          <w:p>
            <w:pPr>
              <w:spacing w:line="300" w:lineRule="exact"/>
              <w:rPr>
                <w:rFonts w:ascii="仿宋_GB2312" w:hAnsi="宋体" w:eastAsia="仿宋_GB2312" w:cs="宋体"/>
                <w:sz w:val="24"/>
              </w:rPr>
            </w:pPr>
            <w:r>
              <w:rPr>
                <w:rFonts w:hint="eastAsia" w:ascii="仿宋_GB2312" w:eastAsia="仿宋_GB2312"/>
              </w:rPr>
              <w:t>违反条款：第十三条；处罚条款：第四十一条，责令停止违法行为，限期改正，处以1万元以上10万元以下的罚款。</w:t>
            </w:r>
          </w:p>
        </w:tc>
        <w:tc>
          <w:tcPr>
            <w:tcW w:w="961" w:type="dxa"/>
            <w:gridSpan w:val="4"/>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spacing w:line="300" w:lineRule="exact"/>
            </w:pPr>
            <w:r>
              <w:rPr>
                <w:rFonts w:hint="eastAsia" w:ascii="仿宋_GB2312" w:eastAsia="仿宋_GB2312"/>
              </w:rPr>
              <w:t>1</w:t>
            </w:r>
          </w:p>
        </w:tc>
        <w:tc>
          <w:tcPr>
            <w:tcW w:w="3600" w:type="dxa"/>
            <w:gridSpan w:val="7"/>
            <w:shd w:val="clear" w:color="auto" w:fill="auto"/>
            <w:vAlign w:val="center"/>
          </w:tcPr>
          <w:p>
            <w:pPr>
              <w:widowControl/>
              <w:spacing w:line="300" w:lineRule="exact"/>
              <w:rPr>
                <w:rFonts w:ascii="仿宋_GB2312" w:eastAsia="仿宋_GB2312"/>
              </w:rPr>
            </w:pPr>
            <w:r>
              <w:rPr>
                <w:rFonts w:hint="eastAsia" w:ascii="仿宋_GB2312" w:eastAsia="仿宋_GB2312"/>
              </w:rPr>
              <w:t>擅自关闭、闲置或者拆除居住区、办公区配建处理设施、场所的，系数为1；擅自关闭、闲置或者拆除消纳场等集中处理设施和场所的，系数为2；较大餐饮服务单位违法，系数2；大型蔬菜果品批发市场、物流配送中心违法，系数2；造成较大社会影响或者严重后果的其它情形，系数4-9。</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随意倾倒、抛洒、堆放城市生活垃圾</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违反条款：第十六条第四款；处罚条款：第四十二条，责令停止违法行为，限期改正，对单位处以5000元以上5万元以下的罚款。个人有以上行为的，处以200元以下的罚款。</w:t>
            </w:r>
          </w:p>
        </w:tc>
        <w:tc>
          <w:tcPr>
            <w:tcW w:w="961" w:type="dxa"/>
            <w:gridSpan w:val="4"/>
            <w:shd w:val="clear" w:color="auto" w:fill="auto"/>
            <w:noWrap/>
            <w:vAlign w:val="center"/>
          </w:tcPr>
          <w:p>
            <w:pPr>
              <w:spacing w:line="0" w:lineRule="atLeast"/>
              <w:rPr>
                <w:rFonts w:ascii="仿宋_GB2312" w:eastAsia="仿宋_GB2312"/>
              </w:rPr>
            </w:pPr>
            <w:r>
              <w:rPr>
                <w:rFonts w:hint="eastAsia" w:ascii="仿宋_GB2312" w:eastAsia="仿宋_GB2312"/>
              </w:rPr>
              <w:t>5000</w:t>
            </w:r>
          </w:p>
          <w:p>
            <w:pPr>
              <w:spacing w:line="0" w:lineRule="atLeast"/>
              <w:rPr>
                <w:rFonts w:ascii="仿宋_GB2312" w:eastAsia="仿宋_GB2312"/>
              </w:rPr>
            </w:pPr>
            <w:r>
              <w:rPr>
                <w:rFonts w:hint="eastAsia" w:ascii="仿宋_GB2312" w:eastAsia="仿宋_GB2312"/>
              </w:rPr>
              <w:t>（单位）</w:t>
            </w:r>
          </w:p>
        </w:tc>
        <w:tc>
          <w:tcPr>
            <w:tcW w:w="720" w:type="dxa"/>
            <w:gridSpan w:val="2"/>
            <w:shd w:val="clear" w:color="auto" w:fill="auto"/>
            <w:noWrap/>
            <w:vAlign w:val="center"/>
          </w:tcPr>
          <w:p>
            <w:pPr>
              <w:spacing w:line="0" w:lineRule="atLeast"/>
              <w:rPr>
                <w:rFonts w:ascii="仿宋_GB2312" w:eastAsia="仿宋_GB2312"/>
              </w:rPr>
            </w:pPr>
            <w:r>
              <w:rPr>
                <w:rFonts w:hint="eastAsia" w:ascii="仿宋_GB2312" w:eastAsia="仿宋_GB2312"/>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1．垃圾占地面积在5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eastAsia="仿宋_GB2312"/>
              </w:rPr>
            </w:pPr>
            <w:r>
              <w:rPr>
                <w:rFonts w:hint="eastAsia" w:ascii="仿宋_GB2312" w:eastAsia="仿宋_GB2312"/>
              </w:rPr>
              <w:t>（个人）</w:t>
            </w:r>
          </w:p>
        </w:tc>
        <w:tc>
          <w:tcPr>
            <w:tcW w:w="720" w:type="dxa"/>
            <w:gridSpan w:val="2"/>
            <w:shd w:val="clear" w:color="auto" w:fill="auto"/>
            <w:noWrap/>
            <w:vAlign w:val="center"/>
          </w:tcPr>
          <w:p>
            <w:pPr>
              <w:widowControl/>
              <w:spacing w:line="0" w:lineRule="atLeast"/>
              <w:rPr>
                <w:rFonts w:ascii="仿宋_GB2312" w:eastAsia="仿宋_GB2312"/>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未经批准从事城市生活垃圾经营性清扫、收集、运输活动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违反条款：第十七条；处罚条款：第四十三条，责令停止违法行为，并处以3万元的罚款。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未经批准从事城市生活垃圾经营性处置活动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违反条款：第二十五条；处罚条款：第四十三条，责令停止违法行为，并处以3万元的罚款。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从事城市生活垃圾经营性清扫、收集、运输的企业在运输过程中沿途丢弃、遗撒生活垃圾</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违反条款：第二十一条第（三）项；处罚条款：第四十四条，责令停止违法行为，限期改正，处以5000元以上5万元以下的罚款。</w:t>
            </w:r>
          </w:p>
        </w:tc>
        <w:tc>
          <w:tcPr>
            <w:tcW w:w="961" w:type="dxa"/>
            <w:gridSpan w:val="4"/>
            <w:shd w:val="clear" w:color="auto" w:fill="auto"/>
            <w:noWrap/>
            <w:vAlign w:val="center"/>
          </w:tcPr>
          <w:p>
            <w:pPr>
              <w:spacing w:line="0" w:lineRule="atLeast"/>
              <w:rPr>
                <w:rFonts w:ascii="仿宋_GB2312" w:eastAsia="仿宋_GB2312"/>
              </w:rPr>
            </w:pPr>
            <w:r>
              <w:rPr>
                <w:rFonts w:hint="eastAsia" w:ascii="仿宋_GB2312" w:eastAsia="仿宋_GB2312"/>
              </w:rPr>
              <w:t>5000</w:t>
            </w:r>
          </w:p>
        </w:tc>
        <w:tc>
          <w:tcPr>
            <w:tcW w:w="720" w:type="dxa"/>
            <w:gridSpan w:val="2"/>
            <w:shd w:val="clear" w:color="auto" w:fill="auto"/>
            <w:noWrap/>
            <w:vAlign w:val="center"/>
          </w:tcPr>
          <w:p>
            <w:pPr>
              <w:spacing w:line="0" w:lineRule="atLeast"/>
              <w:rPr>
                <w:rFonts w:ascii="仿宋_GB2312" w:eastAsia="仿宋_GB2312"/>
              </w:rPr>
            </w:pPr>
            <w:r>
              <w:rPr>
                <w:rFonts w:hint="eastAsia" w:ascii="仿宋_GB2312" w:eastAsia="仿宋_GB2312"/>
              </w:rPr>
              <w:t>1</w:t>
            </w:r>
          </w:p>
        </w:tc>
        <w:tc>
          <w:tcPr>
            <w:tcW w:w="3600" w:type="dxa"/>
            <w:gridSpan w:val="7"/>
            <w:shd w:val="clear" w:color="auto" w:fill="auto"/>
            <w:vAlign w:val="center"/>
          </w:tcPr>
          <w:p>
            <w:pPr>
              <w:spacing w:line="0" w:lineRule="atLeast"/>
              <w:rPr>
                <w:rFonts w:ascii="仿宋_GB2312" w:eastAsia="仿宋_GB2312"/>
              </w:rPr>
            </w:pPr>
            <w:r>
              <w:rPr>
                <w:rFonts w:hint="eastAsia" w:ascii="仿宋_GB2312" w:eastAsia="仿宋_GB2312"/>
              </w:rPr>
              <w:t>污染道路长21－30米的，系数1；31－40米的，系数2；以此类推。</w:t>
            </w:r>
          </w:p>
        </w:tc>
        <w:tc>
          <w:tcPr>
            <w:tcW w:w="1740" w:type="dxa"/>
            <w:gridSpan w:val="2"/>
            <w:shd w:val="clear" w:color="auto" w:fill="auto"/>
            <w:vAlign w:val="center"/>
          </w:tcPr>
          <w:p>
            <w:pPr>
              <w:spacing w:line="0" w:lineRule="atLeast"/>
              <w:rPr>
                <w:rFonts w:ascii="仿宋_GB2312" w:eastAsia="仿宋_GB2312"/>
              </w:rPr>
            </w:pPr>
            <w:r>
              <w:rPr>
                <w:rFonts w:hint="eastAsia" w:ascii="仿宋_GB2312" w:eastAsia="仿宋_GB2312"/>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从事城市生活垃圾经营性清扫、收集、运输的企业未履行规定义务</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违反条款：第二十条；处罚条款：第四十五条，责令限期改正，并可处以5000元以上3万元以下的罚款。造成损失的，依法承担赔偿责任</w:t>
            </w:r>
          </w:p>
        </w:tc>
        <w:tc>
          <w:tcPr>
            <w:tcW w:w="961" w:type="dxa"/>
            <w:gridSpan w:val="4"/>
            <w:shd w:val="clear" w:color="auto" w:fill="auto"/>
            <w:noWrap/>
            <w:vAlign w:val="center"/>
          </w:tcPr>
          <w:p>
            <w:pPr>
              <w:spacing w:line="0" w:lineRule="atLeast"/>
              <w:rPr>
                <w:rFonts w:ascii="仿宋_GB2312" w:eastAsia="仿宋_GB2312"/>
              </w:rPr>
            </w:pPr>
            <w:r>
              <w:rPr>
                <w:rFonts w:hint="eastAsia" w:ascii="仿宋_GB2312" w:eastAsia="仿宋_GB2312"/>
              </w:rPr>
              <w:t>5000</w:t>
            </w:r>
          </w:p>
        </w:tc>
        <w:tc>
          <w:tcPr>
            <w:tcW w:w="720" w:type="dxa"/>
            <w:gridSpan w:val="2"/>
            <w:shd w:val="clear" w:color="auto" w:fill="auto"/>
            <w:noWrap/>
            <w:vAlign w:val="center"/>
          </w:tcPr>
          <w:p>
            <w:pPr>
              <w:spacing w:line="0" w:lineRule="atLeast"/>
              <w:rPr>
                <w:rFonts w:ascii="仿宋_GB2312" w:eastAsia="仿宋_GB2312"/>
              </w:rPr>
            </w:pPr>
            <w:r>
              <w:rPr>
                <w:rFonts w:hint="eastAsia" w:ascii="仿宋_GB2312" w:eastAsia="仿宋_GB2312"/>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未按要求收运的</w:t>
            </w:r>
            <w:r>
              <w:rPr>
                <w:rFonts w:hint="eastAsia" w:ascii="仿宋_GB2312" w:eastAsia="仿宋_GB2312"/>
                <w:szCs w:val="21"/>
              </w:rPr>
              <w:t>垃圾总量较多、违法行为持续时间较长、对环境秩序造成较严重影响的，系数1-5</w:t>
            </w:r>
            <w:r>
              <w:rPr>
                <w:rFonts w:hint="eastAsia" w:ascii="仿宋_GB2312" w:hAnsi="宋体" w:eastAsia="仿宋_GB2312" w:cs="宋体"/>
                <w:kern w:val="0"/>
                <w:szCs w:val="21"/>
              </w:rPr>
              <w:t>。</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注意与《北京市生活垃圾管理条例》的衔接，原则上优先适用《北京市生活垃圾管理条例》。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从事城市生活垃圾经营性处置的企业未履行规定义务</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违反条款：第二十八条；处罚条款：第四十五条，责令限期改正，并可处以3万元以上10万元以下的罚款。造成损失的，依法承担赔偿责任</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参照办法规定，并根据实际情况处罚。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从事城市生活垃圾经营性清扫、收集、运输的企业未经批准擅自停业、歇业的</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违反条款：第二十一条第（二）项,第三十五条第一款；处罚条款：第四十六条，责令限期改正，并可处以1万元以上3万元以下罚款。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参照办法规定，并根据实际情况处罚。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从事城市生活垃圾经营性处置的企业未经批准擅自停业、歇业的</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违反条款：第三十五条第一款；处罚条款：第四十六条，责令限期改正，并可处以5万元以上10万元以下罚款。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参照办法规定，并根据实际情况处罚。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458" w:type="dxa"/>
            <w:gridSpan w:val="34"/>
            <w:shd w:val="clear" w:color="auto" w:fill="auto"/>
            <w:noWrap/>
            <w:vAlign w:val="center"/>
          </w:tcPr>
          <w:p>
            <w:pPr>
              <w:pStyle w:val="3"/>
              <w:rPr>
                <w:rFonts w:ascii="仿宋_GB2312" w:eastAsia="仿宋_GB2312"/>
                <w:szCs w:val="30"/>
              </w:rPr>
            </w:pPr>
            <w:bookmarkStart w:id="5" w:name="_Toc39911668"/>
            <w:r>
              <w:rPr>
                <w:rFonts w:hint="eastAsia"/>
                <w:szCs w:val="30"/>
              </w:rPr>
              <w:t>《城市建筑垃圾管理规定》案由11项</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将建筑垃圾混入生活垃圾</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违反条款：第九条；处罚条款：第二十条第一款第（一）项及第二款，责令限期改正，予以警告；对单位处3000元以下罚款；对个人处200元以下罚款。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原则按照《北京市市容环境卫生条例》“违反规定倾倒建筑废弃物”、《北京市生活垃圾管理条例》“生活垃圾混装混运”等案由适用。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eastAsia="仿宋_GB2312"/>
              </w:rPr>
            </w:pPr>
            <w:r>
              <w:rPr>
                <w:rFonts w:hint="eastAsia" w:ascii="仿宋_GB2312" w:eastAsia="仿宋_GB2312"/>
              </w:rPr>
              <w:t>将危险废物混入建筑垃圾</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违反条款：第九条；处罚条款：第二十条第一款第（二）项及第二款，责令限期改正，予以警告；对单位处3000元以下罚款；对个人处200元以下罚款。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根据实际情况酌定处罚，原则上建议高限处罚。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擅自设立弃置场受纳建筑垃圾</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违反条款：第九条；处罚条款：第二十条第一款第（三）项及第二款，责令限期改正，予以警告；对单位处5000元以上1万元以下罚款；对个人处3000元以下罚款。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b/>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根据实际情况酌定处罚，原则上建议高限处罚。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建筑垃圾储运消纳场受纳工业垃圾、生活垃圾和有毒有害垃圾</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违反条款：第十条；处罚条款：第二十一条，责令限期改正，给予警告，处5000元以上1万元以下罚款。 </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未及时清运工程施工过程中产生的建筑垃圾造成环境污染</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违反条款：第十二条；处罚条款：第二十二条第一款，责令限期改正，给予警告，处5000元以上5万元以下罚款。 </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1.垃圾占地面积10</w:t>
            </w:r>
            <w:r>
              <w:rPr>
                <w:rFonts w:ascii="Batang" w:hAnsi="Batang" w:eastAsia="仿宋_GB2312" w:cs="Batang"/>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ascii="Batang" w:hAnsi="Batang" w:eastAsia="仿宋_GB2312" w:cs="Batang"/>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1；16－20</w:t>
            </w:r>
            <w:r>
              <w:rPr>
                <w:rFonts w:ascii="Batang" w:hAnsi="Batang" w:eastAsia="仿宋_GB2312" w:cs="Batang"/>
                <w:kern w:val="0"/>
                <w:szCs w:val="21"/>
              </w:rPr>
              <w:t>㎡</w:t>
            </w:r>
            <w:r>
              <w:rPr>
                <w:rFonts w:hint="eastAsia" w:ascii="仿宋_GB2312" w:hAnsi="仿宋_GB2312" w:eastAsia="仿宋_GB2312" w:cs="仿宋_GB2312"/>
                <w:kern w:val="0"/>
                <w:szCs w:val="21"/>
              </w:rPr>
              <w:t>系</w:t>
            </w:r>
            <w:r>
              <w:rPr>
                <w:rFonts w:hint="eastAsia" w:ascii="仿宋_GB2312" w:hAnsi="宋体" w:eastAsia="仿宋_GB2312" w:cs="宋体"/>
                <w:kern w:val="0"/>
                <w:szCs w:val="21"/>
              </w:rPr>
              <w:t>数2，以此类推。2.逾期不清的，每逾期2天，系数为１，以此累加。3.造成尘土飞扬，严重污染环境的，系数为9。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优先适用《大气污染防治法》“未及时清运建筑土方（工程渣土、建筑垃圾）”案由和裁量执行，以此案由为补充。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施工单位将建筑垃圾交给个人或者未经核准从事建筑垃圾运输的单位处置</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违反条款：第十三条；处罚条款：第二十二条第二款，责令限期改正，给予警告，处1万元以上10万元以下罚款。 </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根据违规交运或者处置的</w:t>
            </w:r>
            <w:r>
              <w:rPr>
                <w:rFonts w:hint="eastAsia" w:ascii="仿宋_GB2312" w:eastAsia="仿宋_GB2312"/>
                <w:szCs w:val="21"/>
              </w:rPr>
              <w:t>垃圾数量、持续时间、对环境秩序较造成的影响等因素，在1-9之间确定变量系数。</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处置建筑垃圾的单位在运输建筑垃圾过程中沿途丢弃、遗撒建筑垃圾</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违反条款：第十四条；处罚条款：第二十三条，责令限期改正，给予警告，处5000元以上5万元以下罚款。 </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涂改、倒卖、出租、出借或者以其它形式非法转让城市建筑垃圾处置核准文件</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 xml:space="preserve">违反条款：第八条；处罚条款：第二十四条，责令限期改正，给予警告，处5000元以上2万元以下罚款。 </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根据实际情况酌定处罚；原则上建议高限处罚。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rPr>
                <w:rFonts w:ascii="仿宋_GB2312" w:eastAsia="仿宋_GB2312"/>
              </w:rPr>
            </w:pPr>
            <w:r>
              <w:rPr>
                <w:rFonts w:hint="eastAsia" w:ascii="仿宋_GB2312" w:eastAsia="仿宋_GB2312"/>
              </w:rPr>
              <w:t>9</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未经核准擅自处置建筑垃圾</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违反条款：第七条第一款；处罚条款：第二十五条第（一）项，责令限期改正，给予警告，对施工单位处1万元以上10万元以下罚款，对建设单位、运输建筑垃圾的单位处5000元以上3万元以下罚款：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vMerge w:val="restart"/>
            <w:shd w:val="clear" w:color="auto" w:fill="auto"/>
            <w:noWrap/>
            <w:vAlign w:val="center"/>
          </w:tcPr>
          <w:p>
            <w:pPr>
              <w:widowControl/>
              <w:spacing w:line="240" w:lineRule="exact"/>
              <w:rPr>
                <w:rFonts w:ascii="仿宋_GB2312" w:eastAsia="仿宋_GB2312"/>
              </w:rPr>
            </w:pPr>
            <w:r>
              <w:rPr>
                <w:rFonts w:hint="eastAsia" w:ascii="仿宋_GB2312" w:eastAsia="仿宋_GB2312"/>
              </w:rPr>
              <w:t>相关违法行为，建议按照《北京市市容环境卫生条例》“未办理渣土消纳许可证”、“无准运证件运输”等案由，及《北京市生活垃圾管理条例》等规定执行，以《城市建筑垃圾管理规定》为补充，适用后者实施高额处罚的，需说明理由，并报经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rPr>
                <w:rFonts w:ascii="仿宋_GB2312" w:eastAsia="仿宋_GB2312"/>
              </w:rPr>
            </w:pPr>
            <w:r>
              <w:rPr>
                <w:rFonts w:hint="eastAsia" w:ascii="仿宋_GB2312" w:eastAsia="仿宋_GB2312"/>
              </w:rPr>
              <w:t>10</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处置超出核准范围的建筑垃圾</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违反条款：第十四条；处罚条款：第二十五条第（二）项，责令限期改正，给予警告，对施工单位处1万元以上10万元以下罚款，对建设单位、运输建筑垃圾的单位处5000元以上3万元以下罚款。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vMerge w:val="continue"/>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随意倾倒、抛撒或者堆放建筑垃圾</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违反条款：第十五条；处罚条款：第二十六条：责令限期改正，给予警告，并对单位处5000元以上5万元以下罚款，对个人处200元以下罚款。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eastAsia="仿宋_GB2312"/>
                <w:szCs w:val="21"/>
              </w:rPr>
              <w:t>违法行为持续时间较长、对环境秩序造成较严重影响的，系数3-9；</w:t>
            </w:r>
            <w:r>
              <w:rPr>
                <w:rFonts w:hint="eastAsia" w:ascii="仿宋_GB2312" w:hAnsi="宋体" w:eastAsia="仿宋_GB2312" w:cs="宋体"/>
                <w:kern w:val="0"/>
                <w:szCs w:val="21"/>
              </w:rPr>
              <w:t>2.将垃圾随意倾倒、丢弃、堆放至绿地、公厕、城市道路等公共场所，或者燃气、供暖等公用管道和设施保护（管理）范围的，或者农田内的，系数3；沿途遗撒的，污染道路长21－30米的，系数1；31－40米的，系数2；以此类推。</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3"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hAnsi="宋体" w:eastAsia="仿宋_GB2312" w:cs="宋体"/>
                <w:sz w:val="24"/>
              </w:rPr>
            </w:pPr>
          </w:p>
        </w:tc>
        <w:tc>
          <w:tcPr>
            <w:tcW w:w="4318" w:type="dxa"/>
            <w:gridSpan w:val="8"/>
            <w:vMerge w:val="continue"/>
            <w:shd w:val="clear" w:color="auto" w:fill="auto"/>
            <w:vAlign w:val="center"/>
          </w:tcPr>
          <w:p>
            <w:pPr>
              <w:spacing w:line="240" w:lineRule="exact"/>
              <w:rPr>
                <w:rFonts w:ascii="仿宋_GB2312" w:hAnsi="宋体" w:eastAsia="仿宋_GB2312" w:cs="宋体"/>
                <w:sz w:val="24"/>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458" w:type="dxa"/>
            <w:gridSpan w:val="34"/>
            <w:shd w:val="clear" w:color="auto" w:fill="auto"/>
            <w:noWrap/>
            <w:vAlign w:val="center"/>
          </w:tcPr>
          <w:p>
            <w:pPr>
              <w:pStyle w:val="3"/>
              <w:rPr>
                <w:rFonts w:ascii="仿宋_GB2312" w:eastAsia="仿宋_GB2312"/>
                <w:szCs w:val="30"/>
              </w:rPr>
            </w:pPr>
            <w:bookmarkStart w:id="6" w:name="_Toc39911669"/>
            <w:r>
              <w:rPr>
                <w:rFonts w:hint="eastAsia"/>
                <w:szCs w:val="30"/>
              </w:rPr>
              <w:t>《中华人民共和国固体废物污染环境防治法》案由5项</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随意倾倒、抛撒或者堆放生活垃圾</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违反条款：第四十条；处罚条款：第七十四条第一款第（一）项、第二款，责令停止违法行为，限期改正，对单位处五千元以上五万元以下罚款。对个人，处二百元以下罚款。</w:t>
            </w:r>
          </w:p>
        </w:tc>
        <w:tc>
          <w:tcPr>
            <w:tcW w:w="961" w:type="dxa"/>
            <w:gridSpan w:val="4"/>
            <w:shd w:val="clear" w:color="auto" w:fill="auto"/>
            <w:noWrap/>
            <w:vAlign w:val="center"/>
          </w:tcPr>
          <w:p>
            <w:pPr>
              <w:spacing w:line="0" w:lineRule="atLeast"/>
              <w:rPr>
                <w:rFonts w:ascii="仿宋_GB2312" w:eastAsia="仿宋_GB2312"/>
              </w:rPr>
            </w:pPr>
            <w:r>
              <w:rPr>
                <w:rFonts w:hint="eastAsia" w:ascii="仿宋_GB2312" w:eastAsia="仿宋_GB2312"/>
              </w:rPr>
              <w:t>5000</w:t>
            </w:r>
          </w:p>
          <w:p>
            <w:pPr>
              <w:spacing w:line="0" w:lineRule="atLeast"/>
              <w:rPr>
                <w:rFonts w:ascii="仿宋_GB2312" w:eastAsia="仿宋_GB2312"/>
              </w:rPr>
            </w:pPr>
            <w:r>
              <w:rPr>
                <w:rFonts w:hint="eastAsia" w:ascii="仿宋_GB2312" w:eastAsia="仿宋_GB2312"/>
              </w:rPr>
              <w:t>（单位）</w:t>
            </w:r>
          </w:p>
        </w:tc>
        <w:tc>
          <w:tcPr>
            <w:tcW w:w="720" w:type="dxa"/>
            <w:gridSpan w:val="2"/>
            <w:shd w:val="clear" w:color="auto" w:fill="auto"/>
            <w:noWrap/>
            <w:vAlign w:val="center"/>
          </w:tcPr>
          <w:p>
            <w:pPr>
              <w:spacing w:line="0" w:lineRule="atLeast"/>
              <w:rPr>
                <w:rFonts w:ascii="仿宋_GB2312" w:eastAsia="仿宋_GB2312"/>
              </w:rPr>
            </w:pPr>
            <w:r>
              <w:rPr>
                <w:rFonts w:hint="eastAsia" w:ascii="仿宋_GB2312" w:eastAsia="仿宋_GB2312"/>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1．垃圾占地面积在5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eastAsia="仿宋_GB2312"/>
              </w:rPr>
            </w:pPr>
            <w:r>
              <w:rPr>
                <w:rFonts w:hint="eastAsia" w:ascii="仿宋_GB2312" w:eastAsia="仿宋_GB2312"/>
              </w:rPr>
              <w:t>（个人）</w:t>
            </w:r>
          </w:p>
        </w:tc>
        <w:tc>
          <w:tcPr>
            <w:tcW w:w="720" w:type="dxa"/>
            <w:gridSpan w:val="2"/>
            <w:shd w:val="clear" w:color="auto" w:fill="auto"/>
            <w:noWrap/>
            <w:vAlign w:val="center"/>
          </w:tcPr>
          <w:p>
            <w:pPr>
              <w:widowControl/>
              <w:spacing w:line="0" w:lineRule="atLeast"/>
              <w:rPr>
                <w:rFonts w:ascii="仿宋_GB2312" w:eastAsia="仿宋_GB2312"/>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tcBorders>
              <w:bottom w:val="single" w:color="auto" w:sz="4" w:space="0"/>
            </w:tcBorders>
            <w:shd w:val="clear" w:color="auto" w:fill="auto"/>
            <w:vAlign w:val="center"/>
          </w:tcPr>
          <w:p>
            <w:pPr>
              <w:rPr>
                <w:rFonts w:ascii="仿宋_GB2312" w:hAnsi="宋体" w:eastAsia="仿宋_GB2312" w:cs="宋体"/>
                <w:sz w:val="24"/>
              </w:rPr>
            </w:pPr>
            <w:r>
              <w:rPr>
                <w:rFonts w:hint="eastAsia" w:ascii="仿宋_GB2312" w:eastAsia="仿宋_GB2312"/>
              </w:rPr>
              <w:t>擅自关闭、闲置或者拆除生活垃圾处置设施、场所</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违反条款：第四十四条第二款；处罚条款：第七十四条第一款第（二）项、第二款，单位有前款第二项、第四项行为之一的，处一万元以上十万元以下的罚款。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eastAsia="仿宋_GB2312"/>
              </w:rPr>
            </w:pPr>
            <w:r>
              <w:rPr>
                <w:rFonts w:hint="eastAsia" w:ascii="仿宋_GB2312" w:eastAsia="仿宋_GB2312"/>
              </w:rPr>
              <w:t>擅自关闭、闲置或者拆除居住区、办公区配建处理设施、场所的，系数为1；擅自关闭、闲置或者拆除消纳场等集中处理设施和场所的，系数为2；较大餐饮服务单位违法，系数2；大型蔬菜果品批发市场、物流配送中心违法，系数2；造成较大社会影响或者严重后果的其它情形，系数4-9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503"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施工单位不及时清运固体废物</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违反条款：第四十六条；处罚条款：第七十四条第一款第（三）项、第二款，单位有前款第三项行为的，处五千元以上五万元以下的罚款。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240" w:lineRule="exact"/>
            </w:pPr>
            <w:r>
              <w:rPr>
                <w:rFonts w:hint="eastAsia" w:ascii="仿宋_GB2312" w:eastAsia="仿宋_GB2312"/>
              </w:rPr>
              <w:t>1</w:t>
            </w: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rPr>
              <w:t>1.垃圾占地面积10</w:t>
            </w:r>
            <w:r>
              <w:rPr>
                <w:rFonts w:hint="eastAsia" w:ascii="宋体" w:hAnsi="宋体" w:cs="宋体"/>
              </w:rPr>
              <w:t>㎡</w:t>
            </w:r>
            <w:r>
              <w:rPr>
                <w:rFonts w:hint="eastAsia" w:ascii="仿宋_GB2312" w:hAnsi="仿宋_GB2312" w:eastAsia="仿宋_GB2312" w:cs="仿宋_GB2312"/>
              </w:rPr>
              <w:t>以下的，系数</w:t>
            </w:r>
            <w:r>
              <w:rPr>
                <w:rFonts w:hint="eastAsia" w:ascii="仿宋_GB2312" w:eastAsia="仿宋_GB2312"/>
              </w:rPr>
              <w:t>0；11－15</w:t>
            </w:r>
            <w:r>
              <w:rPr>
                <w:rFonts w:hint="eastAsia" w:ascii="宋体" w:hAnsi="宋体" w:cs="宋体"/>
              </w:rPr>
              <w:t>㎡</w:t>
            </w:r>
            <w:r>
              <w:rPr>
                <w:rFonts w:hint="eastAsia" w:ascii="仿宋_GB2312" w:hAnsi="仿宋_GB2312" w:eastAsia="仿宋_GB2312" w:cs="仿宋_GB2312"/>
              </w:rPr>
              <w:t>的，系数</w:t>
            </w:r>
            <w:r>
              <w:rPr>
                <w:rFonts w:hint="eastAsia" w:ascii="仿宋_GB2312" w:eastAsia="仿宋_GB2312"/>
              </w:rPr>
              <w:t>1；16－20</w:t>
            </w:r>
            <w:r>
              <w:rPr>
                <w:rFonts w:hint="eastAsia" w:ascii="宋体" w:hAnsi="宋体" w:cs="宋体"/>
              </w:rPr>
              <w:t>㎡</w:t>
            </w:r>
            <w:r>
              <w:rPr>
                <w:rFonts w:hint="eastAsia" w:ascii="仿宋_GB2312" w:hAnsi="仿宋_GB2312" w:eastAsia="仿宋_GB2312" w:cs="仿宋_GB2312"/>
              </w:rPr>
              <w:t>系数</w:t>
            </w:r>
            <w:r>
              <w:rPr>
                <w:rFonts w:hint="eastAsia" w:ascii="仿宋_GB2312" w:eastAsia="仿宋_GB2312"/>
              </w:rPr>
              <w:t>2，以此类推。2.经限期责改，逾期仍不清运的，每逾期2天，系数为１。3.造成尘土飞扬，严重污染环境的，系数为9。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spacing w:line="260" w:lineRule="exact"/>
              <w:rPr>
                <w:rFonts w:ascii="仿宋_GB2312" w:eastAsia="仿宋_GB2312"/>
              </w:rPr>
            </w:pPr>
            <w:r>
              <w:rPr>
                <w:rFonts w:hint="eastAsia" w:ascii="仿宋_GB2312" w:eastAsia="仿宋_GB2312"/>
              </w:rPr>
              <w:t>优先适用《大气污染防治法》“未及时清运建筑土方（工程渣土、建筑垃圾）”案由和裁量执行，以此案由为补充。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施工单位不按规定对产生的固体废物进行利用或者处置</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违反条款：第四十六条；处罚条款：第七十四条第一款第（四）项、第二款，单位有前款第二项、第四项行为之一的，处一万元以上十万元以下的罚款。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spacing w:line="240" w:lineRule="exact"/>
            </w:pPr>
            <w:r>
              <w:rPr>
                <w:rFonts w:hint="eastAsia" w:ascii="仿宋_GB2312" w:eastAsia="仿宋_GB2312"/>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eastAsia="仿宋_GB2312"/>
              </w:rPr>
              <w:t>经限期责改，逾期仍不清运的，每逾期2天，系数为１。</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24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运输过程中沿途丢弃、遗撒生活垃圾</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违反条款：第七十四条第一款第（五）；处罚条款：第七十四条第一款第（五）项、第二款，责令停止违法行为，限期改正，处五千元以上五万元以下罚款。对个人，处二百元以下罚款。</w:t>
            </w:r>
          </w:p>
        </w:tc>
        <w:tc>
          <w:tcPr>
            <w:tcW w:w="961" w:type="dxa"/>
            <w:gridSpan w:val="4"/>
            <w:shd w:val="clear" w:color="auto" w:fill="auto"/>
            <w:noWrap/>
            <w:vAlign w:val="center"/>
          </w:tcPr>
          <w:p>
            <w:pPr>
              <w:spacing w:line="240" w:lineRule="exact"/>
              <w:rPr>
                <w:rFonts w:ascii="仿宋_GB2312" w:eastAsia="仿宋_GB2312"/>
              </w:rPr>
            </w:pPr>
            <w:r>
              <w:rPr>
                <w:rFonts w:hint="eastAsia" w:ascii="仿宋_GB2312" w:eastAsia="仿宋_GB2312"/>
              </w:rPr>
              <w:t>5000</w:t>
            </w:r>
          </w:p>
          <w:p>
            <w:pPr>
              <w:spacing w:line="240" w:lineRule="exact"/>
              <w:rPr>
                <w:rFonts w:ascii="仿宋_GB2312" w:eastAsia="仿宋_GB2312"/>
              </w:rPr>
            </w:pPr>
            <w:r>
              <w:rPr>
                <w:rFonts w:hint="eastAsia" w:ascii="仿宋_GB2312" w:eastAsia="仿宋_GB2312"/>
              </w:rPr>
              <w:t>（单位）</w:t>
            </w:r>
          </w:p>
        </w:tc>
        <w:tc>
          <w:tcPr>
            <w:tcW w:w="720" w:type="dxa"/>
            <w:gridSpan w:val="2"/>
            <w:shd w:val="clear" w:color="auto" w:fill="auto"/>
            <w:noWrap/>
            <w:vAlign w:val="center"/>
          </w:tcPr>
          <w:p>
            <w:pPr>
              <w:spacing w:line="240" w:lineRule="exact"/>
              <w:rPr>
                <w:rFonts w:ascii="仿宋_GB2312" w:eastAsia="仿宋_GB2312"/>
              </w:rPr>
            </w:pPr>
            <w:r>
              <w:rPr>
                <w:rFonts w:hint="eastAsia" w:ascii="仿宋_GB2312" w:eastAsia="仿宋_GB2312"/>
              </w:rPr>
              <w:t>1</w:t>
            </w:r>
          </w:p>
        </w:tc>
        <w:tc>
          <w:tcPr>
            <w:tcW w:w="3600" w:type="dxa"/>
            <w:gridSpan w:val="7"/>
            <w:shd w:val="clear" w:color="auto" w:fill="auto"/>
            <w:vAlign w:val="center"/>
          </w:tcPr>
          <w:p>
            <w:pPr>
              <w:spacing w:line="240" w:lineRule="exact"/>
              <w:rPr>
                <w:rFonts w:ascii="仿宋_GB2312" w:eastAsia="仿宋_GB2312"/>
              </w:rPr>
            </w:pPr>
            <w:r>
              <w:rPr>
                <w:rFonts w:hint="eastAsia" w:ascii="仿宋_GB2312" w:eastAsia="仿宋_GB2312"/>
              </w:rPr>
              <w:t>污染道路长21－30米的，系数1；31－40米的，系数2；以此类推。</w:t>
            </w:r>
          </w:p>
        </w:tc>
        <w:tc>
          <w:tcPr>
            <w:tcW w:w="1740" w:type="dxa"/>
            <w:gridSpan w:val="2"/>
            <w:shd w:val="clear" w:color="auto" w:fill="auto"/>
            <w:vAlign w:val="center"/>
          </w:tcPr>
          <w:p>
            <w:pPr>
              <w:spacing w:line="240" w:lineRule="exact"/>
              <w:rPr>
                <w:rFonts w:ascii="仿宋_GB2312" w:eastAsia="仿宋_GB2312"/>
              </w:rPr>
            </w:pPr>
            <w:r>
              <w:rPr>
                <w:rFonts w:hint="eastAsia" w:ascii="仿宋_GB2312" w:eastAsia="仿宋_GB2312"/>
              </w:rPr>
              <w:t>罚款数额＝5000×（1＋区域系数＋情节系数＋变量系数）</w:t>
            </w:r>
          </w:p>
        </w:tc>
        <w:tc>
          <w:tcPr>
            <w:tcW w:w="2415" w:type="dxa"/>
            <w:gridSpan w:val="7"/>
            <w:shd w:val="clear" w:color="auto" w:fill="auto"/>
            <w:noWrap/>
            <w:vAlign w:val="center"/>
          </w:tcPr>
          <w:p>
            <w:pPr>
              <w:spacing w:line="24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03"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hAnsi="宋体" w:eastAsia="仿宋_GB2312" w:cs="宋体"/>
                <w:sz w:val="24"/>
              </w:rPr>
            </w:pPr>
          </w:p>
        </w:tc>
        <w:tc>
          <w:tcPr>
            <w:tcW w:w="4318" w:type="dxa"/>
            <w:gridSpan w:val="8"/>
            <w:vMerge w:val="continue"/>
            <w:shd w:val="clear" w:color="auto" w:fill="auto"/>
            <w:vAlign w:val="center"/>
          </w:tcPr>
          <w:p>
            <w:pPr>
              <w:spacing w:line="240" w:lineRule="exact"/>
              <w:rPr>
                <w:rFonts w:ascii="仿宋_GB2312" w:hAnsi="宋体" w:eastAsia="仿宋_GB2312" w:cs="宋体"/>
                <w:sz w:val="24"/>
              </w:rPr>
            </w:pPr>
          </w:p>
        </w:tc>
        <w:tc>
          <w:tcPr>
            <w:tcW w:w="961" w:type="dxa"/>
            <w:gridSpan w:val="4"/>
            <w:shd w:val="clear" w:color="auto" w:fill="auto"/>
            <w:noWrap/>
            <w:vAlign w:val="center"/>
          </w:tcPr>
          <w:p>
            <w:pPr>
              <w:widowControl/>
              <w:spacing w:line="240" w:lineRule="exact"/>
              <w:rPr>
                <w:rFonts w:ascii="仿宋_GB2312" w:eastAsia="仿宋_GB2312"/>
              </w:rPr>
            </w:pPr>
            <w:r>
              <w:rPr>
                <w:rFonts w:hint="eastAsia" w:ascii="仿宋_GB2312" w:eastAsia="仿宋_GB2312"/>
              </w:rPr>
              <w:t>（个人）</w:t>
            </w:r>
          </w:p>
        </w:tc>
        <w:tc>
          <w:tcPr>
            <w:tcW w:w="720" w:type="dxa"/>
            <w:gridSpan w:val="2"/>
            <w:shd w:val="clear" w:color="auto" w:fill="auto"/>
            <w:noWrap/>
            <w:vAlign w:val="center"/>
          </w:tcPr>
          <w:p>
            <w:pPr>
              <w:widowControl/>
              <w:spacing w:line="240" w:lineRule="exact"/>
              <w:rPr>
                <w:rFonts w:ascii="仿宋_GB2312" w:eastAsia="仿宋_GB2312"/>
              </w:rPr>
            </w:pPr>
          </w:p>
        </w:tc>
        <w:tc>
          <w:tcPr>
            <w:tcW w:w="3600" w:type="dxa"/>
            <w:gridSpan w:val="7"/>
            <w:shd w:val="clear" w:color="auto" w:fill="auto"/>
            <w:vAlign w:val="center"/>
          </w:tcPr>
          <w:p>
            <w:pPr>
              <w:widowControl/>
              <w:spacing w:line="240" w:lineRule="exact"/>
              <w:rPr>
                <w:rFonts w:ascii="仿宋_GB2312" w:eastAsia="仿宋_GB2312"/>
              </w:rPr>
            </w:pPr>
          </w:p>
        </w:tc>
        <w:tc>
          <w:tcPr>
            <w:tcW w:w="1740" w:type="dxa"/>
            <w:gridSpan w:val="2"/>
            <w:shd w:val="clear" w:color="auto" w:fill="auto"/>
            <w:vAlign w:val="center"/>
          </w:tcPr>
          <w:p>
            <w:pPr>
              <w:widowControl/>
              <w:spacing w:line="240" w:lineRule="exact"/>
              <w:rPr>
                <w:rFonts w:ascii="仿宋_GB2312" w:eastAsia="仿宋_GB2312"/>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458" w:type="dxa"/>
            <w:gridSpan w:val="34"/>
            <w:shd w:val="clear" w:color="auto" w:fill="auto"/>
            <w:vAlign w:val="center"/>
          </w:tcPr>
          <w:p>
            <w:pPr>
              <w:pStyle w:val="3"/>
              <w:rPr>
                <w:rFonts w:ascii="仿宋_GB2312" w:eastAsia="仿宋_GB2312"/>
                <w:szCs w:val="30"/>
              </w:rPr>
            </w:pPr>
            <w:bookmarkStart w:id="7" w:name="_Toc39911670"/>
            <w:r>
              <w:rPr>
                <w:rFonts w:hint="eastAsia"/>
                <w:szCs w:val="30"/>
              </w:rPr>
              <w:t>《北京市“门前三包”责任制管理办法》案由1项</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03" w:type="dxa"/>
            <w:gridSpan w:val="2"/>
            <w:vMerge w:val="restart"/>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未落实“门前三包”责任制</w:t>
            </w:r>
          </w:p>
        </w:tc>
        <w:tc>
          <w:tcPr>
            <w:tcW w:w="4318" w:type="dxa"/>
            <w:gridSpan w:val="8"/>
            <w:vMerge w:val="restart"/>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违反条款：第三条第（一）项、第（二）项、第（三）项；处罚条款：第八条，对违反本办法的单位应当责令改正，并视情节轻重，处200元以上1000元以下的罚款，并对单位负责人处20元以上50元以下的罚款。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200</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（对单位）</w:t>
            </w:r>
          </w:p>
        </w:tc>
        <w:tc>
          <w:tcPr>
            <w:tcW w:w="720"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w:t>
            </w:r>
          </w:p>
        </w:tc>
        <w:tc>
          <w:tcPr>
            <w:tcW w:w="2415" w:type="dxa"/>
            <w:gridSpan w:val="7"/>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目前，本市“门前三包”制度和市容环境卫生责任制并存。执法实践可参照《北京市市政管理委员会市容环境卫生责任区告知书发放工作管理办法》（京政管字〔2002〕454号）执行。此外，应注意两项制度在责任主体、责任事项等方面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03" w:type="dxa"/>
            <w:gridSpan w:val="2"/>
            <w:vMerge w:val="continue"/>
            <w:shd w:val="clear" w:color="auto" w:fill="auto"/>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240" w:lineRule="exact"/>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24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（对单位负责人）</w:t>
            </w:r>
          </w:p>
        </w:tc>
        <w:tc>
          <w:tcPr>
            <w:tcW w:w="720"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5340" w:type="dxa"/>
            <w:gridSpan w:val="9"/>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对单位责任人的罚款，由执法部门酌情决定；单位是个体户的，仅处罚单位即可。</w:t>
            </w:r>
          </w:p>
        </w:tc>
        <w:tc>
          <w:tcPr>
            <w:tcW w:w="2415" w:type="dxa"/>
            <w:gridSpan w:val="7"/>
            <w:vMerge w:val="continue"/>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458" w:type="dxa"/>
            <w:gridSpan w:val="34"/>
            <w:shd w:val="clear" w:color="auto" w:fill="auto"/>
            <w:vAlign w:val="center"/>
          </w:tcPr>
          <w:p>
            <w:pPr>
              <w:pStyle w:val="3"/>
              <w:rPr>
                <w:szCs w:val="30"/>
              </w:rPr>
            </w:pPr>
            <w:bookmarkStart w:id="8" w:name="_Toc39911671"/>
            <w:r>
              <w:rPr>
                <w:rFonts w:hint="eastAsia"/>
                <w:szCs w:val="30"/>
              </w:rPr>
              <w:t>《北京市人民政府关于扫雪铲冰管理的规定》案由1项</w:t>
            </w:r>
            <w:bookmarkEnd w:id="8"/>
            <w:r>
              <w:rPr>
                <w:rFonts w:hint="eastAsia"/>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gridSpan w:val="2"/>
            <w:shd w:val="clear" w:color="auto" w:fill="auto"/>
            <w:vAlign w:val="center"/>
          </w:tcPr>
          <w:p>
            <w:pPr>
              <w:rPr>
                <w:rFonts w:ascii="黑体" w:hAnsi="宋体" w:eastAsia="黑体" w:cs="宋体"/>
                <w:kern w:val="0"/>
                <w:sz w:val="24"/>
              </w:rPr>
            </w:pPr>
            <w:r>
              <w:rPr>
                <w:rFonts w:hint="eastAsia" w:ascii="黑体" w:hAnsi="宋体" w:eastAsia="黑体" w:cs="宋体"/>
                <w:kern w:val="0"/>
                <w:sz w:val="24"/>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未按规定扫雪铲冰</w:t>
            </w:r>
          </w:p>
        </w:tc>
        <w:tc>
          <w:tcPr>
            <w:tcW w:w="4325" w:type="dxa"/>
            <w:gridSpan w:val="9"/>
            <w:shd w:val="clear" w:color="auto" w:fill="auto"/>
            <w:vAlign w:val="center"/>
          </w:tcPr>
          <w:p>
            <w:pPr>
              <w:rPr>
                <w:rFonts w:ascii="仿宋_GB2312" w:eastAsia="仿宋_GB2312"/>
              </w:rPr>
            </w:pPr>
            <w:r>
              <w:rPr>
                <w:rFonts w:hint="eastAsia" w:ascii="仿宋_GB2312" w:eastAsia="仿宋_GB2312"/>
              </w:rPr>
              <w:t>违反条款：第三条第一款、第二款；处罚条款：第六条，责令改正，并处200元以上1000元以下罚款。</w:t>
            </w:r>
          </w:p>
        </w:tc>
        <w:tc>
          <w:tcPr>
            <w:tcW w:w="954" w:type="dxa"/>
            <w:gridSpan w:val="3"/>
            <w:shd w:val="clear" w:color="auto" w:fill="auto"/>
            <w:vAlign w:val="center"/>
          </w:tcPr>
          <w:p>
            <w:pPr>
              <w:widowControl/>
              <w:spacing w:line="0" w:lineRule="atLeast"/>
              <w:jc w:val="center"/>
              <w:rPr>
                <w:rFonts w:ascii="仿宋_GB2312" w:eastAsia="仿宋_GB2312"/>
              </w:rPr>
            </w:pPr>
            <w:r>
              <w:rPr>
                <w:rFonts w:hint="eastAsia" w:ascii="仿宋_GB2312" w:eastAsia="仿宋_GB2312"/>
              </w:rPr>
              <w:t>200</w:t>
            </w:r>
          </w:p>
        </w:tc>
        <w:tc>
          <w:tcPr>
            <w:tcW w:w="720" w:type="dxa"/>
            <w:gridSpan w:val="2"/>
            <w:shd w:val="clear" w:color="auto" w:fill="auto"/>
            <w:vAlign w:val="center"/>
          </w:tcPr>
          <w:p>
            <w:pPr>
              <w:widowControl/>
              <w:spacing w:line="0" w:lineRule="atLeast"/>
              <w:jc w:val="center"/>
              <w:rPr>
                <w:rFonts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eastAsia="仿宋_GB2312"/>
              </w:rPr>
            </w:pPr>
            <w:r>
              <w:rPr>
                <w:rFonts w:hint="eastAsia" w:ascii="仿宋_GB2312" w:eastAsia="仿宋_GB2312"/>
              </w:rPr>
              <w:t>按照《基准》的有关规定执行。</w:t>
            </w:r>
          </w:p>
        </w:tc>
        <w:tc>
          <w:tcPr>
            <w:tcW w:w="1800" w:type="dxa"/>
            <w:gridSpan w:val="3"/>
            <w:shd w:val="clear" w:color="auto" w:fill="auto"/>
            <w:vAlign w:val="center"/>
          </w:tcPr>
          <w:p>
            <w:pPr>
              <w:widowControl/>
              <w:spacing w:line="0" w:lineRule="atLeast"/>
              <w:rPr>
                <w:rFonts w:ascii="仿宋_GB2312" w:eastAsia="仿宋_GB2312"/>
              </w:rPr>
            </w:pPr>
            <w:r>
              <w:rPr>
                <w:rFonts w:hint="eastAsia" w:ascii="仿宋_GB2312" w:eastAsia="仿宋_GB2312"/>
              </w:rPr>
              <w:t>罚款数额＝200×（1＋区域系数＋情节系数）</w:t>
            </w:r>
          </w:p>
        </w:tc>
        <w:tc>
          <w:tcPr>
            <w:tcW w:w="2355" w:type="dxa"/>
            <w:gridSpan w:val="6"/>
            <w:shd w:val="clear" w:color="auto" w:fill="auto"/>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458" w:type="dxa"/>
            <w:gridSpan w:val="34"/>
            <w:shd w:val="clear" w:color="auto" w:fill="auto"/>
            <w:vAlign w:val="center"/>
          </w:tcPr>
          <w:p>
            <w:pPr>
              <w:pStyle w:val="3"/>
              <w:rPr>
                <w:szCs w:val="30"/>
              </w:rPr>
            </w:pPr>
            <w:bookmarkStart w:id="9" w:name="_Toc39911672"/>
            <w:r>
              <w:rPr>
                <w:rFonts w:hint="eastAsia"/>
                <w:szCs w:val="30"/>
              </w:rPr>
              <w:t>《北京市户外广告设置管理办法》案由2项</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gridSpan w:val="2"/>
            <w:shd w:val="clear" w:color="auto" w:fill="auto"/>
            <w:vAlign w:val="center"/>
          </w:tcPr>
          <w:p>
            <w:pPr>
              <w:rPr>
                <w:rFonts w:ascii="黑体" w:hAnsi="宋体" w:eastAsia="黑体" w:cs="宋体"/>
                <w:kern w:val="0"/>
                <w:sz w:val="24"/>
              </w:rPr>
            </w:pPr>
            <w:r>
              <w:rPr>
                <w:rFonts w:hint="eastAsia" w:ascii="黑体" w:hAnsi="宋体" w:eastAsia="黑体" w:cs="宋体"/>
                <w:kern w:val="0"/>
                <w:sz w:val="24"/>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违反规划设置户外广告设施</w:t>
            </w:r>
          </w:p>
        </w:tc>
        <w:tc>
          <w:tcPr>
            <w:tcW w:w="4325" w:type="dxa"/>
            <w:gridSpan w:val="9"/>
            <w:shd w:val="clear" w:color="auto" w:fill="auto"/>
            <w:vAlign w:val="center"/>
          </w:tcPr>
          <w:p>
            <w:pPr>
              <w:rPr>
                <w:rFonts w:ascii="仿宋_GB2312" w:eastAsia="仿宋_GB2312"/>
              </w:rPr>
            </w:pPr>
            <w:r>
              <w:rPr>
                <w:rFonts w:hint="eastAsia" w:ascii="仿宋_GB2312" w:eastAsia="仿宋_GB2312"/>
              </w:rPr>
              <w:t>违反条款：第五条；处罚条款：第二十七条第一款，责令限期拆除；逾期未拆除的，强制拆除，并可以处1万元以上10万元以下罚款。</w:t>
            </w:r>
          </w:p>
        </w:tc>
        <w:tc>
          <w:tcPr>
            <w:tcW w:w="954" w:type="dxa"/>
            <w:gridSpan w:val="3"/>
            <w:shd w:val="clear" w:color="auto" w:fill="auto"/>
            <w:vAlign w:val="center"/>
          </w:tcPr>
          <w:p>
            <w:pPr>
              <w:widowControl/>
              <w:spacing w:line="0" w:lineRule="atLeast"/>
              <w:jc w:val="center"/>
              <w:rPr>
                <w:rFonts w:ascii="仿宋_GB2312" w:eastAsia="仿宋_GB2312"/>
              </w:rPr>
            </w:pPr>
            <w:r>
              <w:rPr>
                <w:rFonts w:hint="eastAsia" w:ascii="仿宋_GB2312" w:eastAsia="仿宋_GB2312"/>
              </w:rPr>
              <w:t>10000</w:t>
            </w:r>
          </w:p>
        </w:tc>
        <w:tc>
          <w:tcPr>
            <w:tcW w:w="720" w:type="dxa"/>
            <w:gridSpan w:val="2"/>
            <w:shd w:val="clear" w:color="auto" w:fill="auto"/>
            <w:vAlign w:val="center"/>
          </w:tcPr>
          <w:p>
            <w:pPr>
              <w:widowControl/>
              <w:spacing w:line="0" w:lineRule="atLeast"/>
              <w:jc w:val="center"/>
              <w:rPr>
                <w:rFonts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800" w:type="dxa"/>
            <w:gridSpan w:val="3"/>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“逾期不改正”情形，不计入情节系数</w:t>
            </w:r>
          </w:p>
        </w:tc>
        <w:tc>
          <w:tcPr>
            <w:tcW w:w="2355" w:type="dxa"/>
            <w:gridSpan w:val="6"/>
            <w:shd w:val="clear" w:color="auto" w:fill="auto"/>
            <w:vAlign w:val="center"/>
          </w:tcPr>
          <w:p>
            <w:pPr>
              <w:widowControl/>
              <w:spacing w:line="0" w:lineRule="atLeast"/>
              <w:rPr>
                <w:rFonts w:ascii="仿宋_GB2312" w:hAnsi="宋体" w:eastAsia="仿宋_GB2312" w:cs="宋体"/>
                <w:kern w:val="0"/>
                <w:sz w:val="24"/>
              </w:rPr>
            </w:pPr>
            <w:r>
              <w:rPr>
                <w:rFonts w:hint="eastAsia" w:ascii="仿宋_GB2312" w:hAnsi="宋体" w:eastAsia="仿宋_GB2312" w:cs="宋体"/>
                <w:kern w:val="0"/>
                <w:szCs w:val="21"/>
              </w:rPr>
              <w:t>在严禁设置区或者严格限制设置区域擅自设置户外广告设施；擅自设置大型单立柱或者大型附着式户外广告设施的，经案审会讨论，可处以5万元以上罚款。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gridSpan w:val="2"/>
            <w:shd w:val="clear" w:color="auto" w:fill="auto"/>
            <w:vAlign w:val="center"/>
          </w:tcPr>
          <w:p>
            <w:pPr>
              <w:rPr>
                <w:rFonts w:ascii="黑体" w:hAnsi="宋体" w:eastAsia="黑体" w:cs="宋体"/>
                <w:kern w:val="0"/>
                <w:sz w:val="24"/>
              </w:rPr>
            </w:pPr>
            <w:r>
              <w:rPr>
                <w:rFonts w:hint="eastAsia" w:ascii="黑体" w:hAnsi="宋体" w:eastAsia="黑体" w:cs="宋体"/>
                <w:kern w:val="0"/>
                <w:sz w:val="24"/>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未按规定管护显亮式户外广告设施</w:t>
            </w:r>
          </w:p>
        </w:tc>
        <w:tc>
          <w:tcPr>
            <w:tcW w:w="4325" w:type="dxa"/>
            <w:gridSpan w:val="9"/>
            <w:shd w:val="clear" w:color="auto" w:fill="auto"/>
            <w:vAlign w:val="center"/>
          </w:tcPr>
          <w:p>
            <w:pPr>
              <w:rPr>
                <w:rFonts w:ascii="仿宋_GB2312" w:eastAsia="仿宋_GB2312"/>
              </w:rPr>
            </w:pPr>
            <w:r>
              <w:rPr>
                <w:rFonts w:hint="eastAsia" w:ascii="仿宋_GB2312" w:eastAsia="仿宋_GB2312"/>
              </w:rPr>
              <w:t>违反条款：第十四条第二款；处罚条款：第二十八条第二款，</w:t>
            </w:r>
            <w:r>
              <w:rPr>
                <w:rFonts w:hint="eastAsia" w:ascii="仿宋_GB2312" w:hAnsi="宋体" w:eastAsia="仿宋_GB2312" w:cs="宋体"/>
                <w:kern w:val="0"/>
                <w:szCs w:val="21"/>
              </w:rPr>
              <w:t>责令限期改正，并可处500元以上5000元以下罚款；霓虹灯、电子显示装置、灯箱等断亮、残损的，责令在修复前停止使用。</w:t>
            </w:r>
          </w:p>
        </w:tc>
        <w:tc>
          <w:tcPr>
            <w:tcW w:w="954" w:type="dxa"/>
            <w:gridSpan w:val="3"/>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800" w:type="dxa"/>
            <w:gridSpan w:val="3"/>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355" w:type="dxa"/>
            <w:gridSpan w:val="6"/>
            <w:shd w:val="clear" w:color="auto" w:fill="auto"/>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458" w:type="dxa"/>
            <w:gridSpan w:val="34"/>
            <w:shd w:val="clear" w:color="auto" w:fill="auto"/>
            <w:vAlign w:val="center"/>
          </w:tcPr>
          <w:p>
            <w:pPr>
              <w:pStyle w:val="3"/>
              <w:rPr>
                <w:szCs w:val="30"/>
              </w:rPr>
            </w:pPr>
            <w:bookmarkStart w:id="10" w:name="_Toc39911673"/>
            <w:r>
              <w:rPr>
                <w:rFonts w:hint="eastAsia"/>
                <w:szCs w:val="30"/>
              </w:rPr>
              <w:t>《北京市标语宣传品设置管理规定》案由6项</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标语宣传品含有商业广告内容</w:t>
            </w:r>
          </w:p>
        </w:tc>
        <w:tc>
          <w:tcPr>
            <w:tcW w:w="4318" w:type="dxa"/>
            <w:gridSpan w:val="8"/>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违反条款：第四条；处罚条款：第十八条 责令改正， 处1000元以上1万元以下罚款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改变固定宣传设施的使用性质用于商业广告</w:t>
            </w: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需要</w:t>
            </w:r>
            <w:r>
              <w:rPr>
                <w:rFonts w:ascii="仿宋_GB2312" w:hAnsi="宋体" w:eastAsia="仿宋_GB2312" w:cs="宋体"/>
                <w:kern w:val="0"/>
                <w:szCs w:val="21"/>
              </w:rPr>
              <w:t>作出</w:t>
            </w:r>
            <w:r>
              <w:rPr>
                <w:rFonts w:hint="eastAsia" w:ascii="仿宋_GB2312" w:hAnsi="宋体" w:eastAsia="仿宋_GB2312" w:cs="宋体"/>
                <w:kern w:val="0"/>
                <w:szCs w:val="21"/>
              </w:rPr>
              <w:t>其它处罚额度决定的，说明理由，报案审会决定</w:t>
            </w:r>
            <w:r>
              <w:rPr>
                <w:rFonts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未经批准设置标语宣传品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违反条款：第九条；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处罚条款：第十九条，责令限期改正，并可处500元以上5000以下罚款。</w:t>
            </w:r>
          </w:p>
        </w:tc>
        <w:tc>
          <w:tcPr>
            <w:tcW w:w="961" w:type="dxa"/>
            <w:gridSpan w:val="4"/>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未经批准设置，系数为2。</w:t>
            </w:r>
          </w:p>
        </w:tc>
        <w:tc>
          <w:tcPr>
            <w:tcW w:w="1740"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未按批准要求设置标语宣传品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违反条款：第十四条；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处罚条款：第十九条，责令限期改正，并可处500元以上5000以下罚款。</w:t>
            </w:r>
          </w:p>
        </w:tc>
        <w:tc>
          <w:tcPr>
            <w:tcW w:w="961" w:type="dxa"/>
            <w:gridSpan w:val="4"/>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未按规定管护宣传设施或者标语宣传品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违反条款：第十五条第一款；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处罚条款：第二十条第一款 责令限期改正，可处100元以上1000元以下罚款。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车站、机场、居民小区、医院、学校、体育场馆、影剧院、繁华商业街区、旅游景区等人口集中地区的固定宣传设施不安全不牢固的，系数为5；上述区域污损、残缺的，系数为3。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未及时撤除标语宣传品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违反条款：第十五条第二款；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处罚条款：第二十条第一款 责令限期改正，可处100元以上1000元以下罚款。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需要</w:t>
            </w:r>
            <w:r>
              <w:rPr>
                <w:rFonts w:ascii="仿宋_GB2312" w:hAnsi="宋体" w:eastAsia="仿宋_GB2312" w:cs="宋体"/>
                <w:kern w:val="0"/>
                <w:szCs w:val="21"/>
              </w:rPr>
              <w:t>作出</w:t>
            </w:r>
            <w:r>
              <w:rPr>
                <w:rFonts w:hint="eastAsia" w:ascii="仿宋_GB2312" w:hAnsi="宋体" w:eastAsia="仿宋_GB2312" w:cs="宋体"/>
                <w:kern w:val="0"/>
                <w:szCs w:val="21"/>
              </w:rPr>
              <w:t>其它处罚额度决定的，说明理由，报案审会决定</w:t>
            </w:r>
            <w:r>
              <w:rPr>
                <w:rFonts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458" w:type="dxa"/>
            <w:gridSpan w:val="34"/>
            <w:shd w:val="clear" w:color="auto" w:fill="auto"/>
            <w:noWrap/>
            <w:vAlign w:val="center"/>
          </w:tcPr>
          <w:p>
            <w:pPr>
              <w:pStyle w:val="3"/>
              <w:rPr>
                <w:szCs w:val="30"/>
              </w:rPr>
            </w:pPr>
            <w:bookmarkStart w:id="11" w:name="_Toc39911674"/>
            <w:r>
              <w:rPr>
                <w:rFonts w:hint="eastAsia"/>
                <w:szCs w:val="30"/>
              </w:rPr>
              <w:t>《北京市城市道路和公共场所环境卫生管理若干规定》案由7项</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未按规定清扫保洁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违反条款：第六条第（一）项、第（二）项、第（三）项、第（四）项、第（五）项、第（七）项；处罚条款：第十条第（一）项，责令改正，并可处100元以上1000元以下罚款。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不及时清理果皮箱、垃圾箱</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违反条款：第六条第（六）项；处罚条款：第十条第（二）项：责令改正，并可处500元以上5000元以下罚款。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未保持果皮箱、垃圾箱箱体整洁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违反条款：第六条第（六）项；处罚条款：第十条第（二）项：责令改正，并可处500元以上5000元以下罚款。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果皮箱、垃圾箱周围严重脏乱</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违反条款：第六条第（六）项；处罚条款：第十条第（二）项：责令改正，并可处500元以上5000元以下罚款。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公共设施管护作业（绿化作业）未按规定清除废弃物</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违反条款：第七条第二款；处罚条款：第十条第（三）项，责令限期清理，并可处500元以上5000元以下罚款。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未做好施工期间压尘和清扫保洁</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违反条款：第八条；处罚条款：第十条第（四）项，责令限期改正，并处2000元以上2万元以下罚款。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面积10</w:t>
            </w:r>
            <w:r>
              <w:rPr>
                <w:rFonts w:hint="eastAsia" w:ascii="宋体" w:hAnsi="宋体" w:cs="宋体"/>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建设工程竣工后未及时清除弃物弃料、围挡</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违反条款：第八条；处罚条款：第十条第（四）项，责令限期改正，并处2000元以上2万元以下罚款。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1.弃物弃料占地面积10</w:t>
            </w:r>
            <w:r>
              <w:rPr>
                <w:rFonts w:hint="eastAsia" w:ascii="宋体" w:hAnsi="宋体" w:cs="宋体"/>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2.逾期不清除的，每逾期５天，系数为１。</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458" w:type="dxa"/>
            <w:gridSpan w:val="34"/>
            <w:shd w:val="clear" w:color="auto" w:fill="auto"/>
            <w:noWrap/>
            <w:vAlign w:val="center"/>
          </w:tcPr>
          <w:p>
            <w:pPr>
              <w:pStyle w:val="3"/>
              <w:rPr>
                <w:rFonts w:ascii="仿宋_GB2312" w:eastAsia="仿宋_GB2312"/>
                <w:szCs w:val="30"/>
              </w:rPr>
            </w:pPr>
            <w:bookmarkStart w:id="12" w:name="_Toc39911675"/>
            <w:r>
              <w:rPr>
                <w:rFonts w:hint="eastAsia"/>
                <w:szCs w:val="30"/>
              </w:rPr>
              <w:t>《北京市人民政府关于禁止车辆运输泄漏遗撒的规定》案由7项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使用无准运证件的运输车辆从事运输</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违反条款：第三条第（二）项；处罚条款：第七条第一款第（一）项，责令改正，并处500元以上3000元以下罚款。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w:t>
            </w: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同时存在未</w:t>
            </w:r>
            <w:r>
              <w:rPr>
                <w:rFonts w:ascii="仿宋_GB2312" w:eastAsia="仿宋_GB2312"/>
              </w:rPr>
              <w:t>密闭</w:t>
            </w:r>
            <w:r>
              <w:rPr>
                <w:rFonts w:hint="eastAsia" w:ascii="仿宋_GB2312" w:eastAsia="仿宋_GB2312"/>
              </w:rPr>
              <w:t>、密闭装置不符合规定等</w:t>
            </w:r>
            <w:r>
              <w:rPr>
                <w:rFonts w:ascii="仿宋_GB2312" w:eastAsia="仿宋_GB2312"/>
              </w:rPr>
              <w:t>情形的</w:t>
            </w:r>
            <w:r>
              <w:rPr>
                <w:rFonts w:hint="eastAsia" w:ascii="仿宋_GB2312" w:eastAsia="仿宋_GB2312"/>
              </w:rPr>
              <w:t>，适用《大气污染防治法》《北京市大气污染防治条例》相关案由和裁量。</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使用不符合规定要求的运输车辆从事运输</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违反条款：第三条第（四）项；处罚条款：第七条第一款第（一）项，责令改正，并处500元以上3000元以下罚款。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eastAsia="仿宋_GB2312"/>
              </w:rPr>
              <w:t>车辆同时存在不符合条件、未安装卫星定位系统、未密闭等2种以上（含2种）行为的，系数4；，同时还存在无准运证运输等行为的，系数5。</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优先适用《大气污染防治法》《北京市大气污染防治条例》相关案由和裁量，以此案由为补充。</w:t>
            </w:r>
          </w:p>
          <w:p>
            <w:pPr>
              <w:widowControl/>
              <w:spacing w:line="0" w:lineRule="atLeast"/>
              <w:rPr>
                <w:rFonts w:ascii="仿宋_GB2312" w:hAnsi="宋体" w:eastAsia="仿宋_GB2312" w:cs="宋体"/>
                <w:kern w:val="0"/>
                <w:szCs w:val="21"/>
              </w:rPr>
            </w:pPr>
            <w:r>
              <w:rPr>
                <w:rFonts w:hint="eastAsia" w:ascii="仿宋_GB2312" w:eastAsia="仿宋_GB2312"/>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FFFFFF"/>
            <w:vAlign w:val="center"/>
          </w:tcPr>
          <w:p>
            <w:pPr>
              <w:rPr>
                <w:rFonts w:ascii="仿宋_GB2312" w:eastAsia="仿宋_GB2312"/>
              </w:rPr>
            </w:pPr>
            <w:r>
              <w:rPr>
                <w:rFonts w:hint="eastAsia" w:ascii="仿宋_GB2312" w:eastAsia="仿宋_GB2312"/>
              </w:rPr>
              <w:t>运输散装货物车辆未密封、包扎、覆盖，泄漏遗撒</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违反条款：第三条第（八）项；处罚条款：第七条第一款第（二）项，</w:t>
            </w:r>
            <w:r>
              <w:rPr>
                <w:rFonts w:hint="eastAsia" w:ascii="仿宋_GB2312" w:hAnsi="宋体" w:eastAsia="仿宋_GB2312" w:cs="宋体"/>
                <w:kern w:val="0"/>
                <w:szCs w:val="21"/>
              </w:rPr>
              <w:t>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FFFFFF"/>
            <w:vAlign w:val="center"/>
          </w:tcPr>
          <w:p>
            <w:pPr>
              <w:rPr>
                <w:rFonts w:ascii="仿宋_GB2312" w:eastAsia="仿宋_GB2312"/>
              </w:rPr>
            </w:pPr>
            <w:r>
              <w:rPr>
                <w:rFonts w:hint="eastAsia" w:ascii="仿宋_GB2312" w:eastAsia="仿宋_GB2312"/>
              </w:rPr>
              <w:t>运输流体货物的车辆未使用不渗漏容器，泄漏遗撒</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违反条款：第四条第（六）项；处罚条款：第七条第一款第（二）项，</w:t>
            </w:r>
            <w:r>
              <w:rPr>
                <w:rFonts w:hint="eastAsia" w:ascii="仿宋_GB2312" w:hAnsi="宋体" w:eastAsia="仿宋_GB2312" w:cs="宋体"/>
                <w:kern w:val="0"/>
                <w:szCs w:val="21"/>
              </w:rPr>
              <w:t>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FFFFFF"/>
            <w:vAlign w:val="center"/>
          </w:tcPr>
          <w:p>
            <w:pPr>
              <w:rPr>
                <w:rFonts w:ascii="仿宋_GB2312" w:eastAsia="仿宋_GB2312"/>
              </w:rPr>
            </w:pPr>
            <w:r>
              <w:rPr>
                <w:rFonts w:hint="eastAsia" w:ascii="仿宋_GB2312" w:eastAsia="仿宋_GB2312"/>
              </w:rPr>
              <w:t>运输车辆不符合技术标准要求，造成遗撒</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违反条款：第四条第（五）项；处罚条款：第七条第一款第（三）项，</w:t>
            </w:r>
            <w:r>
              <w:rPr>
                <w:rFonts w:hint="eastAsia" w:ascii="仿宋_GB2312" w:hAnsi="宋体" w:eastAsia="仿宋_GB2312" w:cs="宋体"/>
                <w:kern w:val="0"/>
                <w:szCs w:val="21"/>
              </w:rPr>
              <w:t>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eastAsia="仿宋_GB2312"/>
              </w:rPr>
            </w:pPr>
            <w:r>
              <w:rPr>
                <w:rFonts w:hint="eastAsia" w:ascii="仿宋_GB2312" w:hAnsi="宋体" w:eastAsia="仿宋_GB2312" w:cs="宋体"/>
                <w:kern w:val="0"/>
                <w:szCs w:val="21"/>
              </w:rPr>
              <w:t>运输车辆泄漏遗撒</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违反条款：第三条第（八）项；处罚条款：第七条第一款第（四）项，</w:t>
            </w:r>
            <w:r>
              <w:rPr>
                <w:rFonts w:hint="eastAsia" w:ascii="仿宋_GB2312" w:hAnsi="宋体" w:eastAsia="仿宋_GB2312" w:cs="宋体"/>
                <w:kern w:val="0"/>
                <w:szCs w:val="21"/>
              </w:rPr>
              <w:t>责令清除，处5000元以上5万元以下罚款。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车轮带泥行驶</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违反条款：第三条第（六）项；处罚条款：第七条第一款第（五）项，责令改正，并处500元以上3000元以下罚款。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污染道路长21－30米的，系数1；31－40米的，系数2；以此类推。</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458" w:type="dxa"/>
            <w:gridSpan w:val="34"/>
            <w:shd w:val="clear" w:color="auto" w:fill="auto"/>
            <w:noWrap/>
            <w:vAlign w:val="center"/>
          </w:tcPr>
          <w:p>
            <w:pPr>
              <w:pStyle w:val="3"/>
              <w:rPr>
                <w:rFonts w:ascii="仿宋_GB2312" w:eastAsia="仿宋_GB2312"/>
                <w:szCs w:val="30"/>
              </w:rPr>
            </w:pPr>
            <w:bookmarkStart w:id="13" w:name="_Toc39911676"/>
            <w:r>
              <w:rPr>
                <w:rFonts w:hint="eastAsia"/>
                <w:szCs w:val="30"/>
              </w:rPr>
              <w:t>《北京市人民政府关于加强垃圾渣土管理的规定》案由5项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未按规定维修（更换、清洗、补设）垃圾容器</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违反条款：第五条；处罚条款：第十七条第（一）项，责令限期改正，可处500元以上5000元以下罚款。</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未按规定倾倒生活垃圾</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八条第（一）项；处罚条款：第十七条第（二）项，责令限期改正，并对个人处20元以上200元以下罚款，对单位处500元以上3000元以下罚款。对单位随意倾倒或者堆放生活垃圾的，处5000元以上5万元以下罚款。</w:t>
            </w:r>
          </w:p>
        </w:tc>
        <w:tc>
          <w:tcPr>
            <w:tcW w:w="961" w:type="dxa"/>
            <w:gridSpan w:val="4"/>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1．垃圾占地面积在</w:t>
            </w:r>
            <w:r>
              <w:rPr>
                <w:rFonts w:ascii="仿宋_GB2312" w:hAnsi="宋体" w:eastAsia="仿宋_GB2312" w:cs="宋体"/>
                <w:kern w:val="0"/>
                <w:szCs w:val="21"/>
              </w:rPr>
              <w:t>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1；以此类推；2.倾倒在绿地、公厕、城市道路等公共场所，或者燃气、供暖等公用管道和设施保护（管理）范围的，或者农田内的，系数3。</w:t>
            </w:r>
          </w:p>
        </w:tc>
        <w:tc>
          <w:tcPr>
            <w:tcW w:w="1740"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40" w:lineRule="exact"/>
              <w:rPr>
                <w:rFonts w:ascii="仿宋_GB2312" w:hAnsi="宋体" w:eastAsia="仿宋_GB2312" w:cs="宋体"/>
                <w:kern w:val="0"/>
                <w:szCs w:val="21"/>
              </w:rPr>
            </w:pPr>
          </w:p>
        </w:tc>
        <w:tc>
          <w:tcPr>
            <w:tcW w:w="1740"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40" w:lineRule="exact"/>
              <w:rPr>
                <w:rFonts w:ascii="仿宋_GB2312" w:hAnsi="宋体" w:eastAsia="仿宋_GB2312" w:cs="宋体"/>
                <w:kern w:val="0"/>
                <w:szCs w:val="21"/>
              </w:rPr>
            </w:pPr>
          </w:p>
        </w:tc>
        <w:tc>
          <w:tcPr>
            <w:tcW w:w="1740"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适用于单位随意倾倒或者堆放生活垃圾的行为。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restart"/>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未按规定清运生活垃圾</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违反条款：第十条第一款、第二款；处罚条款：第十七条第（三）项，责令限期改正，并对个人处20元以上200元以下罚款，对单位处500元以上3000元以下罚款。</w:t>
            </w:r>
          </w:p>
        </w:tc>
        <w:tc>
          <w:tcPr>
            <w:tcW w:w="961" w:type="dxa"/>
            <w:gridSpan w:val="4"/>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20</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1.未清运垃圾面积在5</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0；6－10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2；以此类推。2.生活垃圾未做到日产日清的，每逾期2天，系数为１，以此累加。</w:t>
            </w:r>
          </w:p>
        </w:tc>
        <w:tc>
          <w:tcPr>
            <w:tcW w:w="1740"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240" w:lineRule="exact"/>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500</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spacing w:line="240" w:lineRule="exact"/>
              <w:rPr>
                <w:rFonts w:ascii="仿宋_GB2312" w:hAnsi="宋体" w:eastAsia="仿宋_GB2312" w:cs="宋体"/>
                <w:kern w:val="0"/>
                <w:szCs w:val="21"/>
              </w:rPr>
            </w:pPr>
          </w:p>
        </w:tc>
        <w:tc>
          <w:tcPr>
            <w:tcW w:w="1740"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未按规定清运建筑垃圾渣土</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违反条款：第十三条；处罚条款：第十七条第（四）项，责令限期改正，并对个人处50元以上200元以下罚款，对单位处2000元以上2万元以下罚款。对单位随意倾倒或者堆放建筑垃圾的，处5000元以上5万元以下罚款。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1.垃圾面积在10</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4；以此类推。2.倾倒在城市绿地、公厕、城市道路等公共场所，或者燃气、供暖等公用管道和设施保护（管理）范围的，或者农田内的，系数3。</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适用于单位随意倾倒或者堆放建筑垃圾的行为。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向垃圾收集站倾倒建筑废弃物</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违反条款：第十一条第一款；处罚条款：第十七条第（五）项，责令限期改正，并对个人处50元以上200元以下罚款，对单位处5000元以上5万元以下罚款。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1.倾倒垃圾面积在10</w:t>
            </w:r>
            <w:r>
              <w:rPr>
                <w:rFonts w:hint="eastAsia" w:ascii="宋体" w:hAnsi="宋体" w:cs="宋体"/>
                <w:kern w:val="0"/>
                <w:szCs w:val="21"/>
              </w:rPr>
              <w:t>㎡</w:t>
            </w:r>
            <w:r>
              <w:rPr>
                <w:rFonts w:hint="eastAsia" w:ascii="仿宋_GB2312" w:hAnsi="仿宋_GB2312" w:eastAsia="仿宋_GB2312" w:cs="仿宋_GB2312"/>
                <w:kern w:val="0"/>
                <w:szCs w:val="21"/>
              </w:rPr>
              <w:t>下的，系数</w:t>
            </w:r>
            <w:r>
              <w:rPr>
                <w:rFonts w:hint="eastAsia" w:ascii="仿宋_GB2312" w:hAnsi="宋体" w:eastAsia="仿宋_GB2312" w:cs="宋体"/>
                <w:kern w:val="0"/>
                <w:szCs w:val="21"/>
              </w:rPr>
              <w:t>0；11－15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2；16－20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4；以此类推。2.倾倒在绿地、公厕、城市道路等公共场所，或者燃气、供暖等公用管道和设施保护（管理）范围的，或者农田内的，系数3。</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458" w:type="dxa"/>
            <w:gridSpan w:val="34"/>
            <w:shd w:val="clear" w:color="auto" w:fill="auto"/>
            <w:noWrap/>
            <w:vAlign w:val="center"/>
          </w:tcPr>
          <w:p>
            <w:pPr>
              <w:pStyle w:val="3"/>
              <w:rPr>
                <w:szCs w:val="30"/>
              </w:rPr>
            </w:pPr>
            <w:bookmarkStart w:id="14" w:name="_Toc39911677"/>
            <w:r>
              <w:rPr>
                <w:rFonts w:hint="eastAsia"/>
                <w:szCs w:val="30"/>
              </w:rPr>
              <w:t>《北京市养犬管理规定》案由1项</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携犬人未清除户外犬粪便</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违反条款：第十七条第（六）项；处罚条款：第三十条：责令改正，并可处50元罚款。</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458" w:type="dxa"/>
            <w:gridSpan w:val="34"/>
            <w:shd w:val="clear" w:color="auto" w:fill="auto"/>
            <w:noWrap/>
            <w:vAlign w:val="center"/>
          </w:tcPr>
          <w:p>
            <w:pPr>
              <w:pStyle w:val="3"/>
              <w:rPr>
                <w:rFonts w:ascii="仿宋_GB2312" w:eastAsia="仿宋_GB2312"/>
                <w:szCs w:val="30"/>
              </w:rPr>
            </w:pPr>
            <w:bookmarkStart w:id="15" w:name="_Toc39911678"/>
            <w:r>
              <w:rPr>
                <w:rFonts w:hint="eastAsia"/>
                <w:szCs w:val="30"/>
              </w:rPr>
              <w:t>《北京市长城保护管理办法》案由1项</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ascii="仿宋_GB2312" w:hAnsi="宋体" w:eastAsia="仿宋_GB2312" w:cs="宋体"/>
                <w:kern w:val="0"/>
                <w:szCs w:val="21"/>
              </w:rPr>
              <w:t>在长城保护范围和建设控制地带内设置</w:t>
            </w:r>
            <w:r>
              <w:rPr>
                <w:rFonts w:hint="eastAsia" w:ascii="仿宋_GB2312" w:hAnsi="宋体" w:eastAsia="仿宋_GB2312" w:cs="宋体"/>
                <w:kern w:val="0"/>
                <w:szCs w:val="21"/>
              </w:rPr>
              <w:t>不符合要求</w:t>
            </w:r>
            <w:r>
              <w:rPr>
                <w:rFonts w:ascii="仿宋_GB2312" w:hAnsi="宋体" w:eastAsia="仿宋_GB2312" w:cs="宋体"/>
                <w:kern w:val="0"/>
                <w:szCs w:val="21"/>
              </w:rPr>
              <w:t>的标志标牌</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第十二条</w:t>
            </w:r>
            <w:r>
              <w:rPr>
                <w:rFonts w:hint="eastAsia" w:ascii="仿宋_GB2312" w:hAnsi="宋体" w:eastAsia="仿宋_GB2312" w:cs="宋体"/>
                <w:kern w:val="0"/>
                <w:szCs w:val="21"/>
              </w:rPr>
              <w:t>第二款；处罚条款：</w:t>
            </w:r>
            <w:r>
              <w:rPr>
                <w:rFonts w:ascii="仿宋_GB2312" w:hAnsi="宋体" w:eastAsia="仿宋_GB2312" w:cs="宋体"/>
                <w:kern w:val="0"/>
                <w:szCs w:val="21"/>
              </w:rPr>
              <w:t>第十七条</w:t>
            </w:r>
            <w:r>
              <w:rPr>
                <w:rFonts w:hint="eastAsia" w:ascii="仿宋_GB2312" w:hAnsi="宋体" w:eastAsia="仿宋_GB2312" w:cs="宋体"/>
                <w:kern w:val="0"/>
                <w:szCs w:val="21"/>
              </w:rPr>
              <w:t>，</w:t>
            </w:r>
            <w:r>
              <w:rPr>
                <w:rFonts w:ascii="仿宋_GB2312" w:hAnsi="宋体" w:eastAsia="仿宋_GB2312" w:cs="宋体"/>
                <w:kern w:val="0"/>
                <w:szCs w:val="21"/>
              </w:rPr>
              <w:t xml:space="preserve">责令拆除或者更换，并可处200元以上1000元以下的罚款。 </w:t>
            </w:r>
          </w:p>
        </w:tc>
        <w:tc>
          <w:tcPr>
            <w:tcW w:w="961" w:type="dxa"/>
            <w:gridSpan w:val="4"/>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458" w:type="dxa"/>
            <w:gridSpan w:val="34"/>
            <w:shd w:val="clear" w:color="auto" w:fill="auto"/>
            <w:noWrap/>
            <w:vAlign w:val="center"/>
          </w:tcPr>
          <w:p>
            <w:pPr>
              <w:pStyle w:val="3"/>
              <w:rPr>
                <w:rFonts w:ascii="仿宋_GB2312" w:eastAsia="仿宋_GB2312"/>
                <w:szCs w:val="30"/>
              </w:rPr>
            </w:pPr>
            <w:bookmarkStart w:id="16" w:name="_Toc39911679"/>
            <w:r>
              <w:rPr>
                <w:rFonts w:hint="eastAsia"/>
                <w:szCs w:val="30"/>
              </w:rPr>
              <w:t>《北京历史文化名城保护条例》案由1项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损毁或者非法移动、拆除历史文化保护标志</w:t>
            </w:r>
          </w:p>
        </w:tc>
        <w:tc>
          <w:tcPr>
            <w:tcW w:w="4318" w:type="dxa"/>
            <w:gridSpan w:val="8"/>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违反条款：第二十八条第二款；处罚条款：第三十七条  责令改正，可以并处200元以上500元以下的罚款。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458" w:type="dxa"/>
            <w:gridSpan w:val="34"/>
            <w:shd w:val="clear" w:color="auto" w:fill="auto"/>
            <w:noWrap/>
            <w:vAlign w:val="center"/>
          </w:tcPr>
          <w:p>
            <w:pPr>
              <w:pStyle w:val="3"/>
              <w:rPr>
                <w:rFonts w:ascii="仿宋_GB2312" w:eastAsia="仿宋_GB2312"/>
                <w:szCs w:val="30"/>
              </w:rPr>
            </w:pPr>
            <w:bookmarkStart w:id="17" w:name="_Toc39911680"/>
            <w:r>
              <w:rPr>
                <w:rFonts w:hint="eastAsia"/>
                <w:szCs w:val="30"/>
              </w:rPr>
              <w:t>《北京市架空线管理若干规定》案由</w:t>
            </w:r>
            <w:r>
              <w:rPr>
                <w:szCs w:val="30"/>
              </w:rPr>
              <w:t>7</w:t>
            </w:r>
            <w:r>
              <w:rPr>
                <w:rFonts w:hint="eastAsia"/>
                <w:szCs w:val="30"/>
              </w:rPr>
              <w:t>项</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设置架空线不符合设置架空线行政许可决定</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违反条款：第九条第一款；处罚条款：第十九条第一款 责令限期改正，可以处200元以上2000元以下罚款。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1.对其它管线正常使用造成影响的，系数4；2.影响交通通行，或者造成其它安全隐患的，系数4。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行政许可有效期届满未清除架空线</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违反条款：第九条第二款；处罚条款：第十九条第二款 ，责令限期改正，可以处300元以上3000元以下罚款。逾期不改正的，由区县市政市容行政管理部门组织清除。</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每逾期1天，系数1，以此累加。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未按要求在架空线的显著位置设置标识信息</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 违反条款：第十条第(一)项；处罚条款：第二十条第一款；责令限期改正，可以处200元以上2000元以下罚款。 </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对其它管线正常使用造成影响，或者造成其它安全隐患的，系数4。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4</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 xml:space="preserve">发现架空线存在影响安全或者市容景观情况未立及时处理 </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违反条款：第十条第(四)项；处罚条款：第二十条第一款；责令限期改正，可以处200元以上2000元以下罚款。 </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经责令改正仍未及时处理的，自责改之日起每逾期1天，系数1，以此累加。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发现擅自搭挂的线缆，未按要求清除或者报告</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违反条款：第十条第(六)项；处罚条款：第二十条第一款；责令限期改正，可以处200元以上2000元以下罚款。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经责令改正仍未及时清除或者报告的，自责改之日起每逾期1天，系数1，以此累加。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未及时清除废弃架空线</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 xml:space="preserve">违反条款：第十条第(五)项；处罚条款：第二十条第二款；责令限期改正，可以处300元以上3000元以下罚款。逾期不改正的，由区县市政市容行政管理部门组织清除。 </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经责令改正仍未及时处理的，自责改之日起每逾期1天，系数1，以此累加。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未按要求实施架空线埋设入地</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违反条款：第十三条第二款；处罚条款：第二十一条；责令限期改正，可以处3000元以上3万元以下罚款。架空线管理人逾期不改正的，由区县市政市容行政管理部门组织清除。</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经责令改正，仍未制定入地方案，并及时采取入地措施的，自责改之日起每逾期5天，系数1，以此累加。</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w:t>
            </w:r>
            <w:r>
              <w:rPr>
                <w:rFonts w:ascii="仿宋_GB2312" w:hAnsi="宋体" w:eastAsia="仿宋_GB2312" w:cs="宋体"/>
                <w:kern w:val="0"/>
                <w:szCs w:val="21"/>
              </w:rPr>
              <w:t>0</w:t>
            </w:r>
            <w:r>
              <w:rPr>
                <w:rFonts w:hint="eastAsia" w:ascii="仿宋_GB2312" w:hAnsi="宋体" w:eastAsia="仿宋_GB2312" w:cs="宋体"/>
                <w:kern w:val="0"/>
                <w:szCs w:val="21"/>
              </w:rPr>
              <w:t>×（1＋区域系数＋变量系数）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458" w:type="dxa"/>
            <w:gridSpan w:val="34"/>
            <w:shd w:val="clear" w:color="auto" w:fill="auto"/>
            <w:noWrap/>
            <w:vAlign w:val="center"/>
          </w:tcPr>
          <w:p>
            <w:pPr>
              <w:pStyle w:val="3"/>
              <w:rPr>
                <w:rFonts w:ascii="仿宋_GB2312" w:eastAsia="仿宋_GB2312"/>
                <w:szCs w:val="30"/>
              </w:rPr>
            </w:pPr>
            <w:bookmarkStart w:id="18" w:name="_Toc39911681"/>
            <w:r>
              <w:rPr>
                <w:rFonts w:hint="eastAsia"/>
                <w:szCs w:val="30"/>
              </w:rPr>
              <w:t>《城市照明管理规定》案由2项</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在城市景观照明中有过度照明等超能耗标准行为</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违反条款：第十九条第二款；处罚条款：　第三十一条,责令限期改正；逾期未改正的，处以1000元以上3万元以下的罚款。</w:t>
            </w:r>
          </w:p>
        </w:tc>
        <w:tc>
          <w:tcPr>
            <w:tcW w:w="961" w:type="dxa"/>
            <w:gridSpan w:val="4"/>
            <w:shd w:val="clear" w:color="auto" w:fill="auto"/>
            <w:noWrap/>
            <w:vAlign w:val="center"/>
          </w:tcPr>
          <w:p>
            <w:pPr>
              <w:widowControl/>
              <w:spacing w:line="0" w:lineRule="atLeast"/>
              <w:rPr>
                <w:rFonts w:ascii="仿宋_GB2312" w:eastAsia="仿宋_GB2312"/>
              </w:rPr>
            </w:pPr>
            <w:r>
              <w:rPr>
                <w:rFonts w:hint="eastAsia" w:ascii="仿宋_GB2312" w:eastAsia="仿宋_GB2312"/>
              </w:rPr>
              <w:t>1000</w:t>
            </w:r>
          </w:p>
        </w:tc>
        <w:tc>
          <w:tcPr>
            <w:tcW w:w="720" w:type="dxa"/>
            <w:gridSpan w:val="2"/>
            <w:shd w:val="clear" w:color="auto" w:fill="auto"/>
            <w:noWrap/>
            <w:vAlign w:val="center"/>
          </w:tcPr>
          <w:p>
            <w:pPr>
              <w:widowControl/>
              <w:spacing w:line="0" w:lineRule="atLeast"/>
              <w:rPr>
                <w:rFonts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eastAsia="仿宋_GB2312"/>
              </w:rPr>
            </w:pPr>
            <w:r>
              <w:rPr>
                <w:rFonts w:hint="eastAsia" w:ascii="仿宋_GB2312" w:eastAsia="仿宋_GB2312"/>
              </w:rPr>
              <w:t>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vMerge w:val="restart"/>
            <w:shd w:val="clear" w:color="auto" w:fill="auto"/>
            <w:vAlign w:val="center"/>
          </w:tcPr>
          <w:p>
            <w:pPr>
              <w:rPr>
                <w:rFonts w:ascii="仿宋_GB2312" w:hAnsi="宋体" w:eastAsia="仿宋_GB2312" w:cs="宋体"/>
                <w:sz w:val="24"/>
              </w:rPr>
            </w:pPr>
            <w:r>
              <w:rPr>
                <w:rFonts w:hint="eastAsia" w:ascii="仿宋_GB2312" w:eastAsia="仿宋_GB2312"/>
              </w:rPr>
              <w:t>实施影响城市照明设施正常运行的行为</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二十八条第（一）项、第（二）项、第（三）项、第（四）项、第（五）项；处罚条款：第三十二条,责令限期改正，对个人处以200元以上1000元以下的罚款；对单位处以1000元以上3万元以下的罚款；造成损失的，依法赔偿损失。</w:t>
            </w:r>
          </w:p>
        </w:tc>
        <w:tc>
          <w:tcPr>
            <w:tcW w:w="961" w:type="dxa"/>
            <w:gridSpan w:val="4"/>
            <w:shd w:val="clear" w:color="auto" w:fill="auto"/>
            <w:noWrap/>
            <w:vAlign w:val="center"/>
          </w:tcPr>
          <w:p>
            <w:pPr>
              <w:widowControl/>
              <w:spacing w:line="0" w:lineRule="atLeast"/>
              <w:rPr>
                <w:rFonts w:ascii="仿宋_GB2312" w:eastAsia="仿宋_GB2312"/>
              </w:rPr>
            </w:pPr>
            <w:r>
              <w:rPr>
                <w:rFonts w:hint="eastAsia" w:ascii="仿宋_GB2312" w:eastAsia="仿宋_GB2312"/>
              </w:rPr>
              <w:t>200</w:t>
            </w:r>
          </w:p>
          <w:p>
            <w:pPr>
              <w:widowControl/>
              <w:spacing w:line="0" w:lineRule="atLeast"/>
              <w:rPr>
                <w:rFonts w:ascii="仿宋_GB2312" w:eastAsia="仿宋_GB2312"/>
              </w:rPr>
            </w:pPr>
            <w:r>
              <w:rPr>
                <w:rFonts w:hint="eastAsia" w:ascii="仿宋_GB2312" w:eastAsia="仿宋_GB2312"/>
              </w:rPr>
              <w:t>（个人）</w:t>
            </w:r>
          </w:p>
        </w:tc>
        <w:tc>
          <w:tcPr>
            <w:tcW w:w="720" w:type="dxa"/>
            <w:gridSpan w:val="2"/>
            <w:shd w:val="clear" w:color="auto" w:fill="auto"/>
            <w:noWrap/>
            <w:vAlign w:val="center"/>
          </w:tcPr>
          <w:p>
            <w:pPr>
              <w:widowControl/>
              <w:spacing w:line="0" w:lineRule="atLeast"/>
              <w:rPr>
                <w:rFonts w:ascii="仿宋_GB2312" w:eastAsia="仿宋_GB2312"/>
              </w:rPr>
            </w:pPr>
            <w:r>
              <w:rPr>
                <w:rFonts w:hint="eastAsia" w:ascii="仿宋_GB2312" w:eastAsia="仿宋_GB2312"/>
              </w:rPr>
              <w:t>1</w:t>
            </w:r>
          </w:p>
        </w:tc>
        <w:tc>
          <w:tcPr>
            <w:tcW w:w="3600" w:type="dxa"/>
            <w:gridSpan w:val="7"/>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刻划、涂污照明设施多处，或者严重污损照明设施的，系数4；存在其它已严重危害或者影响设施正常运行的行为，系数为4-9。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vMerge w:val="restart"/>
            <w:shd w:val="clear" w:color="auto" w:fill="auto"/>
            <w:noWrap/>
            <w:vAlign w:val="center"/>
          </w:tcPr>
          <w:p>
            <w:pPr>
              <w:widowControl/>
              <w:spacing w:line="0" w:lineRule="atLeast"/>
              <w:rPr>
                <w:rFonts w:ascii="仿宋_GB2312" w:eastAsia="仿宋_GB2312"/>
              </w:rPr>
            </w:pPr>
            <w:r>
              <w:rPr>
                <w:rFonts w:hint="eastAsia" w:ascii="仿宋_GB2312" w:eastAsia="仿宋_GB2312"/>
              </w:rPr>
              <w:t>对张贴宣传品、设置广告等行为，《北京市市容环境卫生条例》有规定的，建议适用其规定和裁量。未作具体规定的，依此案由为补充。</w:t>
            </w:r>
          </w:p>
          <w:p>
            <w:pPr>
              <w:widowControl/>
              <w:spacing w:line="0" w:lineRule="atLeast"/>
              <w:rPr>
                <w:rFonts w:ascii="仿宋_GB2312" w:eastAsia="仿宋_GB2312"/>
              </w:rPr>
            </w:pPr>
            <w:r>
              <w:rPr>
                <w:rFonts w:hint="eastAsia" w:ascii="仿宋_GB2312" w:eastAsia="仿宋_GB2312"/>
              </w:rPr>
              <w:t>根据实际，选择款项。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rPr>
                <w:rFonts w:ascii="仿宋_GB2312" w:eastAsia="仿宋_GB2312"/>
              </w:rPr>
            </w:pPr>
            <w:r>
              <w:rPr>
                <w:rFonts w:hint="eastAsia" w:ascii="仿宋_GB2312" w:eastAsia="仿宋_GB2312"/>
              </w:rPr>
              <w:t>1000</w:t>
            </w:r>
          </w:p>
          <w:p>
            <w:pPr>
              <w:widowControl/>
              <w:spacing w:line="0" w:lineRule="atLeast"/>
              <w:rPr>
                <w:rFonts w:ascii="仿宋_GB2312" w:eastAsia="仿宋_GB2312"/>
              </w:rPr>
            </w:pPr>
            <w:r>
              <w:rPr>
                <w:rFonts w:hint="eastAsia" w:ascii="仿宋_GB2312" w:eastAsia="仿宋_GB2312"/>
              </w:rPr>
              <w:t>（单位）</w:t>
            </w:r>
          </w:p>
        </w:tc>
        <w:tc>
          <w:tcPr>
            <w:tcW w:w="720" w:type="dxa"/>
            <w:gridSpan w:val="2"/>
            <w:shd w:val="clear" w:color="auto" w:fill="auto"/>
            <w:noWrap/>
            <w:vAlign w:val="center"/>
          </w:tcPr>
          <w:p>
            <w:pPr>
              <w:widowControl/>
              <w:spacing w:line="0" w:lineRule="atLeast"/>
              <w:rPr>
                <w:rFonts w:ascii="仿宋_GB2312" w:eastAsia="仿宋_GB2312"/>
              </w:rPr>
            </w:pPr>
            <w:r>
              <w:rPr>
                <w:rFonts w:hint="eastAsia" w:ascii="仿宋_GB2312" w:eastAsia="仿宋_GB2312"/>
              </w:rPr>
              <w:t>1</w:t>
            </w: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罚款数额＝1000×（1＋区域系数＋情节系数＋变量系数）</w:t>
            </w:r>
          </w:p>
        </w:tc>
        <w:tc>
          <w:tcPr>
            <w:tcW w:w="2415" w:type="dxa"/>
            <w:gridSpan w:val="7"/>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5458" w:type="dxa"/>
            <w:gridSpan w:val="34"/>
            <w:shd w:val="clear" w:color="auto" w:fill="auto"/>
            <w:noWrap/>
            <w:vAlign w:val="center"/>
          </w:tcPr>
          <w:p>
            <w:pPr>
              <w:pStyle w:val="3"/>
              <w:rPr>
                <w:rFonts w:hint="eastAsia" w:ascii="仿宋_GB2312" w:eastAsia="仿宋_GB2312"/>
                <w:szCs w:val="21"/>
              </w:rPr>
            </w:pPr>
            <w:bookmarkStart w:id="19" w:name="_Toc39911682"/>
            <w:bookmarkStart w:id="76" w:name="_GoBack"/>
            <w:bookmarkEnd w:id="76"/>
            <w:r>
              <w:rPr>
                <w:rFonts w:hint="eastAsia"/>
                <w:szCs w:val="30"/>
              </w:rPr>
              <w:t>《北京市</w:t>
            </w:r>
            <w:r>
              <w:rPr>
                <w:szCs w:val="30"/>
              </w:rPr>
              <w:t>物业管理条例</w:t>
            </w:r>
            <w:r>
              <w:rPr>
                <w:rFonts w:hint="eastAsia"/>
                <w:szCs w:val="30"/>
              </w:rPr>
              <w:t>》案由1项</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占用、堵塞、封闭其他共用部位（或者损坏其他共用设施设备）</w:t>
            </w:r>
          </w:p>
        </w:tc>
        <w:tc>
          <w:tcPr>
            <w:tcW w:w="4318" w:type="dxa"/>
            <w:gridSpan w:val="8"/>
            <w:vMerge w:val="restart"/>
            <w:shd w:val="clear" w:color="auto" w:fill="auto"/>
            <w:vAlign w:val="center"/>
          </w:tcPr>
          <w:p>
            <w:pPr>
              <w:rPr>
                <w:rFonts w:hint="eastAsia" w:ascii="仿宋_GB2312" w:eastAsia="仿宋_GB2312"/>
              </w:rPr>
            </w:pPr>
            <w:r>
              <w:rPr>
                <w:rFonts w:hint="eastAsia" w:ascii="仿宋_GB2312" w:eastAsia="仿宋_GB2312"/>
              </w:rPr>
              <w:t>违反条款：第七十八条第二款第(十)项。</w:t>
            </w:r>
          </w:p>
          <w:p>
            <w:pPr>
              <w:rPr>
                <w:rFonts w:ascii="仿宋_GB2312" w:eastAsia="仿宋_GB2312"/>
              </w:rPr>
            </w:pPr>
            <w:r>
              <w:rPr>
                <w:rFonts w:hint="eastAsia" w:ascii="仿宋_GB2312" w:eastAsia="仿宋_GB2312"/>
              </w:rPr>
              <w:t>处罚条款：第九十八条第(十)项，责令改正，给予警告，对单位处二千元以上二万元以下的罚款，对个人处二百元以上五百元以下的罚款。</w:t>
            </w:r>
          </w:p>
        </w:tc>
        <w:tc>
          <w:tcPr>
            <w:tcW w:w="961" w:type="dxa"/>
            <w:gridSpan w:val="4"/>
            <w:shd w:val="clear" w:color="auto" w:fill="auto"/>
            <w:noWrap/>
            <w:vAlign w:val="center"/>
          </w:tcPr>
          <w:p>
            <w:pPr>
              <w:widowControl/>
              <w:spacing w:line="0" w:lineRule="atLeast"/>
              <w:rPr>
                <w:rFonts w:hint="eastAsia" w:ascii="仿宋_GB2312" w:eastAsia="仿宋_GB2312"/>
              </w:rPr>
            </w:pPr>
            <w:r>
              <w:rPr>
                <w:rFonts w:hint="eastAsia" w:ascii="仿宋_GB2312" w:eastAsia="仿宋_GB2312"/>
              </w:rPr>
              <w:t>2000（单位）</w:t>
            </w:r>
          </w:p>
        </w:tc>
        <w:tc>
          <w:tcPr>
            <w:tcW w:w="720" w:type="dxa"/>
            <w:gridSpan w:val="2"/>
            <w:shd w:val="clear" w:color="auto" w:fill="auto"/>
            <w:noWrap/>
            <w:vAlign w:val="center"/>
          </w:tcPr>
          <w:p>
            <w:pPr>
              <w:widowControl/>
              <w:spacing w:line="0" w:lineRule="atLeast"/>
              <w:rPr>
                <w:rFonts w:hint="eastAsia"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占用、堵塞、封闭共用部位空间较大、损坏共用设施设备较为严重的，系数9。</w:t>
            </w:r>
          </w:p>
        </w:tc>
        <w:tc>
          <w:tcPr>
            <w:tcW w:w="1740" w:type="dxa"/>
            <w:gridSpan w:val="2"/>
            <w:shd w:val="clear" w:color="auto" w:fill="auto"/>
            <w:vAlign w:val="center"/>
          </w:tcPr>
          <w:p>
            <w:pPr>
              <w:widowControl/>
              <w:spacing w:line="0" w:lineRule="atLeast"/>
              <w:rPr>
                <w:rFonts w:hint="eastAsia" w:ascii="仿宋_GB2312" w:hAnsi="宋体" w:eastAsia="仿宋_GB2312" w:cs="宋体"/>
                <w:kern w:val="0"/>
                <w:szCs w:val="21"/>
              </w:rPr>
            </w:pPr>
            <w:r>
              <w:rPr>
                <w:rFonts w:hint="eastAsia" w:ascii="仿宋_GB2312" w:hAnsi="宋体" w:eastAsia="仿宋_GB2312" w:cs="宋体"/>
                <w:kern w:val="0"/>
                <w:szCs w:val="21"/>
              </w:rPr>
              <w:t>罚款数额＝2000×（1＋情节系数＋变量系数）</w:t>
            </w:r>
          </w:p>
        </w:tc>
        <w:tc>
          <w:tcPr>
            <w:tcW w:w="2415" w:type="dxa"/>
            <w:gridSpan w:val="7"/>
            <w:shd w:val="clear" w:color="auto" w:fill="auto"/>
            <w:noWrap/>
            <w:vAlign w:val="center"/>
          </w:tcPr>
          <w:p>
            <w:pPr>
              <w:spacing w:line="360" w:lineRule="exact"/>
              <w:rPr>
                <w:rFonts w:ascii="仿宋_GB2312" w:eastAsia="仿宋_GB2312"/>
                <w:szCs w:val="21"/>
              </w:rPr>
            </w:pPr>
            <w:r>
              <w:rPr>
                <w:rFonts w:hint="eastAsia" w:ascii="仿宋_GB2312" w:eastAsia="仿宋_GB2312"/>
                <w:szCs w:val="21"/>
              </w:rPr>
              <w:t>做好与本市机动车停车管理法规、规章，以及与消防部门职责分工的衔接。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3" w:type="dxa"/>
            <w:gridSpan w:val="2"/>
            <w:vMerge w:val="continue"/>
            <w:shd w:val="clear" w:color="auto" w:fill="auto"/>
            <w:noWrap/>
            <w:vAlign w:val="center"/>
          </w:tcPr>
          <w:p>
            <w:pPr>
              <w:widowControl/>
              <w:spacing w:line="0" w:lineRule="atLeast"/>
              <w:rPr>
                <w:rFonts w:hint="eastAsia" w:ascii="仿宋_GB2312" w:hAnsi="宋体" w:eastAsia="仿宋_GB2312" w:cs="宋体"/>
                <w:kern w:val="0"/>
                <w:szCs w:val="21"/>
              </w:rPr>
            </w:pPr>
          </w:p>
        </w:tc>
        <w:tc>
          <w:tcPr>
            <w:tcW w:w="1201" w:type="dxa"/>
            <w:gridSpan w:val="2"/>
            <w:vMerge w:val="continue"/>
            <w:shd w:val="clear" w:color="auto" w:fill="auto"/>
            <w:vAlign w:val="center"/>
          </w:tcPr>
          <w:p>
            <w:pPr>
              <w:rPr>
                <w:rFonts w:hint="eastAsia" w:ascii="仿宋_GB2312" w:eastAsia="仿宋_GB2312"/>
              </w:rPr>
            </w:pPr>
          </w:p>
        </w:tc>
        <w:tc>
          <w:tcPr>
            <w:tcW w:w="4318" w:type="dxa"/>
            <w:gridSpan w:val="8"/>
            <w:vMerge w:val="continue"/>
            <w:shd w:val="clear" w:color="auto" w:fill="auto"/>
            <w:vAlign w:val="center"/>
          </w:tcPr>
          <w:p>
            <w:pPr>
              <w:rPr>
                <w:rFonts w:hint="eastAsia" w:ascii="仿宋_GB2312" w:eastAsia="仿宋_GB2312"/>
              </w:rPr>
            </w:pPr>
          </w:p>
        </w:tc>
        <w:tc>
          <w:tcPr>
            <w:tcW w:w="961" w:type="dxa"/>
            <w:gridSpan w:val="4"/>
            <w:shd w:val="clear" w:color="auto" w:fill="auto"/>
            <w:noWrap/>
            <w:vAlign w:val="center"/>
          </w:tcPr>
          <w:p>
            <w:pPr>
              <w:widowControl/>
              <w:spacing w:line="0" w:lineRule="atLeast"/>
              <w:rPr>
                <w:rFonts w:hint="eastAsia" w:ascii="仿宋_GB2312" w:eastAsia="仿宋_GB2312"/>
              </w:rPr>
            </w:pPr>
            <w:r>
              <w:rPr>
                <w:rFonts w:hint="eastAsia" w:ascii="仿宋_GB2312" w:eastAsia="仿宋_GB2312"/>
              </w:rPr>
              <w:t>200（个人）</w:t>
            </w:r>
          </w:p>
        </w:tc>
        <w:tc>
          <w:tcPr>
            <w:tcW w:w="720" w:type="dxa"/>
            <w:gridSpan w:val="2"/>
            <w:shd w:val="clear" w:color="auto" w:fill="auto"/>
            <w:noWrap/>
            <w:vAlign w:val="center"/>
          </w:tcPr>
          <w:p>
            <w:pPr>
              <w:widowControl/>
              <w:spacing w:line="0" w:lineRule="atLeast"/>
              <w:rPr>
                <w:rFonts w:hint="eastAsia"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占用、堵塞、封闭共用部位空间较大、损坏共用设施设备较为严重的，系数1。</w:t>
            </w:r>
          </w:p>
        </w:tc>
        <w:tc>
          <w:tcPr>
            <w:tcW w:w="1740" w:type="dxa"/>
            <w:gridSpan w:val="2"/>
            <w:shd w:val="clear" w:color="auto" w:fill="auto"/>
            <w:vAlign w:val="center"/>
          </w:tcPr>
          <w:p>
            <w:pPr>
              <w:widowControl/>
              <w:spacing w:line="0" w:lineRule="atLeast"/>
              <w:rPr>
                <w:rFonts w:hint="eastAsia"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shd w:val="clear" w:color="auto" w:fill="auto"/>
            <w:noWrap/>
            <w:vAlign w:val="center"/>
          </w:tcPr>
          <w:p>
            <w:pPr>
              <w:widowControl/>
              <w:spacing w:line="360" w:lineRule="exact"/>
              <w:jc w:val="left"/>
              <w:rPr>
                <w:rFonts w:ascii="仿宋_GB2312" w:eastAsia="仿宋_GB2312"/>
                <w:szCs w:val="21"/>
              </w:rPr>
            </w:pPr>
            <w:r>
              <w:rPr>
                <w:rFonts w:hint="eastAsia" w:ascii="仿宋_GB2312" w:eastAsia="仿宋_GB2312"/>
                <w:szCs w:val="21"/>
              </w:rPr>
              <w:t>如</w:t>
            </w:r>
            <w:r>
              <w:rPr>
                <w:rFonts w:ascii="仿宋_GB2312" w:eastAsia="仿宋_GB2312"/>
                <w:szCs w:val="21"/>
              </w:rPr>
              <w:t>情节</w:t>
            </w:r>
            <w:r>
              <w:rPr>
                <w:rFonts w:hint="eastAsia" w:ascii="仿宋_GB2312" w:eastAsia="仿宋_GB2312"/>
                <w:szCs w:val="21"/>
              </w:rPr>
              <w:t>较为</w:t>
            </w:r>
            <w:r>
              <w:rPr>
                <w:rFonts w:ascii="仿宋_GB2312" w:eastAsia="仿宋_GB2312"/>
                <w:szCs w:val="21"/>
              </w:rPr>
              <w:t>严重，可直接实施高限</w:t>
            </w:r>
            <w:r>
              <w:rPr>
                <w:rFonts w:hint="eastAsia" w:ascii="仿宋_GB2312" w:eastAsia="仿宋_GB2312"/>
                <w:szCs w:val="21"/>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2"/>
              <w:rPr>
                <w:rFonts w:ascii="方正小标宋简体" w:hAnsi="宋体" w:cs="宋体"/>
                <w:szCs w:val="36"/>
              </w:rPr>
            </w:pPr>
            <w:bookmarkStart w:id="20" w:name="_Toc39911683"/>
            <w:r>
              <w:rPr>
                <w:rFonts w:hint="eastAsia" w:ascii="方正小标宋简体"/>
                <w:szCs w:val="36"/>
              </w:rPr>
              <w:t>市政管理方面22项</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458" w:type="dxa"/>
            <w:gridSpan w:val="34"/>
            <w:shd w:val="clear" w:color="auto" w:fill="auto"/>
            <w:noWrap/>
            <w:vAlign w:val="center"/>
          </w:tcPr>
          <w:p>
            <w:pPr>
              <w:pStyle w:val="3"/>
              <w:rPr>
                <w:szCs w:val="30"/>
              </w:rPr>
            </w:pPr>
            <w:bookmarkStart w:id="21" w:name="_Toc39911684"/>
            <w:r>
              <w:rPr>
                <w:rFonts w:hint="eastAsia"/>
                <w:szCs w:val="30"/>
              </w:rPr>
              <w:t>《北京市无障碍设施建设和管理条例》案由1项</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损毁城市道路范围内无障碍设施</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违反条款：第二十三条；</w:t>
            </w:r>
          </w:p>
          <w:p>
            <w:pPr>
              <w:rPr>
                <w:rFonts w:ascii="仿宋_GB2312" w:hAnsi="宋体" w:eastAsia="仿宋_GB2312" w:cs="宋体"/>
                <w:kern w:val="0"/>
                <w:szCs w:val="21"/>
              </w:rPr>
            </w:pPr>
            <w:r>
              <w:rPr>
                <w:rFonts w:hint="eastAsia" w:ascii="仿宋_GB2312" w:hAnsi="宋体" w:eastAsia="仿宋_GB2312" w:cs="宋体"/>
                <w:kern w:val="0"/>
                <w:szCs w:val="21"/>
              </w:rPr>
              <w:t>处罚条款：第二十七条第（二）项 处500元以上3000元以下罚款。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hAnsi="宋体" w:eastAsia="仿宋_GB2312" w:cs="宋体"/>
                <w:kern w:val="0"/>
                <w:szCs w:val="21"/>
              </w:rPr>
              <w:t>1.对通行秩序、市容秩序造成较大影响的，系数2；2.造成行人伤亡或其它事故的，系数5。</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58" w:type="dxa"/>
            <w:gridSpan w:val="34"/>
            <w:shd w:val="clear" w:color="auto" w:fill="auto"/>
            <w:noWrap/>
            <w:vAlign w:val="center"/>
          </w:tcPr>
          <w:p>
            <w:pPr>
              <w:pStyle w:val="3"/>
            </w:pPr>
            <w:bookmarkStart w:id="22" w:name="_Toc39911685"/>
            <w:r>
              <w:rPr>
                <w:rFonts w:hint="eastAsia"/>
              </w:rPr>
              <w:t>《城市道路管理条例》《北京市城市道路管理办法》案由16项</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城市道路上设置的检查井、箱盖或者城市道路附属设施发生缺损未及时补缺或者修复</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违反条款：《条例》第二十三条；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处罚条款：《条例》第四十二条第（一）项 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1.对通行秩序、市容秩序造成较大影响的，系数4；2.造成行人伤亡或其它严重事故的，系数9。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注意此案由与《北京市地下设施检查井井盖管理规定》等法规相关案由的区别适用。</w:t>
            </w:r>
          </w:p>
          <w:p>
            <w:pPr>
              <w:widowControl/>
              <w:jc w:val="left"/>
            </w:pPr>
            <w:r>
              <w:rPr>
                <w:rFonts w:hint="eastAsia" w:ascii="仿宋_GB2312" w:hAnsi="宋体" w:eastAsia="仿宋_GB2312" w:cs="宋体"/>
                <w:szCs w:val="21"/>
              </w:rPr>
              <w:t>拆改室内共用供热设施、扩大采暖面积、增加散热设备</w:t>
            </w:r>
          </w:p>
          <w:p>
            <w:pPr>
              <w:widowControl/>
              <w:jc w:val="left"/>
            </w:pPr>
            <w:r>
              <w:rPr>
                <w:rFonts w:hint="eastAsia" w:ascii="仿宋_GB2312" w:hAnsi="宋体" w:eastAsia="仿宋_GB2312" w:cs="宋体"/>
                <w:szCs w:val="21"/>
              </w:rPr>
              <w:t>需要</w:t>
            </w:r>
            <w:r>
              <w:rPr>
                <w:rFonts w:ascii="仿宋_GB2312" w:hAnsi="宋体" w:eastAsia="仿宋_GB2312" w:cs="宋体"/>
                <w:szCs w:val="21"/>
              </w:rPr>
              <w:t>作出</w:t>
            </w:r>
            <w:r>
              <w:rPr>
                <w:rFonts w:hint="eastAsia" w:ascii="仿宋_GB2312" w:hAnsi="宋体" w:eastAsia="仿宋_GB2312" w:cs="宋体"/>
                <w:szCs w:val="21"/>
              </w:rPr>
              <w:t>其它处罚额度决定的，说明理由，报案审会决定</w:t>
            </w:r>
            <w:r>
              <w:rPr>
                <w:rFonts w:ascii="仿宋_GB2312" w:hAnsi="宋体" w:eastAsia="仿宋_GB2312"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擅自占用、挖掘城市道路</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违反条款：《条例》第二十七条第（一）项；处罚条款：《条例》第四十二条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1.对通行秩序、市容秩序造成较大影响的，系数4；2.损毁地下管线或市政设施的，系数9；3.造成行人伤亡或其它严重事故的，系数9。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城市道路养护、维修工程施工现场未设置明显标志和安全防围设施</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违反条款：《条例》第二十四条；</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处罚条款：《条例》第四十二条第（二）项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1.违法行为持续2天以上的，含2天，系数1；2.违法地点位于人口相对集中地区或者交通路口等存在较大安全隐患的情形，系数2；3.造成行人伤亡或其它严重事故的，系数9。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挖掘城市道路施工现场未设置明显标志和安全防围设施</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违反条款：《条例》第三十五条；</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处罚条款：《条例》第四十二条第（二）项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1.违法行为持续2天以上的，含2天，系数1；2.违法地点位于人口相对集中地区或者交通路口等存在较大安全隐患的情形，系数2；3.造成行人伤亡或其它严重事故的，系数9。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占用城市道路期满未及时清理现场</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违反条款：《条例》第三十一条第二款；</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处罚条款：《条例》第四十二条第（三）项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1.违法行为持续2天以上的，含2天，系数1；2. 对通行秩序、市容秩序造成较大影响的，系数4；3.造成行人伤亡或其它严重事故的，系数9。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挖掘城市道路竣工未及时清理现场</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违反条款：《条例》第三十五条；</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处罚条款：《条例》第四十二条第（三）项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1.违法行为持续2天以上的，含2天，系数1；2. 对通行秩序、市容秩序造成较大影响的，系数4；3.造成行人伤亡或其它严重事故的，系数9。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紧急抢修埋设在城市道路下的管线，未按照规定补办批准手续</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违反条款：《条例》第三十四条；</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处罚条款：《条例》第四十二条第（五）项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应在24小时内申请补办，逾期未申请补办的，每延后1天，系数1。</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未按照批准的要求占用或者挖掘城市道路</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违反条款：《条例》第三十六条；</w:t>
            </w:r>
          </w:p>
          <w:p>
            <w:pPr>
              <w:rPr>
                <w:rFonts w:ascii="仿宋_GB2312" w:hAnsi="宋体" w:eastAsia="仿宋_GB2312" w:cs="宋体"/>
                <w:kern w:val="0"/>
                <w:szCs w:val="21"/>
              </w:rPr>
            </w:pPr>
            <w:r>
              <w:rPr>
                <w:rFonts w:hint="eastAsia" w:ascii="仿宋_GB2312" w:hAnsi="宋体" w:eastAsia="仿宋_GB2312" w:cs="宋体"/>
                <w:kern w:val="0"/>
                <w:szCs w:val="21"/>
              </w:rPr>
              <w:t>处罚条款：《条例》第四十二条第（六）项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1.对通行秩序、市容秩序造成较大影响的，系数4；2.损毁地下管线或市政设施的，系数9；3.造成行人伤亡或其它严重事故的，系数9。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履带车、铁轮车或者超重、超高、超长车辆未按规定在城市道路上行驶</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违反条款：《条例》第二十七条第（二）项；处罚条款：《条例》第四十二条：责令限期改正，可以处以2万元以下的罚款。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1.对城市道路造成较大损害的，或者对通行秩序、市容秩序造成较大影响的，系数4；2.造成行人伤亡或其它严重事故的，系数9。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机动车在桥梁或者非指定的城市道路上试刹车</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违反条款：《条例》第二十七条第（三）项。处罚条款：《条例》第四十二条：责令限期改正，可以处以2万元以下的罚款。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1.对城市道路造成较大损害的，或者对通行秩序、市容秩序造成较大影响的，系数4；2.造成行人伤亡或其它严重事故的，系数9。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擅自在城市道路上建设建筑物、搭建构筑物</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违反条款：《条例》第二十七条第（四）项；处罚条款：《条例》第四十二条：责令限期改正，可以处以2万元以下的罚款。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1.对通行秩序、市容秩序造成较大影响的，系数4；2.造成行人伤亡或其它严重事故的，系数9。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可按照“违法建设”案由进行查处。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在桥梁上架设压力在4公斤/平方厘米（0.4兆帕）以上的煤气管道、10千伏以上的高压电线和其它易燃易爆管线</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违反条款：《条例》第二十七条第（五）项；处罚条款：《条例》第四十二条 责令限期改正，可以处以2万元以下的罚款。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1.造成人员伤亡或者其它严重事故的，系数3；2.对桥梁造成损害影响使用的，系数3。</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r>
              <w:rPr>
                <w:rFonts w:hint="eastAsia" w:ascii="仿宋_GB2312" w:hAnsi="宋体" w:eastAsia="仿宋_GB2312" w:cs="宋体"/>
                <w:kern w:val="0"/>
                <w:szCs w:val="21"/>
              </w:rPr>
              <w:t>注意与《城市道路管理条例》“擅自依附城市道路、桥梁设置各种管线、杆线等设施”案由的区别。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擅自在桥梁或者路灯设施上设置广告牌或者其它挂浮物</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违反条款：《条例》第二十七条第（六）项；处罚条款：《条例》第四十二条 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1.对通行秩序、市容秩序造成较大影响的，系数4；2.造成行人伤亡或其它严重事故的，系数9；3.对桥梁、路灯设施造成损坏影响使用的，系数9。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对擅自设置户外广告、标语宣传品行为，可依据《北京市市容环境卫生条例》、《北京市户外广告设置管理办法》相关规定进行查处，对擅自在桥梁或者路灯设施上设置其它挂浮物行为，可据此案由进行查处。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擅自依附城市道路、桥梁设置各种管线、杆线等设施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违反条款：《条例》第二十九条；处罚条款：《条例》第四十二条第（四）项  责令限期改正，可以处以2万元以下的罚款。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1.影响交通通行，或者造成其它安全隐患的，系数4；2.造成行人伤亡或者其它严重事故的，系数9；3.对桥梁造成损害影响使用的，系数9。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eastAsia="仿宋_GB2312"/>
              </w:rPr>
              <w:t>注意与《北京市市容环境卫生条例》中“擅自架设管线设施”案由的区别。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ascii="仿宋_GB2312" w:hAnsi="宋体" w:eastAsia="仿宋_GB2312" w:cs="宋体"/>
                <w:kern w:val="0"/>
                <w:szCs w:val="21"/>
              </w:rPr>
              <w:t>15</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擅自拆改、移动城市道路设施或者设置障碍物</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违反条款：《办法》第二十条第（一）项和《条例》第二十七条第（七）项；处罚条款：《办法》第三十一条和《条例》第四十二条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1.对通行秩序、市容秩序造成较大影响的，系数4；2.造成行人伤亡或其它严重事故的，系数9。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利用城市桥梁进行牵拉、吊装等施工作业</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违反条款：《办法》第二十条第（四）项和《条例》第二十七条第（七）项；处罚条款：《办法》第三十一条和《条例》第四十二条 责令限期改正，可以处以2万元以下的罚款。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1.对通行秩序、市容秩序造成较大影响的，系数4；2.造成行人伤亡或其它严重事故的，系数9；3.对桥梁造成损害影响使用的，系数9。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458" w:type="dxa"/>
            <w:gridSpan w:val="34"/>
            <w:shd w:val="clear" w:color="auto" w:fill="auto"/>
            <w:noWrap/>
            <w:vAlign w:val="center"/>
          </w:tcPr>
          <w:p>
            <w:pPr>
              <w:pStyle w:val="3"/>
              <w:rPr>
                <w:rFonts w:ascii="仿宋_GB2312" w:eastAsia="仿宋_GB2312"/>
                <w:szCs w:val="21"/>
              </w:rPr>
            </w:pPr>
            <w:bookmarkStart w:id="23" w:name="_Toc39911686"/>
            <w:r>
              <w:rPr>
                <w:rFonts w:hint="eastAsia"/>
              </w:rPr>
              <w:t>《北京市地下设施检查井井盖管理规定》案由5项</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井盖管理单位未建立管理制度</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违反条款：第九条第一款；处罚条款：第十一条第一款，责令限期改正，并可处200元以上2000元以下罚款。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未及时补装、维修或更换井盖</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违反条款：第九条第二款；处罚条款：第十一条第一款,责令限期改正，并可处200元以上2000元以下罚款。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擅自移动井盖</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处罚条款：第十一条第一款：责令限期改正，并可处200元以上2000元以下罚款。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1．擅自移动车站、机场、居民小区、医院、学校、体育场馆、影剧院、繁华商业街区、旅游景区等人口集中地区井盖的，系数4；2.致人伤亡或者损害车辆等严重事故的，系数9。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井盖作业未采取安全措施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处罚条款：第十一条第一款 责令限期改正，并可处200元以上2000元以下罚款。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1．擅自移动车站、机场、居民小区、医院、学校、体育场馆、影剧院、繁华商业街区、旅游景区等人口集中地区井盖的，系数4；2.致人伤亡或者损害车辆等严重事故的，系数9。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井盖作业完毕未及时清理现场、恢复原状</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处罚条款：第十一条第一款 责令限期改正，并可处200元以上2000元以下罚款。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1．车站、机场、居民小区、医院、学校、体育场馆、影剧院、繁华商业街区、旅游景区等人口集中地区范围内的，系数4；2.致人伤亡或者损害车辆等严重事故的，系数9。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2"/>
              <w:rPr>
                <w:rFonts w:ascii="方正小标宋简体"/>
              </w:rPr>
            </w:pPr>
            <w:bookmarkStart w:id="24" w:name="_Toc39911687"/>
            <w:r>
              <w:rPr>
                <w:rFonts w:hint="eastAsia"/>
              </w:rPr>
              <w:t>公用事业管理方面案由78项</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3"/>
              <w:rPr>
                <w:sz w:val="24"/>
              </w:rPr>
            </w:pPr>
            <w:bookmarkStart w:id="25" w:name="_Toc39911688"/>
            <w:r>
              <w:rPr>
                <w:rFonts w:hint="eastAsia"/>
              </w:rPr>
              <w:t>《城镇燃气管理条例》案由30项</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未取得燃气经营许可从事经营活动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违反条款：第十五条第一款；处罚条款：第四十五条第一款 责令停止违法行为，处5万元以上50万元以下罚款。有违法所得的，没收违法所得。</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1.持续时间超过半年，系数4；1年以上，系数9；2.违规经营规模较大，或者经营场所在人口集中地区，存在较大安全隐患的，系数5；2.发生燃气安全事故的，系数9。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不按照燃气经营许可的规定从事经营活动</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违反条款：第十五条第一款；处罚条款：第四十五条第二款 责令限期改正，处3万元以上20万元以下罚款；有违法所得的，没收违法所得；情节严重的，吊销燃气经营许可证。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规经营时间较长（超过半年），规模较大，或者经营场所在人口集中地区，存在较大安全隐患的，系数4；2.未按燃气管理部门要求整改，或整改后再次发生类似违法行为的，系数6；3.发生燃气安全事故，系数6。</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燃气经营者不按照燃气经营许可证的规定从事燃气经营活动</w:t>
            </w:r>
            <w:r>
              <w:rPr>
                <w:rFonts w:hint="eastAsia" w:ascii="仿宋_GB2312" w:eastAsia="仿宋_GB2312"/>
              </w:rPr>
              <w:t>，有以下情形之一的吊销燃气经营许可证：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w:t>
            </w:r>
            <w:r>
              <w:rPr>
                <w:rFonts w:ascii="仿宋_GB2312" w:eastAsia="仿宋_GB2312"/>
              </w:rPr>
              <w:t>的</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拒绝向市政燃气管网覆盖范围内符合用气条件的单位或者个人供气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违反条款：第十八条第（一）项；处罚条款：第四十六条第（一）项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断供超过12小时的，或影响1000户以上（含1000户）居民无法正常供气超过2小时的，系数9；2.未按燃气管理部门要求整改，或整改后再次发生类似违法行为的，系数9；3.发生燃气安全事故或者引发群体性事件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拒绝向市政燃气管网覆盖范围内符合用气条件的单位或者个人供气</w:t>
            </w:r>
            <w:r>
              <w:rPr>
                <w:rFonts w:hint="eastAsia" w:ascii="仿宋_GB2312" w:eastAsia="仿宋_GB2312"/>
              </w:rPr>
              <w:t>，有以下情形之一的吊销燃气经营许可证：1.发生燃气安全事故，经事故调查部门认定对事故发生负有责任的。2.</w:t>
            </w:r>
            <w:r>
              <w:rPr>
                <w:rFonts w:ascii="仿宋_GB2312" w:eastAsia="仿宋_GB2312"/>
              </w:rPr>
              <w:t>市政燃气管网覆盖范围内</w:t>
            </w:r>
            <w:r>
              <w:rPr>
                <w:rFonts w:hint="eastAsia" w:ascii="仿宋_GB2312" w:eastAsia="仿宋_GB2312"/>
              </w:rPr>
              <w:t>燃气断供超过12小时的，或影响1000户以上（含1000户）居民无法正常供暖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仿宋_GB2312" w:eastAsia="仿宋_GB2312"/>
              </w:rPr>
              <w:t>的</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倒卖、抵押、出租、出借、转让、涂改燃气经营许可证</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违反条款：第十八条第（二）项；处罚条款：第四十六条第（二）项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持续时间较长（半年以上），存在较大燃气安全隐患的，系数9；2.许可证有效期内发现2次以上（含2次）倒卖、抵押、出租、出借、转让燃气经营许可证行为的，系数9；3.涂改燃气经营许可证的，系数9；4.未按燃气管理部门要求整改，或整改后再次发生类似违法行为的，系数9；5.发生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倒卖、抵押、出租、出借、转让、涂改燃气经营许可证</w:t>
            </w:r>
            <w:r>
              <w:rPr>
                <w:rFonts w:hint="eastAsia" w:ascii="仿宋_GB2312" w:eastAsia="仿宋_GB2312"/>
              </w:rPr>
              <w:t>，有以下情形之一的吊销燃气经营许可证：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擅自停止供气、调整供气量，或者擅自停业或者歇业</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违反条款：第十八条第（三）项；处罚条款：第四十六条第（三）项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断供超过12小时的，或者100户以上（含100户）居民无法正常用气超过24小时的；或影响1000户以上（含1000户）居民无法正常供气超过2小时的，系数9；2.未按燃气管理部门要求整改，或整改后再次发生类似违法行为的，系数9；3.发生燃气安全事故或者引发群体性事件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hint="eastAsia" w:ascii="仿宋_GB2312" w:eastAsia="仿宋_GB2312"/>
              </w:rPr>
              <w:t>擅自停止供气、调整供气量或停业、歇业，有以下情形之一的吊销燃气经营许可证：1.发生燃气安全事故，经事故调查部门认定对事故发生负有责任的； 2.导致</w:t>
            </w:r>
            <w:r>
              <w:rPr>
                <w:rFonts w:ascii="仿宋_GB2312" w:eastAsia="仿宋_GB2312"/>
              </w:rPr>
              <w:t>燃气管网覆盖范围内</w:t>
            </w:r>
            <w:r>
              <w:rPr>
                <w:rFonts w:hint="eastAsia" w:ascii="仿宋_GB2312" w:eastAsia="仿宋_GB2312"/>
              </w:rPr>
              <w:t>燃气断供超过12小时，或者100户以上（含100户）居民无法正常用气超过24小时的；或影响1000户以上（含1000户）居民无法正常供暖超过2小时的；3.引发群体性事件的；4.未按燃气管理部门要求整改，或整改后再次发生类似违法行为的；5.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5"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向未取得燃气经营许可证的单位或者个人提供用于经营的燃气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违反条款：第十八条第（四）项；处罚条款：第四十六条第（四）项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1.持续时间超过半年，或者存在较大安全隐患的，系数4；持续时间1年以上，系数9；2.未按燃气管理部门要求整改，或整改后再次发生类似违法行为的，系数9；3.发生燃气安全事故，系数9。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hint="eastAsia" w:ascii="仿宋_GB2312" w:eastAsia="仿宋_GB2312"/>
              </w:rPr>
              <w:t>有以下情形之一的吊销燃气经营许可证：1.发生燃气安全事故，经事故调查部门认定对事故发生负有责任的；2.违法行为持续时间1年以上的；3.违法获利超过5万元（人民币）的；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1"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燃气经营者在不具备安全条件的场所储存燃气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违反条款：第十八条第（五）项；处罚条款：第四十六条第（五）项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1.持续时间超过半年，或者存在较大安全隐患的，系数4；持续时间1年以上，系数9；2.未按燃气管理部门要求整改，或整改后再次发生类似违法行为的，系数9；3.发生燃气安全事故，系数9。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在不具备安全条件的场所储存燃气</w:t>
            </w:r>
            <w:r>
              <w:rPr>
                <w:rFonts w:hint="eastAsia" w:ascii="仿宋_GB2312" w:eastAsia="仿宋_GB2312"/>
              </w:rPr>
              <w:t>，有以下情形之一的吊销燃气经营许可证：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要求燃气用户购买其指定的产品或者接受其提供的服务</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违反条款：第十八条第（六）项；处罚条款：第四十六条第（六）项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1.未按燃气管理部门要求整改，或整改后再次发生类似违法行为的，系数9；2.发生燃气安全事故，经事故调查部门认定，事故发生与其提供的产品或服务存在因果关系的，系数9。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要求燃气用户购买其指定的产品或者接受其提供的服务</w:t>
            </w:r>
            <w:r>
              <w:rPr>
                <w:rFonts w:hint="eastAsia" w:ascii="仿宋_GB2312" w:eastAsia="仿宋_GB2312"/>
              </w:rPr>
              <w:t>，有以下情形之一的吊销燃气经营许可证：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未向燃气用户持续、稳定、安全供应符合国家质量标准的燃气，或者未对燃气用户的燃气设施定期进行安全检查</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违反条款：第十七条第一款；处罚条款：第四十六条第（七）项 责令限期改正，处1万元以上10万元以下罚款；有违法所得的，没收违法所得；情节严重的，吊销燃气经营许可证</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违法行为持续时间超过半年的，系数4；1年以上，系数9；2.未按燃气管理部门要求整改，或整改后再次发生类似违法行为的，系数9；3.发生燃气安全事故，经事故调查部门认定，事故发生与其提供的燃气质量不符合国家标准，或者未履行定期安全检查义务存在因果关系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noWrap/>
            <w:vAlign w:val="center"/>
          </w:tcPr>
          <w:p>
            <w:pPr>
              <w:autoSpaceDE w:val="0"/>
              <w:spacing w:line="0" w:lineRule="atLeast"/>
              <w:rPr>
                <w:rFonts w:ascii="仿宋_GB2312" w:hAnsi="宋体" w:eastAsia="仿宋_GB2312" w:cs="宋体"/>
                <w:kern w:val="0"/>
                <w:szCs w:val="21"/>
              </w:rPr>
            </w:pPr>
            <w:r>
              <w:rPr>
                <w:rFonts w:ascii="仿宋_GB2312" w:eastAsia="仿宋_GB2312"/>
              </w:rPr>
              <w:t>燃气经营者未向燃气用户持续、稳定、安全供应符合国家质量标准的燃气，或者未对燃气用户的燃气设施定期进行安全检查</w:t>
            </w:r>
            <w:r>
              <w:rPr>
                <w:rFonts w:hint="eastAsia" w:ascii="仿宋_GB2312" w:eastAsia="仿宋_GB2312"/>
              </w:rPr>
              <w:t>，有以下情形之一的吊销燃气经营许可证：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销售充装单位擅自为非自有气瓶充装的瓶装燃气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违反条款：第十八条第（八）项；处罚条款：第四十七条第二款 责令改正，可以处1万元以下罚款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违法行为持续时间超过半年的，系数4；1年以上，系数9；2.未按燃气管理部门要求整改，或整改后再次发生类似违法行为的，系数9；3.发生相关燃气安全事故的，系数9。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未按规定设置燃气设施保护装置和安全警示标志</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违反条款：第三十五条；处罚条款：第四十八条 责令限期改正，处1万元以上10万元以下罚款。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 xml:space="preserve">燃气经营者未定期进行巡查、检测、维修和维护 </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违反条款：第三十五条；处罚条款：第四十八条 责令限期改正，处1万元以上10万元以下罚款。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未采取措施及时消除燃气安全事故隐患</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违反条款：第四十一条第一款；处罚条款：第四十八条 责令限期改正，处1万元以上10万元以下罚款。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擅自操作公用燃气阀门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违反条款：第二十八条第（一）项；处罚条款：第四十九条第一款第（一）项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将燃气管道作为负重支架或者接地引线</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违反条款：第二十八条第（二）项；处罚条款：第四十九条第一款第（二）项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安装、使用不符合气源要求的燃气燃烧器具</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违反条款：第二十八条第（三）项；处罚条款：第四十九条第一款第（三）项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擅自安装、改装、拆除户内燃气设施和燃气计量装置</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违反条款：第二十八条第（四）项；处罚条款：第四十九条第一款第（四）项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在不具备安全条件的场所使用、储存燃气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违反条款：第二十八条第（五）项；处罚条款：第四十九条第一款第（五）项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改变燃气用途或者转供燃气</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违反条款：第二十八条第（七）项；处罚条款：第四十九条第一款第（六）项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发生在人口集中地区，或者存在其它较大安全隐患的，系数4；2.导致相关燃气安全事故的，系数9。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未设立售后服务站点或者未配备经考核合格的燃气燃烧器具安装、维修人员</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违反条款：第三十二条第一款；处罚条款：第四十九条第一款第（七）项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违法行为持续时间超过半年的，系数4；1年以上，系数9；2.未按燃气管理部门要求整改，或整改后再次发生类似违法行为的，系数9；3.发生相关燃气安全事故的，系数9。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燃气燃烧器具的安装、维修不符合国家有关标准</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违反条款：第三十二条第二款；处罚条款：第四十九条第一款第（八）项 责令限期改正；逾期不改正的，对单位可以处10万元以下罚款，对个人可以处1000元以下罚款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违法行为持续时间超过半年的，系数4；1年以上，系数9；2.未按燃气管理部门要求整改，或整改后再次发生类似违法行为的，系数9；3.发生相关燃气安全事故的，系数9。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逾期不改正的情形，不纳入本案由情节系数。</w:t>
            </w:r>
          </w:p>
          <w:p>
            <w:pPr>
              <w:widowControl/>
              <w:spacing w:line="0" w:lineRule="atLeast"/>
              <w:rPr>
                <w:rFonts w:ascii="仿宋_GB2312" w:eastAsia="仿宋_GB2312"/>
                <w:szCs w:val="21"/>
              </w:rPr>
            </w:pPr>
            <w:r>
              <w:rPr>
                <w:rFonts w:hint="eastAsia" w:ascii="仿宋_GB2312" w:eastAsia="仿宋_GB2312"/>
                <w:szCs w:val="21"/>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22</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在燃气设施保护范围内进行爆破取土等作业或者动用明火</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23</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在燃气设施保护范围内倾倒、排放腐蚀性物质</w:t>
            </w:r>
          </w:p>
        </w:tc>
        <w:tc>
          <w:tcPr>
            <w:tcW w:w="4318" w:type="dxa"/>
            <w:gridSpan w:val="8"/>
            <w:vMerge w:val="restart"/>
            <w:shd w:val="clear" w:color="auto" w:fill="auto"/>
            <w:vAlign w:val="center"/>
          </w:tcPr>
          <w:p>
            <w:pPr>
              <w:rPr>
                <w:rFonts w:ascii="仿宋_GB2312" w:hAnsi="宋体" w:eastAsia="仿宋_GB2312" w:cs="宋体"/>
                <w:sz w:val="24"/>
              </w:rPr>
            </w:pPr>
            <w:r>
              <w:rPr>
                <w:rFonts w:hint="eastAsia" w:ascii="仿宋_GB2312" w:eastAsia="仿宋_GB2312"/>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24</w:t>
            </w:r>
          </w:p>
        </w:tc>
        <w:tc>
          <w:tcPr>
            <w:tcW w:w="1201" w:type="dxa"/>
            <w:gridSpan w:val="2"/>
            <w:vMerge w:val="restart"/>
            <w:shd w:val="clear" w:color="auto" w:fill="auto"/>
            <w:vAlign w:val="center"/>
          </w:tcPr>
          <w:p>
            <w:pPr>
              <w:rPr>
                <w:rFonts w:ascii="仿宋_GB2312" w:hAnsi="宋体" w:eastAsia="仿宋_GB2312" w:cs="宋体"/>
                <w:sz w:val="24"/>
              </w:rPr>
            </w:pPr>
            <w:r>
              <w:rPr>
                <w:rFonts w:hint="eastAsia" w:ascii="仿宋_GB2312" w:eastAsia="仿宋_GB2312"/>
              </w:rPr>
              <w:t>在燃气设施保护范围内放置易燃易爆物品或者种植深根植物</w:t>
            </w:r>
          </w:p>
        </w:tc>
        <w:tc>
          <w:tcPr>
            <w:tcW w:w="4318" w:type="dxa"/>
            <w:gridSpan w:val="8"/>
            <w:vMerge w:val="restart"/>
            <w:shd w:val="clear" w:color="auto" w:fill="auto"/>
            <w:vAlign w:val="center"/>
          </w:tcPr>
          <w:p>
            <w:pPr>
              <w:rPr>
                <w:rFonts w:ascii="仿宋_GB2312" w:hAnsi="宋体" w:eastAsia="仿宋_GB2312" w:cs="宋体"/>
                <w:sz w:val="24"/>
              </w:rPr>
            </w:pPr>
            <w:r>
              <w:rPr>
                <w:rFonts w:hint="eastAsia" w:ascii="仿宋_GB2312" w:eastAsia="仿宋_GB2312"/>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25</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在燃气设施保护范围内擅自从事敷设管道、打桩、顶进、挖掘、钻探等可能影响燃气设施安全活动</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违反条款：第三十四条；处罚条款：第五十条第一款第（四）项 责令停止违法行为，限期恢复原状或者采取其它补救措施，对单位处5万元以上10万元以下罚款，对个人处5000元以上5万元以下罚款。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26</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侵占、毁损、擅自拆除、移动燃气设施</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违反条款：第三十六条第一款</w:t>
            </w:r>
            <w:r>
              <w:rPr>
                <w:rFonts w:hint="eastAsia" w:ascii="仿宋_GB2312" w:hAnsi="宋体" w:eastAsia="仿宋_GB2312" w:cs="宋体"/>
                <w:kern w:val="0"/>
                <w:szCs w:val="21"/>
              </w:rPr>
              <w:t>、第五十一条第一款</w:t>
            </w:r>
            <w:r>
              <w:rPr>
                <w:rFonts w:hint="eastAsia" w:ascii="仿宋_GB2312" w:eastAsia="仿宋_GB2312"/>
              </w:rPr>
              <w:t>；处罚条款：第五十一条第一款 责令限期改正，恢复原状或者采取其它补救措施，对单位处5万元以上10万元以下罚款，对个人处5000元以上5万元以下罚款。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sz w:val="24"/>
              </w:rPr>
            </w:pPr>
          </w:p>
        </w:tc>
        <w:tc>
          <w:tcPr>
            <w:tcW w:w="4318" w:type="dxa"/>
            <w:gridSpan w:val="8"/>
            <w:vMerge w:val="continue"/>
            <w:shd w:val="clear" w:color="auto" w:fill="auto"/>
            <w:vAlign w:val="center"/>
          </w:tcPr>
          <w:p>
            <w:pPr>
              <w:rPr>
                <w:rFonts w:ascii="仿宋_GB2312" w:hAnsi="宋体" w:eastAsia="仿宋_GB2312" w:cs="宋体"/>
                <w:sz w:val="24"/>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27</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擅自改动市政燃气设施</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违反条款：第三十八条第一款；处罚条款：第五十一条第一款 责令限期改正，恢复原状或者采取其它补救措施，对单位处5万元以上10万元以下罚款，对个人处5000元以上5万元以下罚款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1.损坏燃气设施，存在较大安全隐患,或者其它影响用气情形的，系数0.5；2.发生燃气事故,或者其它严重影响用气情形的，系数1。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1.损坏燃气设施，存在较大安全隐患,或者其它影响用气情形的，系数7；2.发生燃气事故,或者其它严重影响用气情形的，系数9。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毁损、覆盖、涂改、擅自拆除或者移动燃气设施安全警示标志</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违反条款：第三十六条第一款；处罚条款：第五十一条第二款 责令限期改正，恢复原状，可以处5000元以下罚款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发生在人口集中地区的，系数2；2.导致相关燃气安全事故的，系数4。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建设单位未会同施工单位与管道燃气经营者共同制定燃气设施保护方案</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违反条款：第三十七条第三款；处罚条款：第五十二条 责令改正，处1万元以上10万元以下罚款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发生在人口集中地区的，系数2；2.发生相关燃气安全事故的，系数9。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建设单位、施工单位未采取安全保护措施，确保燃气设施运行安全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违反条款：第三十七条第三款；处罚条款：第五十二条 责令改正，处1万元以上10万元以下罚款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发生在人口集中地区的，系数2；2.发生相关燃气安全事故的，系数9。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458" w:type="dxa"/>
            <w:gridSpan w:val="34"/>
            <w:shd w:val="clear" w:color="auto" w:fill="auto"/>
            <w:noWrap/>
            <w:vAlign w:val="center"/>
          </w:tcPr>
          <w:p>
            <w:pPr>
              <w:pStyle w:val="3"/>
            </w:pPr>
            <w:bookmarkStart w:id="26" w:name="_Toc39911689"/>
            <w:r>
              <w:rPr>
                <w:rFonts w:hint="eastAsia"/>
              </w:rPr>
              <w:t>《北京市燃气管理条例》案由19项</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未取得燃气经营许可从事经营活动</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违反条款：第十四条第一款；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处罚条款：第四十二条 责令停止违法行为，并处5000元以上5万元以下罚款。</w:t>
            </w:r>
          </w:p>
        </w:tc>
        <w:tc>
          <w:tcPr>
            <w:tcW w:w="961" w:type="dxa"/>
            <w:gridSpan w:val="4"/>
            <w:shd w:val="clear" w:color="auto" w:fill="auto"/>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按照《城镇燃气管理条例》的规定实施处罚。对个人可适用此案由处罚。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燃气供应企业不按照燃气经营许可的范围从事经营活动</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违反条款：第十四条第四款；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处罚条款：第四十二条 责令停止违法行为，并处5000元以上5万元以下罚款。</w:t>
            </w:r>
          </w:p>
        </w:tc>
        <w:tc>
          <w:tcPr>
            <w:tcW w:w="961" w:type="dxa"/>
            <w:gridSpan w:val="4"/>
            <w:shd w:val="clear" w:color="auto" w:fill="auto"/>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按照《城镇燃气管理条例》的规定实施处罚。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03"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不符合燃气经营许可条件的燃气供应企业经营燃气</w:t>
            </w:r>
          </w:p>
        </w:tc>
        <w:tc>
          <w:tcPr>
            <w:tcW w:w="4318" w:type="dxa"/>
            <w:gridSpan w:val="8"/>
            <w:shd w:val="clear" w:color="auto" w:fill="auto"/>
            <w:vAlign w:val="center"/>
          </w:tcPr>
          <w:p>
            <w:pPr>
              <w:widowControl/>
              <w:spacing w:line="0" w:lineRule="atLeast"/>
              <w:rPr>
                <w:rFonts w:ascii="仿宋_GB2312" w:hAnsi="宋体" w:eastAsia="仿宋_GB2312" w:cs="宋体"/>
                <w:b/>
                <w:dstrike/>
                <w:kern w:val="0"/>
                <w:szCs w:val="21"/>
              </w:rPr>
            </w:pPr>
            <w:r>
              <w:rPr>
                <w:rFonts w:hint="eastAsia" w:ascii="仿宋_GB2312" w:hAnsi="宋体" w:eastAsia="仿宋_GB2312" w:cs="宋体"/>
                <w:kern w:val="0"/>
                <w:szCs w:val="21"/>
              </w:rPr>
              <w:t>违反条款、处罚条款：第四十四条 责令限期改正，并可以处5000元以上5万元以下罚款；情节严重的，责令停产停业，并可以吊销燃气经营许可证。</w:t>
            </w:r>
          </w:p>
        </w:tc>
        <w:tc>
          <w:tcPr>
            <w:tcW w:w="961" w:type="dxa"/>
            <w:gridSpan w:val="4"/>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2012" w:type="dxa"/>
            <w:gridSpan w:val="3"/>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以下情形，系数7：在燃气管理部门规定期限内未进行整改或整改后仍不符合燃气经营许可条件要求的；经燃气行政管理部门认定，存在安全隐患，足以引起燃气安全事故的；在执法部门责令限期改正或燃气管理部门规定的整改期限内，发生其它危害公共安全行为的。以下情形，系数9：发生燃气安全事故，经事故调查部门认定对事故发生负有责任的；作出责令停产停业决定并送达后，未停产停业，继续对外开展燃气经营业务的；经责令停产停业，仍无法达到燃气经营许可条件要求，或再次发生类似违法行为的；责令停产停业期间，发生其它危害公共安全行为的。</w:t>
            </w:r>
          </w:p>
        </w:tc>
        <w:tc>
          <w:tcPr>
            <w:tcW w:w="1134"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4609" w:type="dxa"/>
            <w:gridSpan w:val="11"/>
            <w:shd w:val="clear" w:color="auto" w:fill="auto"/>
            <w:vAlign w:val="center"/>
          </w:tcPr>
          <w:p>
            <w:pPr>
              <w:widowControl/>
              <w:spacing w:line="0" w:lineRule="atLeast"/>
              <w:rPr>
                <w:rFonts w:ascii="仿宋_GB2312" w:eastAsia="仿宋_GB2312"/>
              </w:rPr>
            </w:pPr>
            <w:r>
              <w:rPr>
                <w:rFonts w:hint="eastAsia" w:ascii="仿宋_GB2312" w:eastAsia="仿宋_GB2312"/>
              </w:rPr>
              <w:t>发现燃气供应企业不符合燃气经营许可条件要求，并存在以下情形的责令停产停业：</w:t>
            </w:r>
          </w:p>
          <w:p>
            <w:pPr>
              <w:widowControl/>
              <w:spacing w:line="0" w:lineRule="atLeast"/>
              <w:rPr>
                <w:rFonts w:ascii="仿宋_GB2312" w:eastAsia="仿宋_GB2312"/>
              </w:rPr>
            </w:pPr>
            <w:r>
              <w:rPr>
                <w:rFonts w:hint="eastAsia" w:ascii="仿宋_GB2312" w:eastAsia="仿宋_GB2312"/>
              </w:rPr>
              <w:t>1.在燃气管理部门规定期限内未进行整改或整改后仍不符合燃气经营许可条件要求的；2.经燃气行政管理部门认定，存在安全隐患，足以引起燃气安全事故的；3.以非法手段掩盖违法事实的；4.经执法部门罚款处罚后仍不符合燃气经营许可条件要求的，或再次发生类似违法行为的；5.在执法部门责令限期改正或燃气管理部门规定的整改期限内，发生其它危害公共安全行为的。</w:t>
            </w:r>
          </w:p>
          <w:p>
            <w:pPr>
              <w:widowControl/>
              <w:jc w:val="left"/>
            </w:pPr>
          </w:p>
          <w:p>
            <w:pPr>
              <w:widowControl/>
              <w:jc w:val="left"/>
              <w:rPr>
                <w:rFonts w:ascii="仿宋_GB2312" w:eastAsia="仿宋_GB2312"/>
              </w:rPr>
            </w:pPr>
            <w:r>
              <w:rPr>
                <w:rFonts w:hint="eastAsia" w:ascii="仿宋_GB2312" w:eastAsia="仿宋_GB2312"/>
              </w:rPr>
              <w:t>发现燃气供应企业不符合燃气经营许可条件要求，并存在以下情形的吊销燃气经营许可证：</w:t>
            </w:r>
          </w:p>
          <w:p>
            <w:pPr>
              <w:widowControl/>
              <w:jc w:val="left"/>
            </w:pPr>
            <w:r>
              <w:rPr>
                <w:rFonts w:hint="eastAsia" w:ascii="仿宋_GB2312" w:eastAsia="仿宋_GB2312"/>
              </w:rPr>
              <w:t>1.发生燃气安全事故，经事故调查部门认定对事故发生负有责任的；2.执法部门作出责令停产停业决定并送达后，未停产停业，继续对外开展燃气经营业务的；3.经责令停产停业，仍无法达到燃气经营许可条件要求，或再次发生类似违法行为的；4.责令停产停业期间，发生其它危害公共安全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倒灌瓶装液化石油气</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违反条款：第二十八条第（一）项；处罚条款：第四十七条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摔、砸、滚动、倒置气瓶</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违反条款：第二十八条第（二）项；处罚条款：第四十七条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加热气瓶、倾倒瓶内残液或者拆修瓶阀等附件</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违反条款：第二十八条第（三）项；处罚条款：第四十七条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擅自拆除、改装、迁移、安装室内管道燃气设施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违反条款：第二十八条第（四）项；处罚条款：第四十七条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eastAsia="仿宋_GB2312"/>
              </w:rPr>
            </w:pPr>
            <w:r>
              <w:rPr>
                <w:rFonts w:hint="eastAsia" w:ascii="仿宋_GB2312" w:eastAsia="仿宋_GB2312"/>
              </w:rPr>
              <w:t>安装燃气计量表、阀门、燃气蒸发器等燃气设施的房间内堆放易燃易爆物品、居住和办公 或在燃气设施的专用房间内使用明火</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违反条款：第二十八条第（五）项；处罚条款：第四十七条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使用明火检查燃气泄漏</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违反条款：第二十八条第（六）项；处罚条款：第四十七条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将燃气管道作为负重支架或者电器设备的接地导线</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违反条款：第二十八条第（七）项；处罚条款：第四十七条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在燃气供应与使用过程中从事其它危害公共安全和公共利益的活动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违反条款：第二十八条第（八）项；处罚条款：第四十七条  给予警告，责令改正，并可以处500元以上5000元以下罚款。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1.违法行为存在较大安全隐患或者影响正常用气的，系数5；2.发生燃气事故，或者其它严重影响用气情形的，系数9。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燃气供应企业擅自改动燃气设施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违反条款：第三十条第一款；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处罚条款：第四十八条 责令停止违法行为，并处1万元以上3万元以下罚款。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dstrike/>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dstrike/>
                <w:kern w:val="0"/>
                <w:szCs w:val="21"/>
              </w:rPr>
            </w:pPr>
          </w:p>
        </w:tc>
        <w:tc>
          <w:tcPr>
            <w:tcW w:w="3600" w:type="dxa"/>
            <w:gridSpan w:val="7"/>
            <w:shd w:val="clear" w:color="auto" w:fill="auto"/>
            <w:vAlign w:val="center"/>
          </w:tcPr>
          <w:p>
            <w:pPr>
              <w:autoSpaceDE w:val="0"/>
              <w:spacing w:line="0" w:lineRule="atLeast"/>
              <w:rPr>
                <w:rFonts w:ascii="仿宋_GB2312" w:hAnsi="宋体" w:eastAsia="仿宋_GB2312" w:cs="宋体"/>
                <w:dstrike/>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dstrike/>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w:t>
            </w:r>
            <w:r>
              <w:rPr>
                <w:rFonts w:hint="eastAsia" w:ascii="仿宋_GB2312" w:eastAsia="仿宋_GB2312"/>
              </w:rPr>
              <w:t>擅自改动市政燃气设施</w:t>
            </w:r>
            <w:r>
              <w:rPr>
                <w:rFonts w:hint="eastAsia" w:ascii="仿宋_GB2312" w:hAnsi="宋体" w:eastAsia="仿宋_GB2312" w:cs="宋体"/>
                <w:kern w:val="0"/>
                <w:szCs w:val="21"/>
              </w:rPr>
              <w:t xml:space="preserve">”等案由执行。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燃气供应企业不按照燃气设施改动许可的要求实施作业</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违反条款：第三十条第四款；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处罚条款：第四十八条 责令停止违法行为，并处1万元以上3万元以下罚款。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1.未实施安全施工组织、设计等方案的；未实施安全防护及不影响燃气用户安全正常用气措施的；存在其它较大安全隐患或者影响正常用气的，系数1；2.发生燃气事故，或者其它严重影响用气情形的，系数2。</w:t>
            </w: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在地下燃气管道安全间距范围内建设建筑物、构筑物或者其它设施</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违反条款：第三十二条第（一）项；处罚条款：第五十条第一款 责令改正，限期拆除，并可以按照违法建筑物的建筑面积每平方米处300元以上3000元以下罚款，违法构筑物和其它设施可处工程造价1倍的罚款。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600</w:t>
            </w:r>
            <w:r>
              <w:rPr>
                <w:rFonts w:hint="eastAsia" w:ascii="宋体" w:hAnsi="宋体" w:cs="宋体"/>
                <w:kern w:val="0"/>
                <w:szCs w:val="21"/>
              </w:rPr>
              <w:t>∕㎡</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eastAsia="仿宋_GB2312"/>
                <w:sz w:val="24"/>
              </w:rPr>
            </w:pPr>
            <w:r>
              <w:rPr>
                <w:rFonts w:hint="eastAsia" w:ascii="仿宋_GB2312" w:hAnsi="宋体" w:eastAsia="仿宋_GB2312" w:cs="宋体"/>
                <w:kern w:val="0"/>
                <w:szCs w:val="21"/>
              </w:rPr>
              <w:t>1.建筑物、构筑物或者其它设施占地面积5－10</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1；11－15</w:t>
            </w:r>
            <w:r>
              <w:rPr>
                <w:rFonts w:hint="eastAsia" w:ascii="宋体" w:hAnsi="宋体" w:cs="宋体"/>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2，以此类推；2. 损坏燃气设施，存在较大安全隐患或者其它影响用气情形的，系数2；3.发生燃气事故,或者其它严重影响用气情形的，系数4。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罚款数额＝600×（1＋情节系数＋变量系数）×N</w:t>
            </w:r>
            <w:r>
              <w:rPr>
                <w:rFonts w:hint="eastAsia" w:ascii="宋体" w:hAnsi="宋体" w:cs="宋体"/>
                <w:kern w:val="0"/>
                <w:szCs w:val="21"/>
              </w:rPr>
              <w:t>㎡</w:t>
            </w:r>
            <w:r>
              <w:rPr>
                <w:rFonts w:hint="eastAsia" w:ascii="仿宋_GB2312" w:hAnsi="仿宋_GB2312" w:eastAsia="仿宋_GB2312" w:cs="仿宋_GB2312"/>
                <w:kern w:val="0"/>
                <w:szCs w:val="21"/>
              </w:rPr>
              <w:t>。</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N</w:t>
            </w:r>
            <w:r>
              <w:rPr>
                <w:rFonts w:hint="eastAsia" w:ascii="宋体" w:hAnsi="宋体" w:cs="宋体"/>
                <w:kern w:val="0"/>
                <w:szCs w:val="21"/>
              </w:rPr>
              <w:t>㎡</w:t>
            </w:r>
            <w:r>
              <w:rPr>
                <w:rFonts w:hint="eastAsia" w:ascii="仿宋_GB2312" w:hAnsi="仿宋_GB2312" w:eastAsia="仿宋_GB2312" w:cs="仿宋_GB2312"/>
                <w:kern w:val="0"/>
                <w:szCs w:val="21"/>
              </w:rPr>
              <w:t>为违法建筑面积</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对搭建行为，可适用违法建设案由查处；对房屋有相关手续但是影响供气安全的，可适用此案由。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在地下燃气管道安全间距范围内进行爆破、钻探、打桩、顶进、挖掘、取土等作业</w:t>
            </w:r>
          </w:p>
        </w:tc>
        <w:tc>
          <w:tcPr>
            <w:tcW w:w="4318" w:type="dxa"/>
            <w:gridSpan w:val="8"/>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hAnsi="宋体" w:eastAsia="仿宋_GB2312" w:cs="宋体"/>
                <w:kern w:val="0"/>
                <w:szCs w:val="21"/>
              </w:rPr>
              <w:t>违反条款：第三十二条第（二）项；</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处罚条款：第五十条第二款 责令改正，并可以处3000元以上3万元以下罚款。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bCs/>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w:t>
            </w:r>
            <w:r>
              <w:rPr>
                <w:rFonts w:hint="eastAsia" w:ascii="仿宋_GB2312" w:eastAsia="仿宋_GB2312"/>
              </w:rPr>
              <w:t>在燃气设施保护范围内擅自从事敷设管道、打桩、顶进、挖掘、钻探等可能影响燃气设施安全活动”等相关案由执行。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在地下燃气管道安全间距范围内进行倾倒、排放腐蚀性物质的</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违反条款：第三十二条第（三）项；处罚条款：第五十条第二款 责令改正，并可以处3000元以上3万元以下罚款。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bCs/>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w:t>
            </w:r>
            <w:r>
              <w:rPr>
                <w:rFonts w:hint="eastAsia" w:ascii="仿宋_GB2312" w:eastAsia="仿宋_GB2312"/>
              </w:rPr>
              <w:t>在燃气设施保护范围内倾倒、排放腐蚀性物质”等案由执行。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在地下燃气管道安全间距范围内进行堆放物品或者种植深根植物的</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违反条款：第三十二条第（四）项；处罚条款：第五十条第二款 责令改正，并可以处3000元以上3万元以下罚款。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bCs/>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按照《城镇燃气管理条例》“</w:t>
            </w:r>
            <w:r>
              <w:rPr>
                <w:rFonts w:hint="eastAsia" w:ascii="仿宋_GB2312" w:eastAsia="仿宋_GB2312"/>
              </w:rPr>
              <w:t>在燃气设施保护范围内放置易燃易爆物品或者种植深根植物”等案由执行。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在地下燃气管道安全间距范围内进行涂改、覆盖、移动、拆除、损坏安全警示标志的</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违反条款：第三十二条第（五）项；处罚条款：第五十条第二款 责令改正，并可以处3000元以上3万元以下罚款。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bCs/>
                <w:sz w:val="24"/>
              </w:rPr>
            </w:pPr>
            <w:r>
              <w:rPr>
                <w:rFonts w:hint="eastAsia" w:ascii="仿宋_GB2312" w:hAnsi="宋体" w:eastAsia="仿宋_GB2312" w:cs="宋体"/>
                <w:kern w:val="0"/>
                <w:szCs w:val="21"/>
              </w:rPr>
              <w:t>1.发生在人口集中地区的，系数3；2.损坏燃气设施，存在较大安全隐患,或者其它影响用气情形的，系数5；3.发生燃气事故,或者其它严重影响用气情形的，系数9。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注意与《城镇燃气管理条例》“</w:t>
            </w:r>
            <w:r>
              <w:rPr>
                <w:rFonts w:hint="eastAsia" w:ascii="仿宋_GB2312" w:eastAsia="仿宋_GB2312"/>
              </w:rPr>
              <w:t>毁损、覆盖、涂改、擅自拆除或者移动燃气设施安全警示标志”案由的区别。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在地下燃气管道安全间距范围内从事其它危害地下燃气管道安全的活动</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违反条款：第三十二条第（六）项；处罚条款：第五十条第二款 责令改正，并可以处3000元以上3万元以下罚款。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bCs/>
                <w:sz w:val="24"/>
              </w:rPr>
            </w:pPr>
            <w:r>
              <w:rPr>
                <w:rFonts w:hint="eastAsia" w:ascii="仿宋_GB2312" w:hAnsi="宋体" w:eastAsia="仿宋_GB2312" w:cs="宋体"/>
                <w:kern w:val="0"/>
                <w:szCs w:val="21"/>
              </w:rPr>
              <w:t>1.发生在人口集中地区的，系数3；2.损坏燃气设施，存在较大安全隐患,或者其它影响用气情形的，系数5；3.发生燃气事故,或者其它严重影响用气情形的，系数9。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458" w:type="dxa"/>
            <w:gridSpan w:val="34"/>
            <w:shd w:val="clear" w:color="auto" w:fill="auto"/>
            <w:noWrap/>
            <w:vAlign w:val="center"/>
          </w:tcPr>
          <w:p>
            <w:pPr>
              <w:pStyle w:val="3"/>
              <w:rPr>
                <w:rFonts w:ascii="仿宋_GB2312" w:eastAsia="仿宋_GB2312"/>
                <w:szCs w:val="21"/>
              </w:rPr>
            </w:pPr>
            <w:bookmarkStart w:id="27" w:name="_Toc39911690"/>
            <w:r>
              <w:rPr>
                <w:rFonts w:hint="eastAsia"/>
              </w:rPr>
              <w:t>《北京市消防条例》案由1项</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人员密集场所使用天然气、液化石油气未安装浓度检测报警装置</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违反条款：第二十八条第（四）项；处罚条款：第八十三条 责令改正，并可处1万元以上3万元以下罚款。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按照《基准》的有关规定执行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458" w:type="dxa"/>
            <w:gridSpan w:val="34"/>
            <w:shd w:val="clear" w:color="auto" w:fill="auto"/>
            <w:noWrap/>
            <w:vAlign w:val="center"/>
          </w:tcPr>
          <w:p>
            <w:pPr>
              <w:pStyle w:val="3"/>
              <w:rPr>
                <w:sz w:val="24"/>
              </w:rPr>
            </w:pPr>
            <w:bookmarkStart w:id="28" w:name="_Toc39911691"/>
            <w:r>
              <w:rPr>
                <w:rFonts w:hint="eastAsia"/>
              </w:rPr>
              <w:t>《北京市清洁燃料车辆加气站管理规定》案由7项</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加气站未遵守操作规程或未设专人监护</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违反条款：第八条第（四）项；</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1.违规作业时间较长，作业规模较大，或者经营场所在人口集中地区，存在较大安全隐患的，系数5；2.发生安全事故的，系数9。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非操作人员进行充气作业</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违反条款：第九条第（一）项；</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1.违规作业时间较长，作业规模较大，或者经营场所在人口集中地区，存在较大安全隐患的，系数5；2.发生安全事故的，系数9。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加气站为其它容器充气</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违反条款：第九条第（二）项；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1.违规作业时间较长，作业规模较大，或者经营场所在人口集中地区，存在较大安全隐患的，系数5；2.发生安全事故的，系数9。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直接用运输槽车向车辆充气</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违反条款：第九条第（三）项；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1.违规作业时间较长，作业规模较大，或者经营场所在人口集中地区，存在较大安全隐患的，系数5；2.发生安全事故的，系数9。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使用明火检查燃气泄漏</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违反条款：第九条第（四）项；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1.发生在人口集中地区，存在较大安全隐患的，系数5；2.发生安全事故的，系数9。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加气站运营中存放其它易燃易爆物品或者使用明火</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违反条款：第九条第（五）项；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1.发生在人口集中地区，存在较大安全隐患的，系数5；2.发生安全事故的，系数9。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在加气站内修车、洗车</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违反条款：第九条第（六）项；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处罚条款：第十一条 责令限期改正，给予警告，并处500元以上5000元以下罚款。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1.违规作业时间较长，作业规模较大，或者经营场所在人口集中地区，存在较大安全隐患的，系数5；2.发生安全事故的，系数9。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58" w:type="dxa"/>
            <w:gridSpan w:val="34"/>
            <w:shd w:val="clear" w:color="auto" w:fill="auto"/>
            <w:noWrap/>
            <w:vAlign w:val="center"/>
          </w:tcPr>
          <w:p>
            <w:pPr>
              <w:pStyle w:val="3"/>
            </w:pPr>
            <w:bookmarkStart w:id="29" w:name="_Toc39911692"/>
            <w:r>
              <w:rPr>
                <w:rFonts w:hint="eastAsia"/>
              </w:rPr>
              <w:t>《</w:t>
            </w:r>
            <w:r>
              <w:t>北京市供热采暖管理办法</w:t>
            </w:r>
            <w:r>
              <w:rPr>
                <w:rFonts w:hint="eastAsia"/>
              </w:rPr>
              <w:t>》案由19项</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供热单位未办理备案手续</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违反条款：第十条第一款；</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处罚条款：第三十条 责令限期改正，逾期未改正的，处3万元罚款。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 w:val="24"/>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 w:val="24"/>
              </w:rPr>
            </w:pPr>
          </w:p>
        </w:tc>
        <w:tc>
          <w:tcPr>
            <w:tcW w:w="3600" w:type="dxa"/>
            <w:gridSpan w:val="7"/>
            <w:shd w:val="clear" w:color="auto" w:fill="auto"/>
            <w:vAlign w:val="center"/>
          </w:tcPr>
          <w:p>
            <w:pPr>
              <w:widowControl/>
              <w:spacing w:line="0" w:lineRule="atLeast"/>
              <w:rPr>
                <w:rFonts w:ascii="仿宋_GB2312" w:hAnsi="宋体" w:eastAsia="仿宋_GB2312" w:cs="宋体"/>
                <w:kern w:val="0"/>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p>
        </w:tc>
        <w:tc>
          <w:tcPr>
            <w:tcW w:w="2415" w:type="dxa"/>
            <w:gridSpan w:val="7"/>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供热单位未办理备案变更手续</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违反条款：第十条第二款；</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处罚条款：第三十条 责令限期改正，逾期未改正的，处3万元罚款。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 w:val="24"/>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 w:val="24"/>
              </w:rPr>
            </w:pPr>
          </w:p>
        </w:tc>
        <w:tc>
          <w:tcPr>
            <w:tcW w:w="3600" w:type="dxa"/>
            <w:gridSpan w:val="7"/>
            <w:shd w:val="clear" w:color="auto" w:fill="auto"/>
            <w:vAlign w:val="center"/>
          </w:tcPr>
          <w:p>
            <w:pPr>
              <w:widowControl/>
              <w:spacing w:line="0" w:lineRule="atLeast"/>
              <w:rPr>
                <w:rFonts w:ascii="仿宋_GB2312" w:hAnsi="宋体" w:eastAsia="仿宋_GB2312" w:cs="宋体"/>
                <w:kern w:val="0"/>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p>
        </w:tc>
        <w:tc>
          <w:tcPr>
            <w:tcW w:w="2415" w:type="dxa"/>
            <w:gridSpan w:val="7"/>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供热单位提交的备案材料失实</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违反条款：第十条第二款；</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处罚条款：第三十条 责令改正，情节严重的，可以处1万元以上3万元以下的罚款。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故意隐瞒相关情况，对安全、稳定、质量合格供热造成较大影响的，系数为1。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未实施供热设施安全巡检制度</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违反条款：第十三条第（一）项；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处罚条款：第三十一条第一款 予以警告，警告两次的，处2万元罚款。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供热前未提前在供热范围内进行公告</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违反条款：第十三条第（二）项；</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处罚条款：第三十一条第二款 责令改正，并处1000元罚款。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 w:val="24"/>
              </w:rPr>
            </w:pPr>
          </w:p>
        </w:tc>
        <w:tc>
          <w:tcPr>
            <w:tcW w:w="1740" w:type="dxa"/>
            <w:gridSpan w:val="2"/>
            <w:shd w:val="clear" w:color="auto" w:fill="auto"/>
            <w:vAlign w:val="center"/>
          </w:tcPr>
          <w:p>
            <w:pPr>
              <w:widowControl/>
              <w:spacing w:line="0" w:lineRule="atLeast"/>
              <w:rPr>
                <w:rFonts w:ascii="仿宋_GB2312" w:hAnsi="宋体" w:eastAsia="仿宋_GB2312" w:cs="宋体"/>
                <w:kern w:val="0"/>
                <w:sz w:val="24"/>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推迟、中止供热或者提前结束供热</w:t>
            </w:r>
          </w:p>
        </w:tc>
        <w:tc>
          <w:tcPr>
            <w:tcW w:w="4318" w:type="dxa"/>
            <w:gridSpan w:val="8"/>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违反条款：第十五条第一款；</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处罚条款：第三十二条第一款 责令改正，可以处5000元以上3万元以下罚款。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每推迟、中止、提前结束供热1天，变量系数为0.2。</w:t>
            </w:r>
          </w:p>
        </w:tc>
        <w:tc>
          <w:tcPr>
            <w:tcW w:w="1740"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03" w:type="dxa"/>
            <w:gridSpan w:val="2"/>
            <w:vMerge w:val="restart"/>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vMerge w:val="restart"/>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采暖期内退出或者部分退出供热经营活动</w:t>
            </w:r>
          </w:p>
        </w:tc>
        <w:tc>
          <w:tcPr>
            <w:tcW w:w="4318" w:type="dxa"/>
            <w:gridSpan w:val="8"/>
            <w:vMerge w:val="restart"/>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违反条款：第十五条第一款；</w:t>
            </w:r>
          </w:p>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处罚条款：第三十二条第二款 责令改正，并对供热单位处5万元以上10万元以下罚款，对供热单位法定代表人处1万元罚款。</w:t>
            </w: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50000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按照《基准》的规定执行</w:t>
            </w:r>
          </w:p>
        </w:tc>
        <w:tc>
          <w:tcPr>
            <w:tcW w:w="1740"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罚款数额＝50000×（1＋情节系数）</w:t>
            </w:r>
          </w:p>
        </w:tc>
        <w:tc>
          <w:tcPr>
            <w:tcW w:w="2415" w:type="dxa"/>
            <w:gridSpan w:val="7"/>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对供热单位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3" w:type="dxa"/>
            <w:gridSpan w:val="2"/>
            <w:vMerge w:val="continue"/>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1201" w:type="dxa"/>
            <w:gridSpan w:val="2"/>
            <w:vMerge w:val="continue"/>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p>
        </w:tc>
        <w:tc>
          <w:tcPr>
            <w:tcW w:w="4318" w:type="dxa"/>
            <w:gridSpan w:val="8"/>
            <w:vMerge w:val="continue"/>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p>
        </w:tc>
        <w:tc>
          <w:tcPr>
            <w:tcW w:w="961" w:type="dxa"/>
            <w:gridSpan w:val="4"/>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p>
        </w:tc>
        <w:tc>
          <w:tcPr>
            <w:tcW w:w="3600" w:type="dxa"/>
            <w:gridSpan w:val="7"/>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kern w:val="0"/>
                <w:szCs w:val="21"/>
              </w:rPr>
            </w:pPr>
          </w:p>
        </w:tc>
        <w:tc>
          <w:tcPr>
            <w:tcW w:w="2415" w:type="dxa"/>
            <w:gridSpan w:val="7"/>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对法定代表人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autoSpaceDE w:val="0"/>
              <w:spacing w:line="240" w:lineRule="atLeas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非采暖期内擅自退出或者部分退出供热经营活动，影响用户采暖</w:t>
            </w:r>
          </w:p>
        </w:tc>
        <w:tc>
          <w:tcPr>
            <w:tcW w:w="4318" w:type="dxa"/>
            <w:gridSpan w:val="8"/>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违反条款：第十五条第二款；</w:t>
            </w:r>
          </w:p>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处罚条款：第三十二条第三款 责令限期改正，逾期未改正的，对供热单位处3万元罚款，对供热单位法定代表人处5000元罚款。</w:t>
            </w:r>
          </w:p>
        </w:tc>
        <w:tc>
          <w:tcPr>
            <w:tcW w:w="961" w:type="dxa"/>
            <w:gridSpan w:val="4"/>
            <w:shd w:val="clear" w:color="auto" w:fill="auto"/>
            <w:noWrap/>
            <w:vAlign w:val="center"/>
          </w:tcPr>
          <w:p>
            <w:pPr>
              <w:widowControl/>
              <w:spacing w:line="0" w:lineRule="atLeast"/>
              <w:ind w:left="6" w:hanging="21"/>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ind w:left="6" w:hanging="21"/>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ind w:left="6" w:hanging="21"/>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按照法条规定执行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拆改室内共用供热设施、扩大采暖面积、增加散热设备</w:t>
            </w:r>
          </w:p>
        </w:tc>
        <w:tc>
          <w:tcPr>
            <w:tcW w:w="4318" w:type="dxa"/>
            <w:gridSpan w:val="8"/>
            <w:vMerge w:val="restart"/>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违反条款：第二十一条第一款；</w:t>
            </w:r>
          </w:p>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处罚条款：第三十三条 责令限期改正，逾期未改正的，可以处500元以上5000元以下罚款。</w:t>
            </w:r>
          </w:p>
        </w:tc>
        <w:tc>
          <w:tcPr>
            <w:tcW w:w="961" w:type="dxa"/>
            <w:gridSpan w:val="4"/>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1．拆改行为明显影响到其它用户供暖效果的，系数为5；2.造成供暖中止等供暖事故的，系数为9。</w:t>
            </w:r>
          </w:p>
        </w:tc>
        <w:tc>
          <w:tcPr>
            <w:tcW w:w="1740"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eastAsia="仿宋_GB2312"/>
                <w:szCs w:val="21"/>
              </w:rPr>
              <w:t>逾期不改正的情形，不纳入本案由情节系数。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装饰装修房屋妨碍对供热设施进行维修养护</w:t>
            </w:r>
          </w:p>
        </w:tc>
        <w:tc>
          <w:tcPr>
            <w:tcW w:w="4318" w:type="dxa"/>
            <w:gridSpan w:val="8"/>
            <w:vMerge w:val="continue"/>
            <w:shd w:val="clear" w:color="auto" w:fill="auto"/>
            <w:vAlign w:val="center"/>
          </w:tcPr>
          <w:p>
            <w:pPr>
              <w:widowControl/>
              <w:spacing w:line="0" w:lineRule="atLeast"/>
              <w:ind w:left="6" w:hanging="21"/>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1．严重影响到正常供暖的，系数为5；2.造成供暖事故的，系数为9。</w:t>
            </w:r>
          </w:p>
        </w:tc>
        <w:tc>
          <w:tcPr>
            <w:tcW w:w="1740"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eastAsia="仿宋_GB2312"/>
                <w:szCs w:val="21"/>
              </w:rPr>
              <w:t>逾期不改正的情形，不纳入本案由情节系数。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擅自拆除、迁移、改建、变卖热源设施，影响用户采暖</w:t>
            </w:r>
          </w:p>
        </w:tc>
        <w:tc>
          <w:tcPr>
            <w:tcW w:w="4318" w:type="dxa"/>
            <w:gridSpan w:val="8"/>
            <w:shd w:val="clear" w:color="auto" w:fill="auto"/>
            <w:vAlign w:val="center"/>
          </w:tcPr>
          <w:p>
            <w:pPr>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违反条款：第二十三条；</w:t>
            </w:r>
          </w:p>
          <w:p>
            <w:pPr>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处罚条款：第三十四条 责令限期改正，并处5万元以上10万元以下罚款。</w:t>
            </w:r>
          </w:p>
          <w:p>
            <w:pPr>
              <w:widowControl/>
              <w:spacing w:line="0" w:lineRule="atLeast"/>
              <w:ind w:left="6" w:hanging="21"/>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50000</w:t>
            </w:r>
          </w:p>
        </w:tc>
        <w:tc>
          <w:tcPr>
            <w:tcW w:w="720"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ind w:left="6" w:hanging="21"/>
              <w:rPr>
                <w:rFonts w:ascii="仿宋_GB2312" w:hAnsi="宋体" w:eastAsia="仿宋_GB2312" w:cs="宋体"/>
                <w:kern w:val="0"/>
                <w:szCs w:val="21"/>
              </w:rPr>
            </w:pPr>
            <w:r>
              <w:rPr>
                <w:rFonts w:hint="eastAsia" w:ascii="仿宋_GB2312" w:hAnsi="宋体" w:eastAsia="仿宋_GB2312" w:cs="宋体"/>
                <w:kern w:val="0"/>
                <w:szCs w:val="21"/>
              </w:rPr>
              <w:t>1．明显影响到采暖效果的，系数为0.5；2.造成供暖中止等供暖事故的，系数为1。</w:t>
            </w:r>
          </w:p>
        </w:tc>
        <w:tc>
          <w:tcPr>
            <w:tcW w:w="1740" w:type="dxa"/>
            <w:gridSpan w:val="2"/>
            <w:shd w:val="clear" w:color="auto" w:fill="auto"/>
            <w:vAlign w:val="center"/>
          </w:tcPr>
          <w:p>
            <w:pPr>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shd w:val="clear" w:color="auto" w:fill="auto"/>
            <w:noWrap/>
            <w:vAlign w:val="center"/>
          </w:tcPr>
          <w:p>
            <w:pPr>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在地下热力管道安全间距范围内堆放物品，或者进行挖掘、取土、钻探、打桩、埋杆、栽植深根性植物和爆破作业</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违反条款：第二十四条第（二）项；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向供热管沟内排放有毒、有害、易燃、易爆、易堵塞物品及雨水、污水、工业废液、垃圾</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违反条款：第二十四条第（三）项；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擅自接入供热管网</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违反条款：第二十四条第（四）项；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擅自在室内采暖系统上安装危害系统安全的设备</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违反条款：第二十四条第（五）项；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擅自排放或者取用管道内热水或蒸汽</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违反条款：第二十四条第（六）项；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擅自拆除、毁损警示标志</w:t>
            </w:r>
          </w:p>
        </w:tc>
        <w:tc>
          <w:tcPr>
            <w:tcW w:w="4318" w:type="dxa"/>
            <w:gridSpan w:val="8"/>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违反条款：第二十四条第（七）项；</w:t>
            </w:r>
          </w:p>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处罚条款：第三十五条第三款；处罚内容：责令改正，可以处500元以上1000元以下罚款。</w:t>
            </w:r>
          </w:p>
        </w:tc>
        <w:tc>
          <w:tcPr>
            <w:tcW w:w="961" w:type="dxa"/>
            <w:gridSpan w:val="4"/>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ind w:left="6" w:hanging="21"/>
              <w:rPr>
                <w:rFonts w:ascii="仿宋_GB2312" w:hAnsi="宋体" w:eastAsia="仿宋_GB2312" w:cs="宋体"/>
                <w:kern w:val="0"/>
                <w:szCs w:val="21"/>
              </w:rPr>
            </w:pPr>
            <w:r>
              <w:rPr>
                <w:rFonts w:hint="eastAsia" w:ascii="仿宋_GB2312" w:hAnsi="宋体" w:eastAsia="仿宋_GB2312" w:cs="宋体"/>
                <w:kern w:val="0"/>
                <w:szCs w:val="21"/>
              </w:rPr>
              <w:t>按照《基准》的规定执行</w:t>
            </w:r>
          </w:p>
        </w:tc>
        <w:tc>
          <w:tcPr>
            <w:tcW w:w="1740" w:type="dxa"/>
            <w:gridSpan w:val="2"/>
            <w:shd w:val="clear" w:color="auto" w:fill="auto"/>
            <w:vAlign w:val="center"/>
          </w:tcPr>
          <w:p>
            <w:pPr>
              <w:widowControl/>
              <w:ind w:left="6" w:hanging="21"/>
              <w:rPr>
                <w:rFonts w:ascii="仿宋_GB2312" w:hAnsi="宋体" w:eastAsia="仿宋_GB2312" w:cs="宋体"/>
                <w:kern w:val="0"/>
                <w:szCs w:val="21"/>
              </w:rPr>
            </w:pPr>
            <w:r>
              <w:rPr>
                <w:rFonts w:hint="eastAsia" w:ascii="仿宋_GB2312" w:hAnsi="宋体" w:eastAsia="仿宋_GB2312" w:cs="宋体"/>
                <w:kern w:val="0"/>
                <w:szCs w:val="21"/>
              </w:rPr>
              <w:t>罚款数额＝500×（1＋情节系数）</w:t>
            </w:r>
          </w:p>
        </w:tc>
        <w:tc>
          <w:tcPr>
            <w:tcW w:w="2415" w:type="dxa"/>
            <w:gridSpan w:val="7"/>
            <w:shd w:val="clear" w:color="auto" w:fill="auto"/>
            <w:noWrap/>
            <w:vAlign w:val="center"/>
          </w:tcPr>
          <w:p>
            <w:pPr>
              <w:widowControl/>
              <w:ind w:left="6" w:hanging="2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擅自操作、拆除共用供热阀门，损坏共用阀门的铅封，改动或者损坏供热计量仪表及其附件等</w:t>
            </w:r>
          </w:p>
        </w:tc>
        <w:tc>
          <w:tcPr>
            <w:tcW w:w="4318" w:type="dxa"/>
            <w:gridSpan w:val="8"/>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违反条款：第二十四条第（八）项；</w:t>
            </w:r>
          </w:p>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处罚条款：第三十五条第三款；处罚内容：责令改正，可以处500元以上1000元以下罚款。</w:t>
            </w:r>
          </w:p>
        </w:tc>
        <w:tc>
          <w:tcPr>
            <w:tcW w:w="961" w:type="dxa"/>
            <w:gridSpan w:val="4"/>
            <w:shd w:val="clear" w:color="auto" w:fill="auto"/>
            <w:noWrap/>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按照《基准》的规定执行</w:t>
            </w:r>
          </w:p>
        </w:tc>
        <w:tc>
          <w:tcPr>
            <w:tcW w:w="1740" w:type="dxa"/>
            <w:gridSpan w:val="2"/>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罚款数额＝500×（1＋情节系数）</w:t>
            </w:r>
          </w:p>
        </w:tc>
        <w:tc>
          <w:tcPr>
            <w:tcW w:w="2415" w:type="dxa"/>
            <w:gridSpan w:val="7"/>
            <w:shd w:val="clear" w:color="auto" w:fill="auto"/>
            <w:noWrap/>
            <w:vAlign w:val="center"/>
          </w:tcPr>
          <w:p>
            <w:pPr>
              <w:spacing w:line="260" w:lineRule="exact"/>
              <w:ind w:left="6" w:hanging="23"/>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3" w:type="dxa"/>
            <w:gridSpan w:val="2"/>
            <w:shd w:val="clear" w:color="auto" w:fill="auto"/>
            <w:noWrap/>
            <w:vAlign w:val="center"/>
          </w:tcPr>
          <w:p>
            <w:pPr>
              <w:widowControl/>
              <w:spacing w:line="0" w:lineRule="atLeast"/>
              <w:ind w:left="6" w:hanging="21"/>
              <w:rPr>
                <w:rFonts w:ascii="仿宋_GB2312" w:hAnsi="宋体" w:eastAsia="仿宋_GB2312" w:cs="宋体"/>
                <w:kern w:val="0"/>
                <w:szCs w:val="21"/>
              </w:rPr>
            </w:pPr>
            <w:r>
              <w:rPr>
                <w:rFonts w:hint="eastAsia" w:ascii="仿宋_GB2312" w:hAnsi="宋体" w:eastAsia="仿宋_GB2312" w:cs="宋体"/>
                <w:kern w:val="0"/>
                <w:szCs w:val="21"/>
              </w:rPr>
              <w:t>19</w:t>
            </w:r>
          </w:p>
        </w:tc>
        <w:tc>
          <w:tcPr>
            <w:tcW w:w="1201" w:type="dxa"/>
            <w:gridSpan w:val="2"/>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其它危害、损坏供热设施的行为</w:t>
            </w:r>
          </w:p>
        </w:tc>
        <w:tc>
          <w:tcPr>
            <w:tcW w:w="4318" w:type="dxa"/>
            <w:gridSpan w:val="8"/>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违反条款：第二十四条第（九）项；</w:t>
            </w:r>
          </w:p>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处罚条款：第三十五条第二款 责令改正，严重影响供热设施安全的，可以处5000元以上3万元以下罚款。</w:t>
            </w:r>
          </w:p>
        </w:tc>
        <w:tc>
          <w:tcPr>
            <w:tcW w:w="961" w:type="dxa"/>
            <w:gridSpan w:val="4"/>
            <w:shd w:val="clear" w:color="auto" w:fill="auto"/>
            <w:noWrap/>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1.对供热设施造成一定损害的，系数为1；2.一定程度上影响到供暖效果的，系数为3；3.造成供暖事故的，系数为5。</w:t>
            </w:r>
          </w:p>
        </w:tc>
        <w:tc>
          <w:tcPr>
            <w:tcW w:w="1740" w:type="dxa"/>
            <w:gridSpan w:val="2"/>
            <w:shd w:val="clear" w:color="auto" w:fill="auto"/>
            <w:vAlign w:val="center"/>
          </w:tcPr>
          <w:p>
            <w:pPr>
              <w:widowControl/>
              <w:spacing w:line="260" w:lineRule="exact"/>
              <w:ind w:left="6" w:hanging="23"/>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spacing w:line="260" w:lineRule="exact"/>
              <w:ind w:left="6" w:hanging="23"/>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458" w:type="dxa"/>
            <w:gridSpan w:val="34"/>
            <w:shd w:val="clear" w:color="auto" w:fill="auto"/>
            <w:noWrap/>
            <w:vAlign w:val="center"/>
          </w:tcPr>
          <w:p>
            <w:pPr>
              <w:pStyle w:val="3"/>
              <w:rPr>
                <w:rFonts w:ascii="仿宋_GB2312" w:eastAsia="仿宋_GB2312"/>
                <w:szCs w:val="21"/>
              </w:rPr>
            </w:pPr>
            <w:bookmarkStart w:id="30" w:name="_Toc39911693"/>
            <w:r>
              <w:rPr>
                <w:rFonts w:hint="eastAsia"/>
              </w:rPr>
              <w:t>《北京市民用建筑节能管理办法》案由2项</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3" w:type="dxa"/>
            <w:gridSpan w:val="2"/>
            <w:vMerge w:val="restart"/>
            <w:shd w:val="clear" w:color="auto" w:fill="auto"/>
            <w:noWrap/>
            <w:vAlign w:val="center"/>
          </w:tcPr>
          <w:p>
            <w:pPr>
              <w:widowControl/>
              <w:spacing w:line="240" w:lineRule="exact"/>
              <w:ind w:left="6" w:hanging="21"/>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损坏供热计量装置与调控系统</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违反条款：第三十三条；处罚条款：第四十二条，责令改正，可处500元以上1000元以下罚款；情节严重，影响正常供热的，可处1000元以上1万元以下罚款。</w:t>
            </w:r>
          </w:p>
        </w:tc>
        <w:tc>
          <w:tcPr>
            <w:tcW w:w="961" w:type="dxa"/>
            <w:gridSpan w:val="4"/>
            <w:shd w:val="clear" w:color="auto" w:fill="auto"/>
            <w:noWrap/>
            <w:vAlign w:val="center"/>
          </w:tcPr>
          <w:p>
            <w:pPr>
              <w:spacing w:line="240" w:lineRule="exact"/>
              <w:jc w:val="center"/>
              <w:rPr>
                <w:rFonts w:ascii="仿宋_GB2312" w:eastAsia="仿宋_GB2312"/>
              </w:rPr>
            </w:pPr>
            <w:r>
              <w:rPr>
                <w:rFonts w:hint="eastAsia" w:ascii="仿宋_GB2312" w:eastAsia="仿宋_GB2312"/>
              </w:rPr>
              <w:t>500</w:t>
            </w:r>
          </w:p>
        </w:tc>
        <w:tc>
          <w:tcPr>
            <w:tcW w:w="720" w:type="dxa"/>
            <w:gridSpan w:val="2"/>
            <w:shd w:val="clear" w:color="auto" w:fill="auto"/>
            <w:noWrap/>
            <w:vAlign w:val="center"/>
          </w:tcPr>
          <w:p>
            <w:pPr>
              <w:spacing w:line="240" w:lineRule="exact"/>
              <w:jc w:val="center"/>
              <w:rPr>
                <w:rFonts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240" w:lineRule="exact"/>
              <w:jc w:val="center"/>
              <w:rPr>
                <w:rFonts w:ascii="仿宋_GB2312" w:eastAsia="仿宋_GB2312"/>
              </w:rPr>
            </w:pPr>
            <w:r>
              <w:rPr>
                <w:rFonts w:hint="eastAsia" w:ascii="仿宋_GB2312" w:eastAsia="仿宋_GB2312"/>
              </w:rPr>
              <w:t>按照《基准》的规定执行</w:t>
            </w:r>
          </w:p>
        </w:tc>
        <w:tc>
          <w:tcPr>
            <w:tcW w:w="1740" w:type="dxa"/>
            <w:gridSpan w:val="2"/>
            <w:shd w:val="clear" w:color="auto" w:fill="auto"/>
            <w:vAlign w:val="center"/>
          </w:tcPr>
          <w:p>
            <w:pPr>
              <w:widowControl/>
              <w:spacing w:line="240" w:lineRule="exact"/>
              <w:jc w:val="center"/>
              <w:rPr>
                <w:rFonts w:ascii="仿宋_GB2312" w:eastAsia="仿宋_GB2312"/>
              </w:rPr>
            </w:pPr>
            <w:r>
              <w:rPr>
                <w:rFonts w:hint="eastAsia" w:ascii="仿宋_GB2312" w:eastAsia="仿宋_GB2312"/>
              </w:rPr>
              <w:t>罚款数额＝500×（1＋情节系数</w:t>
            </w:r>
          </w:p>
        </w:tc>
        <w:tc>
          <w:tcPr>
            <w:tcW w:w="2415" w:type="dxa"/>
            <w:gridSpan w:val="7"/>
            <w:shd w:val="clear" w:color="auto" w:fill="auto"/>
            <w:noWrap/>
            <w:vAlign w:val="center"/>
          </w:tcPr>
          <w:p>
            <w:pPr>
              <w:widowControl/>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03" w:type="dxa"/>
            <w:gridSpan w:val="2"/>
            <w:vMerge w:val="continue"/>
            <w:shd w:val="clear" w:color="auto" w:fill="auto"/>
            <w:noWrap/>
            <w:vAlign w:val="center"/>
          </w:tcPr>
          <w:p>
            <w:pPr>
              <w:widowControl/>
              <w:spacing w:line="240" w:lineRule="exact"/>
              <w:ind w:left="6" w:hanging="21"/>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hAnsi="宋体" w:eastAsia="仿宋_GB2312" w:cs="宋体"/>
                <w:sz w:val="24"/>
              </w:rPr>
            </w:pPr>
          </w:p>
        </w:tc>
        <w:tc>
          <w:tcPr>
            <w:tcW w:w="4318" w:type="dxa"/>
            <w:gridSpan w:val="8"/>
            <w:vMerge w:val="continue"/>
            <w:shd w:val="clear" w:color="auto" w:fill="auto"/>
            <w:vAlign w:val="center"/>
          </w:tcPr>
          <w:p>
            <w:pPr>
              <w:spacing w:line="240" w:lineRule="exact"/>
              <w:rPr>
                <w:rFonts w:ascii="仿宋_GB2312" w:hAnsi="宋体" w:eastAsia="仿宋_GB2312" w:cs="宋体"/>
                <w:sz w:val="24"/>
              </w:rPr>
            </w:pPr>
          </w:p>
        </w:tc>
        <w:tc>
          <w:tcPr>
            <w:tcW w:w="961" w:type="dxa"/>
            <w:gridSpan w:val="4"/>
            <w:shd w:val="clear" w:color="auto" w:fill="auto"/>
            <w:noWrap/>
            <w:vAlign w:val="center"/>
          </w:tcPr>
          <w:p>
            <w:pPr>
              <w:spacing w:line="240" w:lineRule="exact"/>
              <w:jc w:val="center"/>
              <w:rPr>
                <w:rFonts w:ascii="仿宋_GB2312" w:eastAsia="仿宋_GB2312"/>
              </w:rPr>
            </w:pPr>
            <w:r>
              <w:rPr>
                <w:rFonts w:hint="eastAsia" w:ascii="仿宋_GB2312" w:eastAsia="仿宋_GB2312"/>
              </w:rPr>
              <w:t>1000</w:t>
            </w:r>
          </w:p>
        </w:tc>
        <w:tc>
          <w:tcPr>
            <w:tcW w:w="720" w:type="dxa"/>
            <w:gridSpan w:val="2"/>
            <w:shd w:val="clear" w:color="auto" w:fill="auto"/>
            <w:noWrap/>
            <w:vAlign w:val="center"/>
          </w:tcPr>
          <w:p>
            <w:pPr>
              <w:spacing w:line="240" w:lineRule="exact"/>
              <w:jc w:val="center"/>
              <w:rPr>
                <w:rFonts w:ascii="仿宋_GB2312" w:eastAsia="仿宋_GB2312"/>
              </w:rPr>
            </w:pPr>
            <w:r>
              <w:rPr>
                <w:rFonts w:hint="eastAsia" w:ascii="仿宋_GB2312" w:eastAsia="仿宋_GB2312"/>
              </w:rPr>
              <w:t>1</w:t>
            </w:r>
          </w:p>
        </w:tc>
        <w:tc>
          <w:tcPr>
            <w:tcW w:w="3600" w:type="dxa"/>
            <w:gridSpan w:val="7"/>
            <w:shd w:val="clear" w:color="auto" w:fill="auto"/>
            <w:vAlign w:val="center"/>
          </w:tcPr>
          <w:p>
            <w:pPr>
              <w:widowControl/>
              <w:spacing w:line="240" w:lineRule="exact"/>
              <w:jc w:val="center"/>
              <w:rPr>
                <w:rFonts w:ascii="仿宋_GB2312" w:eastAsia="仿宋_GB2312"/>
              </w:rPr>
            </w:pPr>
            <w:r>
              <w:rPr>
                <w:rFonts w:hint="eastAsia" w:ascii="仿宋_GB2312" w:eastAsia="仿宋_GB2312"/>
              </w:rPr>
              <w:t>按照《基准》的规定执行</w:t>
            </w:r>
          </w:p>
        </w:tc>
        <w:tc>
          <w:tcPr>
            <w:tcW w:w="1740" w:type="dxa"/>
            <w:gridSpan w:val="2"/>
            <w:shd w:val="clear" w:color="auto" w:fill="auto"/>
            <w:vAlign w:val="center"/>
          </w:tcPr>
          <w:p>
            <w:pPr>
              <w:widowControl/>
              <w:spacing w:line="240" w:lineRule="exact"/>
              <w:jc w:val="center"/>
              <w:rPr>
                <w:rFonts w:ascii="仿宋_GB2312" w:eastAsia="仿宋_GB2312"/>
              </w:rPr>
            </w:pPr>
            <w:r>
              <w:rPr>
                <w:rFonts w:hint="eastAsia" w:ascii="仿宋_GB2312" w:eastAsia="仿宋_GB2312"/>
              </w:rPr>
              <w:t>罚款数额＝1000×（1＋情节系数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03" w:type="dxa"/>
            <w:gridSpan w:val="2"/>
            <w:shd w:val="clear" w:color="auto" w:fill="auto"/>
            <w:noWrap/>
            <w:vAlign w:val="center"/>
          </w:tcPr>
          <w:p>
            <w:pPr>
              <w:widowControl/>
              <w:spacing w:line="240" w:lineRule="exact"/>
              <w:ind w:left="6" w:hanging="21"/>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供热单位不实行供热计量的</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违反条款：第三十五条第一款；处罚条款：第四十四条，限期整改，逾期不改正的，处3万元罚款。</w:t>
            </w:r>
          </w:p>
        </w:tc>
        <w:tc>
          <w:tcPr>
            <w:tcW w:w="961" w:type="dxa"/>
            <w:gridSpan w:val="4"/>
            <w:shd w:val="clear" w:color="auto" w:fill="auto"/>
            <w:noWrap/>
            <w:vAlign w:val="center"/>
          </w:tcPr>
          <w:p>
            <w:pPr>
              <w:widowControl/>
              <w:spacing w:line="240" w:lineRule="exact"/>
              <w:ind w:left="6" w:hanging="21"/>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ind w:left="6" w:hanging="21"/>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ind w:left="6" w:hanging="21"/>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ind w:left="6" w:hanging="21"/>
              <w:rPr>
                <w:rFonts w:ascii="仿宋_GB2312" w:hAnsi="宋体" w:eastAsia="仿宋_GB2312" w:cs="宋体"/>
                <w:kern w:val="0"/>
                <w:szCs w:val="21"/>
              </w:rPr>
            </w:pPr>
          </w:p>
        </w:tc>
        <w:tc>
          <w:tcPr>
            <w:tcW w:w="2415" w:type="dxa"/>
            <w:gridSpan w:val="7"/>
            <w:shd w:val="clear" w:color="auto" w:fill="auto"/>
            <w:noWrap/>
            <w:vAlign w:val="center"/>
          </w:tcPr>
          <w:p>
            <w:pPr>
              <w:spacing w:line="240" w:lineRule="exact"/>
              <w:ind w:left="6" w:hanging="21"/>
              <w:rPr>
                <w:rFonts w:ascii="仿宋_GB2312" w:hAnsi="宋体" w:eastAsia="仿宋_GB2312" w:cs="宋体"/>
                <w:kern w:val="0"/>
                <w:szCs w:val="21"/>
              </w:rPr>
            </w:pPr>
            <w:r>
              <w:rPr>
                <w:rFonts w:hint="eastAsia" w:ascii="仿宋_GB2312" w:hAnsi="宋体" w:eastAsia="仿宋_GB2312" w:cs="宋体"/>
                <w:kern w:val="0"/>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458" w:type="dxa"/>
            <w:gridSpan w:val="34"/>
            <w:shd w:val="clear" w:color="auto" w:fill="auto"/>
            <w:noWrap/>
            <w:vAlign w:val="center"/>
          </w:tcPr>
          <w:p>
            <w:pPr>
              <w:pStyle w:val="2"/>
              <w:rPr>
                <w:rFonts w:ascii="黑体" w:eastAsia="黑体"/>
                <w:sz w:val="28"/>
                <w:szCs w:val="28"/>
              </w:rPr>
            </w:pPr>
            <w:bookmarkStart w:id="31" w:name="_Toc39911694"/>
            <w:r>
              <w:rPr>
                <w:rFonts w:hint="eastAsia"/>
              </w:rPr>
              <w:t>园林绿化管理方面案由</w:t>
            </w:r>
            <w:r>
              <w:rPr>
                <w:rFonts w:ascii="方正小标宋简体"/>
              </w:rPr>
              <w:t>46</w:t>
            </w:r>
            <w:r>
              <w:rPr>
                <w:rFonts w:hint="eastAsia"/>
              </w:rPr>
              <w:t>项</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458" w:type="dxa"/>
            <w:gridSpan w:val="34"/>
            <w:shd w:val="clear" w:color="auto" w:fill="auto"/>
            <w:noWrap/>
            <w:vAlign w:val="center"/>
          </w:tcPr>
          <w:p>
            <w:pPr>
              <w:pStyle w:val="3"/>
            </w:pPr>
            <w:bookmarkStart w:id="32" w:name="_Toc39911695"/>
            <w:r>
              <w:rPr>
                <w:rFonts w:hint="eastAsia"/>
              </w:rPr>
              <w:t>《北京市绿化条例》案由16项</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未按要求公示绿地平面图</w:t>
            </w:r>
          </w:p>
        </w:tc>
        <w:tc>
          <w:tcPr>
            <w:tcW w:w="4318" w:type="dxa"/>
            <w:gridSpan w:val="8"/>
            <w:shd w:val="clear" w:color="auto" w:fill="auto"/>
            <w:vAlign w:val="center"/>
          </w:tcPr>
          <w:p>
            <w:pPr>
              <w:rPr>
                <w:rFonts w:ascii="仿宋_GB2312" w:hAnsi="宋体" w:eastAsia="仿宋_GB2312" w:cs="宋体"/>
                <w:kern w:val="0"/>
                <w:szCs w:val="21"/>
              </w:rPr>
            </w:pPr>
            <w:bookmarkStart w:id="33" w:name="63"/>
            <w:r>
              <w:rPr>
                <w:rFonts w:hint="eastAsia" w:ascii="仿宋_GB2312" w:hAnsi="宋体" w:eastAsia="仿宋_GB2312" w:cs="宋体"/>
                <w:kern w:val="0"/>
                <w:szCs w:val="21"/>
              </w:rPr>
              <w:t>违反条款：第二十五条；</w:t>
            </w:r>
          </w:p>
          <w:p>
            <w:pPr>
              <w:rPr>
                <w:rFonts w:ascii="仿宋_GB2312" w:hAnsi="宋体" w:eastAsia="仿宋_GB2312" w:cs="宋体"/>
                <w:kern w:val="0"/>
                <w:szCs w:val="21"/>
              </w:rPr>
            </w:pPr>
            <w:r>
              <w:rPr>
                <w:rFonts w:hint="eastAsia" w:ascii="仿宋_GB2312" w:hAnsi="宋体" w:eastAsia="仿宋_GB2312" w:cs="宋体"/>
                <w:kern w:val="0"/>
                <w:szCs w:val="21"/>
              </w:rPr>
              <w:t>处罚条款：第六十三条</w:t>
            </w:r>
            <w:bookmarkEnd w:id="33"/>
            <w:r>
              <w:rPr>
                <w:rFonts w:hint="eastAsia" w:ascii="仿宋_GB2312" w:hAnsi="宋体" w:eastAsia="仿宋_GB2312" w:cs="宋体"/>
                <w:kern w:val="0"/>
                <w:szCs w:val="21"/>
              </w:rPr>
              <w:t xml:space="preserve"> 责令限期改正；逾期不改正的，处5000元罚款。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FFFFFF"/>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未按规定对闲置土地进行临时绿化</w:t>
            </w:r>
          </w:p>
        </w:tc>
        <w:tc>
          <w:tcPr>
            <w:tcW w:w="4318" w:type="dxa"/>
            <w:gridSpan w:val="8"/>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违反条款：第二十七条；</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处罚条款：</w:t>
            </w:r>
            <w:bookmarkStart w:id="34" w:name="64"/>
            <w:r>
              <w:rPr>
                <w:rFonts w:hint="eastAsia" w:ascii="仿宋_GB2312" w:hAnsi="宋体" w:eastAsia="仿宋_GB2312" w:cs="宋体"/>
                <w:kern w:val="0"/>
                <w:szCs w:val="21"/>
              </w:rPr>
              <w:t>第六十四条</w:t>
            </w:r>
            <w:bookmarkEnd w:id="34"/>
            <w:r>
              <w:rPr>
                <w:rFonts w:hint="eastAsia" w:ascii="仿宋_GB2312" w:hAnsi="宋体" w:eastAsia="仿宋_GB2312" w:cs="宋体"/>
                <w:kern w:val="0"/>
                <w:szCs w:val="21"/>
              </w:rPr>
              <w:t xml:space="preserve"> 责令限期改正；逾期不改正的，处2000元以上2万元以下罚款。</w:t>
            </w:r>
          </w:p>
        </w:tc>
        <w:tc>
          <w:tcPr>
            <w:tcW w:w="961" w:type="dxa"/>
            <w:gridSpan w:val="4"/>
            <w:shd w:val="clear" w:color="auto" w:fill="auto"/>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1.闲置面积1000</w:t>
            </w:r>
            <w:r>
              <w:rPr>
                <w:rFonts w:hint="eastAsia" w:ascii="Batang" w:hAnsi="Batang" w:eastAsia="Batang" w:cs="Batang"/>
                <w:kern w:val="0"/>
                <w:szCs w:val="21"/>
              </w:rPr>
              <w:t>㎡</w:t>
            </w:r>
            <w:r>
              <w:rPr>
                <w:rFonts w:hint="eastAsia" w:ascii="仿宋_GB2312" w:hAnsi="宋体" w:eastAsia="仿宋_GB2312" w:cs="宋体"/>
                <w:kern w:val="0"/>
                <w:szCs w:val="21"/>
              </w:rPr>
              <w:t>以内，变量系数为0，闲置面积1000</w:t>
            </w:r>
            <w:r>
              <w:rPr>
                <w:rFonts w:hint="eastAsia" w:ascii="Batang" w:hAnsi="Batang" w:eastAsia="Batang" w:cs="Batang"/>
                <w:kern w:val="0"/>
                <w:szCs w:val="21"/>
              </w:rPr>
              <w:t>㎡</w:t>
            </w:r>
            <w:r>
              <w:rPr>
                <w:rFonts w:hint="eastAsia" w:ascii="仿宋_GB2312" w:hAnsi="宋体" w:eastAsia="仿宋_GB2312" w:cs="宋体"/>
                <w:kern w:val="0"/>
                <w:szCs w:val="21"/>
              </w:rPr>
              <w:t>以上的，每增加500</w:t>
            </w:r>
            <w:r>
              <w:rPr>
                <w:rFonts w:hint="eastAsia" w:ascii="Batang" w:hAnsi="Batang" w:eastAsia="Batang" w:cs="Batang"/>
                <w:kern w:val="0"/>
                <w:szCs w:val="21"/>
              </w:rPr>
              <w:t>㎡</w:t>
            </w:r>
            <w:r>
              <w:rPr>
                <w:rFonts w:hint="eastAsia" w:ascii="仿宋_GB2312" w:hAnsi="宋体" w:eastAsia="仿宋_GB2312" w:cs="宋体"/>
                <w:kern w:val="0"/>
                <w:szCs w:val="21"/>
              </w:rPr>
              <w:t>，变量系数增加1；2.闲置时间超过一年的，系数为4；3.尘土飞扬，对市容环境造成严重影响的，系数9。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sz w:val="24"/>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未按养护规范养护绿地、树木</w:t>
            </w:r>
          </w:p>
        </w:tc>
        <w:tc>
          <w:tcPr>
            <w:tcW w:w="4318" w:type="dxa"/>
            <w:gridSpan w:val="8"/>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违反条款：第四十条第一款；</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处罚条款：</w:t>
            </w:r>
            <w:bookmarkStart w:id="35" w:name="65"/>
            <w:r>
              <w:rPr>
                <w:rFonts w:hint="eastAsia" w:ascii="仿宋_GB2312" w:hAnsi="宋体" w:eastAsia="仿宋_GB2312" w:cs="宋体"/>
                <w:kern w:val="0"/>
                <w:szCs w:val="21"/>
              </w:rPr>
              <w:t>第六十五条</w:t>
            </w:r>
            <w:bookmarkEnd w:id="35"/>
            <w:r>
              <w:rPr>
                <w:rFonts w:hint="eastAsia" w:ascii="仿宋_GB2312" w:hAnsi="宋体" w:eastAsia="仿宋_GB2312" w:cs="宋体"/>
                <w:kern w:val="0"/>
                <w:szCs w:val="21"/>
              </w:rPr>
              <w:t xml:space="preserve"> 责令限期改正；逾期不改正，造成树木死亡、绿化设施损毁、景区风貌破坏的，处2000元以上2万元以下罚款。</w:t>
            </w:r>
          </w:p>
        </w:tc>
        <w:tc>
          <w:tcPr>
            <w:tcW w:w="961" w:type="dxa"/>
            <w:gridSpan w:val="4"/>
            <w:shd w:val="clear" w:color="auto" w:fill="auto"/>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1.造成树木死亡（胸径小于30厘米且不满3株），绿化设施损毁、景区风貌破坏较重的，或者造成较大社会影响的，系数为2；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503"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未按规范开发利用绿地地下空间</w:t>
            </w:r>
          </w:p>
        </w:tc>
        <w:tc>
          <w:tcPr>
            <w:tcW w:w="4318" w:type="dxa"/>
            <w:gridSpan w:val="8"/>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违反条款：第四十六条；</w:t>
            </w:r>
          </w:p>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处罚条款：</w:t>
            </w:r>
            <w:bookmarkStart w:id="36" w:name="66"/>
            <w:r>
              <w:rPr>
                <w:rFonts w:hint="eastAsia" w:ascii="仿宋_GB2312" w:hAnsi="宋体" w:eastAsia="仿宋_GB2312" w:cs="宋体"/>
                <w:kern w:val="0"/>
                <w:szCs w:val="21"/>
              </w:rPr>
              <w:t>第六十六条</w:t>
            </w:r>
            <w:bookmarkEnd w:id="36"/>
            <w:r>
              <w:rPr>
                <w:rFonts w:hint="eastAsia" w:ascii="仿宋_GB2312" w:hAnsi="宋体" w:eastAsia="仿宋_GB2312" w:cs="宋体"/>
                <w:kern w:val="0"/>
                <w:szCs w:val="21"/>
              </w:rPr>
              <w:t xml:space="preserve"> 责令限期改正；逾期不改正的，处2万元以上10万元以下罚款。</w:t>
            </w:r>
          </w:p>
        </w:tc>
        <w:tc>
          <w:tcPr>
            <w:tcW w:w="961" w:type="dxa"/>
            <w:gridSpan w:val="4"/>
            <w:shd w:val="clear" w:color="auto" w:fill="auto"/>
            <w:noWrap/>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20000</w:t>
            </w:r>
          </w:p>
        </w:tc>
        <w:tc>
          <w:tcPr>
            <w:tcW w:w="720" w:type="dxa"/>
            <w:gridSpan w:val="2"/>
            <w:shd w:val="clear" w:color="auto" w:fill="auto"/>
            <w:noWrap/>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1．造成树木死亡（胸径小于30厘米且不满3株），绿地损毁的，变量系数为1；2.造成树木大面积死亡（胸径30厘米以上的，或树木死亡3株以上），绿地使用功能丧失，或者其它社会恶劣影响和重大经济损失的，变量系数为3。</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罚款数额＝20000×（1＋区域系数＋情节系数＋变量系数）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3" w:type="dxa"/>
            <w:gridSpan w:val="2"/>
            <w:vMerge w:val="restart"/>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在树木旁或者绿地内倾倒、排放污水、垃圾、渣土及其它废弃物</w:t>
            </w:r>
          </w:p>
        </w:tc>
        <w:tc>
          <w:tcPr>
            <w:tcW w:w="4318" w:type="dxa"/>
            <w:gridSpan w:val="8"/>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违反条款：第五十条第（一）项；处罚条款：第六十七条责令停止违法行为。处罚内容：情节较轻的，处20元以上50元以下罚款；情节严重的，处50元以上500元以下罚款。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503" w:type="dxa"/>
            <w:gridSpan w:val="2"/>
            <w:vMerge w:val="continue"/>
            <w:shd w:val="clear" w:color="auto" w:fill="auto"/>
            <w:noWrap/>
            <w:vAlign w:val="center"/>
          </w:tcPr>
          <w:p>
            <w:pPr>
              <w:widowControl/>
              <w:spacing w:line="240" w:lineRule="exac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30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30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同时违反市容、市政等法规或者绿化条例其它条款，适用本案由不足以惩处的，可适用相关案由查处。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损毁树木、花草及绿化设施</w:t>
            </w:r>
          </w:p>
        </w:tc>
        <w:tc>
          <w:tcPr>
            <w:tcW w:w="4318" w:type="dxa"/>
            <w:gridSpan w:val="8"/>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违反条款：第五十条第（二）项；处罚条款：第六十七条责令停止违法行为。处罚内容：情节较轻的，处20元以上50元以下罚款；情节严重的，处50元以上500元以下罚款。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spacing w:line="30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30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同时违反绿化条例其它条款的，适用本案由不足以惩处的，可适用相关案由查处。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在树木或者绿化设施上悬挂广告牌或者其它物品</w:t>
            </w:r>
          </w:p>
        </w:tc>
        <w:tc>
          <w:tcPr>
            <w:tcW w:w="4318" w:type="dxa"/>
            <w:gridSpan w:val="8"/>
            <w:vMerge w:val="restart"/>
            <w:shd w:val="clear" w:color="auto" w:fill="auto"/>
            <w:vAlign w:val="center"/>
          </w:tcPr>
          <w:p>
            <w:pPr>
              <w:spacing w:line="30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违反条款：第五十条第（三）项；处罚条款：第六十七条责令停止违法行为。处罚内容：情节较轻的，处20元以上50元以下罚款；情节严重的，处50元以上500元以下罚款。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300" w:lineRule="exac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300" w:lineRule="exac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按照简易程序执行</w:t>
            </w:r>
          </w:p>
          <w:p>
            <w:pPr>
              <w:widowControl/>
              <w:spacing w:line="3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spacing w:line="30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30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300" w:lineRule="exact"/>
              <w:rPr>
                <w:rFonts w:ascii="仿宋_GB2312" w:hAnsi="宋体" w:eastAsia="仿宋_GB2312" w:cs="宋体"/>
                <w:kern w:val="0"/>
                <w:szCs w:val="21"/>
              </w:rPr>
            </w:pPr>
            <w:r>
              <w:rPr>
                <w:rFonts w:hint="eastAsia" w:ascii="仿宋_GB2312" w:hAnsi="宋体" w:eastAsia="仿宋_GB2312" w:cs="宋体"/>
                <w:kern w:val="0"/>
                <w:szCs w:val="21"/>
              </w:rPr>
              <w:t>同时违反市容等法规的，可适用相关案由查处。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vMerge w:val="restart"/>
            <w:shd w:val="clear" w:color="auto" w:fill="auto"/>
            <w:vAlign w:val="center"/>
          </w:tcPr>
          <w:p>
            <w:pPr>
              <w:spacing w:line="280" w:lineRule="exact"/>
              <w:rPr>
                <w:rFonts w:ascii="仿宋_GB2312" w:hAnsi="宋体" w:eastAsia="仿宋_GB2312" w:cs="宋体"/>
                <w:kern w:val="0"/>
                <w:szCs w:val="21"/>
              </w:rPr>
            </w:pPr>
            <w:r>
              <w:rPr>
                <w:rFonts w:hint="eastAsia" w:ascii="仿宋_GB2312" w:hAnsi="宋体" w:eastAsia="仿宋_GB2312" w:cs="宋体"/>
                <w:kern w:val="0"/>
                <w:szCs w:val="21"/>
              </w:rPr>
              <w:t>在绿地内取土、搭建构筑物</w:t>
            </w:r>
          </w:p>
        </w:tc>
        <w:tc>
          <w:tcPr>
            <w:tcW w:w="4318" w:type="dxa"/>
            <w:gridSpan w:val="8"/>
            <w:vMerge w:val="restart"/>
            <w:shd w:val="clear" w:color="auto" w:fill="auto"/>
            <w:vAlign w:val="center"/>
          </w:tcPr>
          <w:p>
            <w:pPr>
              <w:spacing w:line="280" w:lineRule="exact"/>
              <w:rPr>
                <w:rFonts w:ascii="仿宋_GB2312" w:hAnsi="宋体" w:eastAsia="仿宋_GB2312" w:cs="宋体"/>
                <w:kern w:val="0"/>
                <w:szCs w:val="21"/>
              </w:rPr>
            </w:pPr>
            <w:r>
              <w:rPr>
                <w:rFonts w:hint="eastAsia" w:ascii="仿宋_GB2312" w:hAnsi="宋体" w:eastAsia="仿宋_GB2312" w:cs="宋体"/>
                <w:kern w:val="0"/>
                <w:szCs w:val="21"/>
              </w:rPr>
              <w:t>违反条款：第五十条第（四）项；处罚条款：第六十七条责令停止违法行为。处罚内容：情节较轻的，处20元以上50元以下罚款；情节严重的，处50元以上500元以下罚款。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280" w:lineRule="exac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280" w:lineRule="exac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28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8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spacing w:line="280" w:lineRule="exact"/>
              <w:rPr>
                <w:rFonts w:ascii="仿宋_GB2312" w:hAnsi="宋体" w:eastAsia="仿宋_GB2312" w:cs="宋体"/>
                <w:kern w:val="0"/>
                <w:szCs w:val="21"/>
              </w:rPr>
            </w:pPr>
          </w:p>
        </w:tc>
        <w:tc>
          <w:tcPr>
            <w:tcW w:w="4318" w:type="dxa"/>
            <w:gridSpan w:val="8"/>
            <w:vMerge w:val="continue"/>
            <w:shd w:val="clear" w:color="auto" w:fill="auto"/>
            <w:vAlign w:val="center"/>
          </w:tcPr>
          <w:p>
            <w:pPr>
              <w:spacing w:line="280" w:lineRule="exact"/>
              <w:rPr>
                <w:rFonts w:ascii="仿宋_GB2312" w:hAnsi="宋体" w:eastAsia="仿宋_GB2312" w:cs="宋体"/>
                <w:kern w:val="0"/>
                <w:szCs w:val="21"/>
              </w:rPr>
            </w:pPr>
          </w:p>
        </w:tc>
        <w:tc>
          <w:tcPr>
            <w:tcW w:w="961" w:type="dxa"/>
            <w:gridSpan w:val="4"/>
            <w:shd w:val="clear" w:color="auto" w:fill="auto"/>
            <w:noWrap/>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280" w:lineRule="exact"/>
              <w:rPr>
                <w:rFonts w:ascii="仿宋_GB2312" w:hAnsi="宋体" w:eastAsia="仿宋_GB2312" w:cs="宋体"/>
                <w:kern w:val="0"/>
                <w:szCs w:val="21"/>
              </w:rPr>
            </w:pPr>
            <w:r>
              <w:rPr>
                <w:rFonts w:hint="eastAsia" w:ascii="仿宋_GB2312" w:hAnsi="宋体" w:eastAsia="仿宋_GB2312" w:cs="宋体"/>
                <w:kern w:val="0"/>
                <w:szCs w:val="21"/>
              </w:rPr>
              <w:t>同时违反规划、市容等法规或者绿化条例其它条款的，适用本案由不足以惩处的，可适用相关案由查处。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在绿地内用火、烧烤</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违反条款：第五十条第（五）项；处罚条款：第六十七条责令停止违法行为。处罚内容：情节较轻的，处20元以上50元以下罚款；情节严重的，处50元以上500元以下罚款。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Cs w:val="21"/>
              </w:rPr>
            </w:pPr>
          </w:p>
        </w:tc>
        <w:tc>
          <w:tcPr>
            <w:tcW w:w="4318" w:type="dxa"/>
            <w:gridSpan w:val="8"/>
            <w:vMerge w:val="continue"/>
            <w:shd w:val="clear" w:color="auto" w:fill="auto"/>
            <w:vAlign w:val="center"/>
          </w:tcPr>
          <w:p>
            <w:pPr>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同时违反其它法规，本案由不足以惩处的，可适用相关案由。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实施其它损害绿化成果及绿化设施的行为</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违反条款：第五十条第（七）项；处罚条款：第六十七条责令停止违法行为。处罚内容：情节较轻的，处20元以上50元以下罚款；情节严重的，处50元以上500元以下罚款。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Cs w:val="21"/>
              </w:rPr>
            </w:pPr>
          </w:p>
        </w:tc>
        <w:tc>
          <w:tcPr>
            <w:tcW w:w="4318" w:type="dxa"/>
            <w:gridSpan w:val="8"/>
            <w:vMerge w:val="continue"/>
            <w:shd w:val="clear" w:color="auto" w:fill="auto"/>
            <w:vAlign w:val="center"/>
          </w:tcPr>
          <w:p>
            <w:pPr>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造成树木死亡、绿地或绿化设施损毁严重的，系数9。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同时违反其它法规，本案由不足以惩处的，可适用相关案由。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未经许可擅自改变绿地性质和用途</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违反条款：第五十七条；处罚条款：</w:t>
            </w:r>
            <w:bookmarkStart w:id="37" w:name="68"/>
            <w:r>
              <w:rPr>
                <w:rFonts w:hint="eastAsia" w:ascii="仿宋_GB2312" w:hAnsi="宋体" w:eastAsia="仿宋_GB2312" w:cs="宋体"/>
                <w:kern w:val="0"/>
                <w:szCs w:val="21"/>
              </w:rPr>
              <w:t>第六十八条</w:t>
            </w:r>
            <w:bookmarkEnd w:id="37"/>
            <w:r>
              <w:rPr>
                <w:rFonts w:hint="eastAsia" w:ascii="仿宋_GB2312" w:hAnsi="宋体" w:eastAsia="仿宋_GB2312" w:cs="宋体"/>
                <w:kern w:val="0"/>
                <w:szCs w:val="21"/>
              </w:rPr>
              <w:t>责令限期改正、恢复原状，并按照改变的面积处每平方米300元以上3000元以下罚款</w:t>
            </w:r>
            <w:r>
              <w:rPr>
                <w:rFonts w:ascii="仿宋_GB2312" w:hAnsi="宋体" w:eastAsia="仿宋_GB2312" w:cs="宋体"/>
                <w:kern w:val="0"/>
                <w:szCs w:val="21"/>
              </w:rPr>
              <w:t>。</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存在以下情节的，增加相应变量系数：1.擅自改变公共绿地性质和用途的，系数5-9；主动改正违法行为或者减轻违法后果的，系数1-4。2.擅自改变居住区绿地性质和用途的，系数5-9；主动改正违法行为或者减轻违法后果的，系数1-4。3.改变其它绿地的，系数1-4；4.存在其它情节严重或者社会影响恶劣的情形，系数5-9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罚款数额＝面积×300×（1＋变量系数）</w:t>
            </w:r>
          </w:p>
        </w:tc>
        <w:tc>
          <w:tcPr>
            <w:tcW w:w="2415" w:type="dxa"/>
            <w:gridSpan w:val="7"/>
            <w:shd w:val="clear" w:color="auto" w:fill="auto"/>
            <w:vAlign w:val="center"/>
          </w:tcPr>
          <w:p>
            <w:pPr>
              <w:widowControl/>
              <w:spacing w:line="0" w:lineRule="atLeast"/>
              <w:rPr>
                <w:rFonts w:ascii="仿宋_GB2312" w:hAnsi="宋体"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未按规定移植树木</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违反条款：第五十八条第一款；处罚条款：</w:t>
            </w:r>
            <w:bookmarkStart w:id="38" w:name="69"/>
            <w:r>
              <w:rPr>
                <w:rFonts w:hint="eastAsia" w:ascii="仿宋_GB2312" w:hAnsi="宋体" w:eastAsia="仿宋_GB2312" w:cs="宋体"/>
                <w:kern w:val="0"/>
                <w:szCs w:val="21"/>
              </w:rPr>
              <w:t>第六十九条</w:t>
            </w:r>
            <w:bookmarkEnd w:id="38"/>
            <w:r>
              <w:rPr>
                <w:rFonts w:hint="eastAsia" w:ascii="仿宋_GB2312" w:hAnsi="宋体" w:eastAsia="仿宋_GB2312" w:cs="宋体"/>
                <w:kern w:val="0"/>
                <w:szCs w:val="21"/>
              </w:rPr>
              <w:t xml:space="preserve"> 责令限期改正；无法改正的，责令在规定地点补种移植株数5倍的树木，并可以处所移植树木价值3至5倍的罚款。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树木价值</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按照《基准》的规定执行</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罚款数额＝树木价值×（3＋区域系数＋情节系数）</w:t>
            </w: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未按规定砍伐树木</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违反条款：第五十九条第一款第（一）、（二）、（三）、（四）项；处罚条款：</w:t>
            </w:r>
            <w:bookmarkStart w:id="39" w:name="70"/>
            <w:r>
              <w:rPr>
                <w:rFonts w:hint="eastAsia" w:ascii="仿宋_GB2312" w:hAnsi="宋体" w:eastAsia="仿宋_GB2312" w:cs="宋体"/>
                <w:kern w:val="0"/>
                <w:szCs w:val="21"/>
              </w:rPr>
              <w:t>第七十条</w:t>
            </w:r>
            <w:bookmarkEnd w:id="39"/>
            <w:r>
              <w:rPr>
                <w:rFonts w:hint="eastAsia" w:ascii="仿宋_GB2312" w:hAnsi="宋体" w:eastAsia="仿宋_GB2312" w:cs="宋体"/>
                <w:kern w:val="0"/>
                <w:szCs w:val="21"/>
              </w:rPr>
              <w:t xml:space="preserve"> ：责令停止违法行为，并在规定地点补种砍伐株数10倍的树木，处所砍伐树木价值5至10倍的罚款。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树木价值</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存在以下情节的，增加变量系数：违反规定截除（擅自砍伐）第五十九条第一款四种情形之外树木主干、去除树冠的，系数 1-5。</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罚款数额＝树木价值×（5＋区域系数＋情节系数＋变量系数）。</w:t>
            </w:r>
          </w:p>
        </w:tc>
        <w:tc>
          <w:tcPr>
            <w:tcW w:w="2415" w:type="dxa"/>
            <w:gridSpan w:val="7"/>
            <w:shd w:val="clear" w:color="auto" w:fill="auto"/>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违反规定截除树木主干、去除树冠</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w:t>
            </w:r>
            <w:r>
              <w:rPr>
                <w:rFonts w:ascii="仿宋_GB2312" w:hAnsi="宋体" w:eastAsia="仿宋_GB2312" w:cs="宋体"/>
                <w:kern w:val="0"/>
                <w:szCs w:val="21"/>
              </w:rPr>
              <w:t>条款：</w:t>
            </w:r>
            <w:r>
              <w:rPr>
                <w:rFonts w:hint="eastAsia" w:ascii="仿宋_GB2312" w:hAnsi="宋体" w:eastAsia="仿宋_GB2312" w:cs="宋体"/>
                <w:kern w:val="0"/>
                <w:szCs w:val="21"/>
              </w:rPr>
              <w:t>第五十条第（六）项；</w:t>
            </w:r>
          </w:p>
          <w:p>
            <w:pPr>
              <w:rPr>
                <w:rFonts w:ascii="仿宋_GB2312" w:hAnsi="宋体" w:eastAsia="仿宋_GB2312" w:cs="宋体"/>
                <w:kern w:val="0"/>
                <w:szCs w:val="21"/>
              </w:rPr>
            </w:pPr>
            <w:r>
              <w:rPr>
                <w:rFonts w:hint="eastAsia" w:ascii="仿宋_GB2312" w:hAnsi="宋体" w:eastAsia="仿宋_GB2312" w:cs="宋体"/>
                <w:kern w:val="0"/>
                <w:szCs w:val="21"/>
              </w:rPr>
              <w:t>处罚</w:t>
            </w:r>
            <w:r>
              <w:rPr>
                <w:rFonts w:ascii="仿宋_GB2312" w:hAnsi="宋体" w:eastAsia="仿宋_GB2312" w:cs="宋体"/>
                <w:kern w:val="0"/>
                <w:szCs w:val="21"/>
              </w:rPr>
              <w:t>条款：</w:t>
            </w:r>
            <w:r>
              <w:rPr>
                <w:rFonts w:hint="eastAsia" w:ascii="仿宋_GB2312" w:hAnsi="宋体" w:eastAsia="仿宋_GB2312" w:cs="宋体"/>
                <w:kern w:val="0"/>
                <w:szCs w:val="21"/>
              </w:rPr>
              <w:t>第七十条第一款、第二款  责令停止违法行为，并在规定地点补种砍伐株数10倍的树木，处所砍伐树木价值5至10倍的罚款。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树木价值</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存在以下情节的，增加变量系数：违反规定截除（擅自砍伐）第五十九条第一款四种情形之外树木主干、去除树冠的，系数 1-5。</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罚款数额＝树木价值×（5＋区域系数＋情节系数＋变量系数）。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未经许可临时占用绿地</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违反条款：第六十条；</w:t>
            </w:r>
          </w:p>
          <w:p>
            <w:pPr>
              <w:rPr>
                <w:rFonts w:ascii="仿宋_GB2312" w:hAnsi="宋体" w:eastAsia="仿宋_GB2312" w:cs="宋体"/>
                <w:kern w:val="0"/>
                <w:szCs w:val="21"/>
              </w:rPr>
            </w:pPr>
            <w:r>
              <w:rPr>
                <w:rFonts w:hint="eastAsia" w:ascii="仿宋_GB2312" w:hAnsi="宋体" w:eastAsia="仿宋_GB2312" w:cs="宋体"/>
                <w:kern w:val="0"/>
                <w:szCs w:val="21"/>
              </w:rPr>
              <w:t>处罚条款：</w:t>
            </w:r>
            <w:bookmarkStart w:id="40" w:name="71"/>
            <w:r>
              <w:rPr>
                <w:rFonts w:hint="eastAsia" w:ascii="仿宋_GB2312" w:hAnsi="宋体" w:eastAsia="仿宋_GB2312" w:cs="宋体"/>
                <w:kern w:val="0"/>
                <w:szCs w:val="21"/>
              </w:rPr>
              <w:t>第六十八条</w:t>
            </w:r>
            <w:bookmarkEnd w:id="40"/>
            <w:r>
              <w:rPr>
                <w:rFonts w:hint="eastAsia" w:ascii="仿宋_GB2312" w:hAnsi="宋体" w:eastAsia="仿宋_GB2312" w:cs="宋体"/>
                <w:kern w:val="0"/>
                <w:szCs w:val="21"/>
              </w:rPr>
              <w:t xml:space="preserve"> 责令限期改正、恢复原状，并按照改变的面积处每平方米300元以上3000元以下罚款。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存在以下情节的，增加相应变量系数:1.临时占用公共绿地的，系数5-9；主动改正违法行为或者减轻违法后果的，系数1-4。2.临时占用居住区绿地的，系数5-9；主动改正违法行为或者减轻违法后果的，系数1-4。3.临时占用其它绿地的，系数1-4；5.存在其它情节严重或者社会影响恶劣的情形，系数5-9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罚款数额＝面积×300×（1 +变量系数）</w:t>
            </w:r>
          </w:p>
        </w:tc>
        <w:tc>
          <w:tcPr>
            <w:tcW w:w="2415" w:type="dxa"/>
            <w:gridSpan w:val="7"/>
            <w:shd w:val="clear" w:color="auto" w:fill="auto"/>
            <w:noWrap/>
            <w:vAlign w:val="center"/>
          </w:tcPr>
          <w:p>
            <w:pPr>
              <w:widowControl/>
              <w:spacing w:line="0" w:lineRule="atLeast"/>
              <w:rPr>
                <w:rFonts w:ascii="仿宋_GB2312" w:hAnsi="宋体"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未将代征绿地交绿化主管部门组织绿化</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违反条款：第六十一条；</w:t>
            </w:r>
          </w:p>
          <w:p>
            <w:pPr>
              <w:rPr>
                <w:rFonts w:ascii="仿宋_GB2312" w:hAnsi="宋体" w:eastAsia="仿宋_GB2312" w:cs="宋体"/>
                <w:kern w:val="0"/>
                <w:szCs w:val="21"/>
              </w:rPr>
            </w:pPr>
            <w:r>
              <w:rPr>
                <w:rFonts w:hint="eastAsia" w:ascii="仿宋_GB2312" w:hAnsi="宋体" w:eastAsia="仿宋_GB2312" w:cs="宋体"/>
                <w:kern w:val="0"/>
                <w:szCs w:val="21"/>
              </w:rPr>
              <w:t>处罚条款：</w:t>
            </w:r>
            <w:bookmarkStart w:id="41" w:name="72"/>
            <w:r>
              <w:rPr>
                <w:rFonts w:hint="eastAsia" w:ascii="仿宋_GB2312" w:hAnsi="宋体" w:eastAsia="仿宋_GB2312" w:cs="宋体"/>
                <w:kern w:val="0"/>
                <w:szCs w:val="21"/>
              </w:rPr>
              <w:t>第七十一条</w:t>
            </w:r>
            <w:bookmarkEnd w:id="41"/>
            <w:r>
              <w:rPr>
                <w:rFonts w:hint="eastAsia" w:ascii="仿宋_GB2312" w:hAnsi="宋体" w:eastAsia="仿宋_GB2312" w:cs="宋体"/>
                <w:kern w:val="0"/>
                <w:szCs w:val="21"/>
              </w:rPr>
              <w:t xml:space="preserve"> 责令限期交回，并处每日每平方米0.5元的罚款。</w:t>
            </w:r>
          </w:p>
        </w:tc>
        <w:tc>
          <w:tcPr>
            <w:tcW w:w="961" w:type="dxa"/>
            <w:gridSpan w:val="4"/>
            <w:shd w:val="clear" w:color="auto" w:fill="auto"/>
            <w:noWrap/>
            <w:vAlign w:val="center"/>
          </w:tcPr>
          <w:p>
            <w:pPr>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458" w:type="dxa"/>
            <w:gridSpan w:val="34"/>
            <w:shd w:val="clear" w:color="auto" w:fill="auto"/>
            <w:noWrap/>
            <w:vAlign w:val="center"/>
          </w:tcPr>
          <w:p>
            <w:pPr>
              <w:pStyle w:val="3"/>
              <w:rPr>
                <w:rFonts w:hint="eastAsia" w:ascii="仿宋_GB2312" w:eastAsia="仿宋_GB2312"/>
                <w:szCs w:val="21"/>
              </w:rPr>
            </w:pPr>
            <w:bookmarkStart w:id="42" w:name="_Toc39911696"/>
            <w:r>
              <w:rPr>
                <w:rFonts w:hint="eastAsia"/>
              </w:rPr>
              <w:t>《北京市物业</w:t>
            </w:r>
            <w:r>
              <w:t>管理条例</w:t>
            </w:r>
            <w:r>
              <w:rPr>
                <w:rFonts w:hint="eastAsia"/>
              </w:rPr>
              <w:t>》案由1项</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3" w:type="dxa"/>
            <w:gridSpan w:val="2"/>
            <w:shd w:val="clear" w:color="auto" w:fill="auto"/>
            <w:noWrap/>
            <w:vAlign w:val="center"/>
          </w:tcPr>
          <w:p>
            <w:pPr>
              <w:spacing w:line="360" w:lineRule="exact"/>
              <w:jc w:val="center"/>
              <w:rPr>
                <w:rFonts w:ascii="仿宋_GB2312" w:eastAsia="仿宋_GB2312"/>
                <w:szCs w:val="21"/>
              </w:rPr>
            </w:pPr>
            <w:r>
              <w:rPr>
                <w:rFonts w:hint="eastAsia" w:ascii="仿宋_GB2312" w:eastAsia="仿宋_GB2312"/>
                <w:szCs w:val="21"/>
              </w:rPr>
              <w:t>1</w:t>
            </w:r>
          </w:p>
        </w:tc>
        <w:tc>
          <w:tcPr>
            <w:tcW w:w="1201" w:type="dxa"/>
            <w:gridSpan w:val="2"/>
            <w:shd w:val="clear" w:color="auto" w:fill="auto"/>
            <w:vAlign w:val="center"/>
          </w:tcPr>
          <w:p>
            <w:pPr>
              <w:spacing w:line="360" w:lineRule="exact"/>
              <w:rPr>
                <w:rFonts w:ascii="仿宋_GB2312" w:hAnsi="黑体" w:eastAsia="仿宋_GB2312"/>
                <w:szCs w:val="21"/>
              </w:rPr>
            </w:pPr>
            <w:r>
              <w:rPr>
                <w:rFonts w:hint="eastAsia" w:ascii="仿宋_GB2312" w:hAnsi="黑体" w:eastAsia="仿宋_GB2312"/>
                <w:szCs w:val="21"/>
              </w:rPr>
              <w:t>侵占绿地、毁坏绿化植物和绿化设施</w:t>
            </w:r>
          </w:p>
        </w:tc>
        <w:tc>
          <w:tcPr>
            <w:tcW w:w="4318" w:type="dxa"/>
            <w:gridSpan w:val="8"/>
            <w:shd w:val="clear" w:color="auto" w:fill="auto"/>
            <w:vAlign w:val="center"/>
          </w:tcPr>
          <w:p>
            <w:pPr>
              <w:spacing w:line="360" w:lineRule="exact"/>
              <w:rPr>
                <w:rFonts w:ascii="仿宋_GB2312" w:eastAsia="仿宋_GB2312"/>
                <w:szCs w:val="21"/>
              </w:rPr>
            </w:pPr>
            <w:r>
              <w:rPr>
                <w:rFonts w:hint="eastAsia" w:ascii="仿宋_GB2312" w:eastAsia="仿宋_GB2312"/>
                <w:szCs w:val="21"/>
              </w:rPr>
              <w:t>违反条款：第七十八条第二款第(九)项。</w:t>
            </w:r>
          </w:p>
          <w:p>
            <w:pPr>
              <w:spacing w:line="360" w:lineRule="exact"/>
              <w:rPr>
                <w:rFonts w:ascii="仿宋_GB2312" w:eastAsia="仿宋_GB2312"/>
                <w:szCs w:val="21"/>
              </w:rPr>
            </w:pPr>
            <w:r>
              <w:rPr>
                <w:rFonts w:hint="eastAsia" w:ascii="仿宋_GB2312" w:eastAsia="仿宋_GB2312"/>
                <w:szCs w:val="21"/>
              </w:rPr>
              <w:t>处罚条款：第九十八条第（九）项，责令改正，拒不改正的，处五百元以上五千元以下的罚款。</w:t>
            </w:r>
          </w:p>
        </w:tc>
        <w:tc>
          <w:tcPr>
            <w:tcW w:w="961" w:type="dxa"/>
            <w:gridSpan w:val="4"/>
            <w:shd w:val="clear" w:color="auto" w:fill="auto"/>
            <w:noWrap/>
            <w:vAlign w:val="center"/>
          </w:tcPr>
          <w:p>
            <w:pPr>
              <w:spacing w:line="360" w:lineRule="exact"/>
              <w:ind w:firstLine="315" w:firstLineChars="150"/>
              <w:rPr>
                <w:rFonts w:ascii="仿宋_GB2312" w:eastAsia="仿宋_GB2312"/>
                <w:szCs w:val="21"/>
              </w:rPr>
            </w:pPr>
            <w:r>
              <w:rPr>
                <w:rFonts w:hint="eastAsia" w:ascii="仿宋_GB2312" w:eastAsia="仿宋_GB2312"/>
                <w:szCs w:val="21"/>
              </w:rPr>
              <w:t>500</w:t>
            </w:r>
          </w:p>
        </w:tc>
        <w:tc>
          <w:tcPr>
            <w:tcW w:w="720" w:type="dxa"/>
            <w:gridSpan w:val="2"/>
            <w:shd w:val="clear" w:color="auto" w:fill="auto"/>
            <w:noWrap/>
            <w:vAlign w:val="center"/>
          </w:tcPr>
          <w:p>
            <w:pPr>
              <w:spacing w:line="360" w:lineRule="exact"/>
              <w:jc w:val="cente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360" w:lineRule="exact"/>
              <w:rPr>
                <w:rFonts w:ascii="仿宋_GB2312" w:eastAsia="仿宋_GB2312"/>
                <w:szCs w:val="21"/>
              </w:rPr>
            </w:pPr>
            <w:r>
              <w:rPr>
                <w:rFonts w:hint="eastAsia" w:ascii="仿宋_GB2312" w:eastAsia="仿宋_GB2312"/>
                <w:szCs w:val="21"/>
              </w:rPr>
              <w:t>造成绿化</w:t>
            </w:r>
            <w:r>
              <w:rPr>
                <w:rFonts w:ascii="仿宋_GB2312" w:eastAsia="仿宋_GB2312"/>
                <w:szCs w:val="21"/>
              </w:rPr>
              <w:t>植物死亡</w:t>
            </w:r>
            <w:r>
              <w:rPr>
                <w:rFonts w:hint="eastAsia" w:ascii="仿宋_GB2312" w:eastAsia="仿宋_GB2312"/>
                <w:szCs w:val="21"/>
              </w:rPr>
              <w:t>、绿地或绿化设施损毁严重的，系数9。</w:t>
            </w:r>
          </w:p>
        </w:tc>
        <w:tc>
          <w:tcPr>
            <w:tcW w:w="1740" w:type="dxa"/>
            <w:gridSpan w:val="2"/>
            <w:shd w:val="clear" w:color="auto" w:fill="auto"/>
            <w:vAlign w:val="center"/>
          </w:tcPr>
          <w:p>
            <w:pPr>
              <w:spacing w:line="360" w:lineRule="exact"/>
              <w:rPr>
                <w:rFonts w:ascii="仿宋_GB2312" w:eastAsia="仿宋_GB2312"/>
                <w:szCs w:val="21"/>
              </w:rPr>
            </w:pPr>
            <w:r>
              <w:rPr>
                <w:rFonts w:hint="eastAsia" w:ascii="仿宋_GB2312" w:eastAsia="仿宋_GB2312"/>
                <w:szCs w:val="21"/>
              </w:rPr>
              <w:t>罚款数额＝500×（1＋情节系数＋变量系数）</w:t>
            </w:r>
          </w:p>
        </w:tc>
        <w:tc>
          <w:tcPr>
            <w:tcW w:w="2415" w:type="dxa"/>
            <w:gridSpan w:val="7"/>
            <w:shd w:val="clear" w:color="auto" w:fill="auto"/>
            <w:noWrap/>
          </w:tcPr>
          <w:p>
            <w:pPr>
              <w:spacing w:line="360" w:lineRule="exact"/>
              <w:rPr>
                <w:rFonts w:ascii="仿宋_GB2312" w:hAnsi="黑体" w:eastAsia="仿宋_GB2312"/>
                <w:szCs w:val="21"/>
              </w:rPr>
            </w:pPr>
            <w:r>
              <w:rPr>
                <w:rFonts w:hint="eastAsia" w:ascii="仿宋_GB2312" w:hAnsi="黑体" w:eastAsia="仿宋_GB2312"/>
                <w:szCs w:val="21"/>
              </w:rPr>
              <w:t>经责令改正后，当事人主动改正违法行为，不予处罚；对于物业管理区域内违法行为，原则</w:t>
            </w:r>
            <w:r>
              <w:rPr>
                <w:rFonts w:ascii="仿宋_GB2312" w:hAnsi="黑体" w:eastAsia="仿宋_GB2312"/>
                <w:szCs w:val="21"/>
              </w:rPr>
              <w:t>上</w:t>
            </w:r>
            <w:r>
              <w:rPr>
                <w:rFonts w:hint="eastAsia" w:ascii="仿宋_GB2312" w:hAnsi="黑体" w:eastAsia="仿宋_GB2312"/>
                <w:szCs w:val="21"/>
              </w:rPr>
              <w:t>适用该条例实施处罚，</w:t>
            </w:r>
            <w:r>
              <w:rPr>
                <w:rFonts w:ascii="仿宋_GB2312" w:hAnsi="黑体" w:eastAsia="仿宋_GB2312"/>
                <w:szCs w:val="21"/>
              </w:rPr>
              <w:t>但对于</w:t>
            </w:r>
            <w:r>
              <w:rPr>
                <w:rFonts w:hint="eastAsia" w:ascii="仿宋_GB2312" w:hAnsi="黑体" w:eastAsia="仿宋_GB2312"/>
                <w:szCs w:val="21"/>
              </w:rPr>
              <w:t>擅自</w:t>
            </w:r>
            <w:r>
              <w:rPr>
                <w:rFonts w:ascii="仿宋_GB2312" w:hAnsi="黑体" w:eastAsia="仿宋_GB2312"/>
                <w:szCs w:val="21"/>
              </w:rPr>
              <w:t>砍伐树木、侵占</w:t>
            </w:r>
            <w:r>
              <w:rPr>
                <w:rFonts w:hint="eastAsia" w:ascii="仿宋_GB2312" w:hAnsi="黑体" w:eastAsia="仿宋_GB2312"/>
                <w:szCs w:val="21"/>
              </w:rPr>
              <w:t>绿地</w:t>
            </w:r>
            <w:r>
              <w:rPr>
                <w:rFonts w:ascii="仿宋_GB2312" w:hAnsi="黑体" w:eastAsia="仿宋_GB2312"/>
                <w:szCs w:val="21"/>
              </w:rPr>
              <w:t>面积较大等</w:t>
            </w:r>
            <w:r>
              <w:rPr>
                <w:rFonts w:hint="eastAsia" w:ascii="仿宋_GB2312" w:hAnsi="黑体" w:eastAsia="仿宋_GB2312"/>
                <w:szCs w:val="21"/>
              </w:rPr>
              <w:t>情节</w:t>
            </w:r>
            <w:r>
              <w:rPr>
                <w:rFonts w:ascii="仿宋_GB2312" w:hAnsi="黑体" w:eastAsia="仿宋_GB2312"/>
                <w:szCs w:val="21"/>
              </w:rPr>
              <w:t>较为严重的违法行为，可适用</w:t>
            </w:r>
            <w:r>
              <w:rPr>
                <w:rFonts w:hint="eastAsia" w:ascii="仿宋_GB2312" w:hAnsi="黑体" w:eastAsia="仿宋_GB2312"/>
                <w:szCs w:val="21"/>
              </w:rPr>
              <w:t>《北京市绿化条例》中相关</w:t>
            </w:r>
            <w:r>
              <w:rPr>
                <w:rFonts w:ascii="仿宋_GB2312" w:hAnsi="黑体" w:eastAsia="仿宋_GB2312"/>
                <w:szCs w:val="21"/>
              </w:rPr>
              <w:t>案由</w:t>
            </w:r>
            <w:r>
              <w:rPr>
                <w:rFonts w:hint="eastAsia" w:ascii="仿宋_GB2312" w:hAnsi="黑体" w:eastAsia="仿宋_GB2312"/>
                <w:szCs w:val="21"/>
              </w:rPr>
              <w:t>依法</w:t>
            </w:r>
            <w:r>
              <w:rPr>
                <w:rFonts w:ascii="仿宋_GB2312" w:hAnsi="黑体" w:eastAsia="仿宋_GB2312"/>
                <w:szCs w:val="21"/>
              </w:rPr>
              <w:t>查处</w:t>
            </w:r>
            <w:r>
              <w:rPr>
                <w:rFonts w:hint="eastAsia" w:ascii="仿宋_GB2312" w:hAnsi="黑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458" w:type="dxa"/>
            <w:gridSpan w:val="34"/>
            <w:shd w:val="clear" w:color="auto" w:fill="auto"/>
            <w:noWrap/>
            <w:vAlign w:val="center"/>
          </w:tcPr>
          <w:p>
            <w:pPr>
              <w:pStyle w:val="3"/>
            </w:pPr>
            <w:bookmarkStart w:id="43" w:name="_Toc39911697"/>
            <w:r>
              <w:rPr>
                <w:rFonts w:hint="eastAsia"/>
              </w:rPr>
              <w:t>《北京市古树名木保护管理条例》案由11项</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对古树名木刻划钉钉（缠绕绳索、攀树折枝、剥损树皮）</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违反条款：第十二条第（一）项；</w:t>
            </w:r>
          </w:p>
          <w:p>
            <w:pPr>
              <w:widowControl/>
              <w:spacing w:line="0" w:lineRule="atLeast"/>
              <w:rPr>
                <w:rFonts w:ascii="仿宋_GB2312" w:eastAsia="仿宋_GB2312"/>
                <w:sz w:val="24"/>
              </w:rPr>
            </w:pPr>
            <w:r>
              <w:rPr>
                <w:rFonts w:hint="eastAsia" w:ascii="仿宋_GB2312" w:hAnsi="宋体" w:eastAsia="仿宋_GB2312" w:cs="宋体"/>
                <w:kern w:val="0"/>
                <w:szCs w:val="21"/>
              </w:rPr>
              <w:t>处罚条款：第十九条第一款第（一）项、第（二）项、第（三）项（根据损害情况选择条款）责令改正</w:t>
            </w:r>
            <w:r>
              <w:rPr>
                <w:rFonts w:ascii="仿宋_GB2312" w:hAnsi="宋体" w:eastAsia="仿宋_GB2312" w:cs="宋体"/>
                <w:kern w:val="0"/>
                <w:szCs w:val="21"/>
              </w:rPr>
              <w:t>，</w:t>
            </w:r>
            <w:r>
              <w:rPr>
                <w:rFonts w:hint="eastAsia" w:ascii="仿宋_GB2312" w:hAnsi="宋体" w:eastAsia="仿宋_GB2312" w:cs="宋体"/>
                <w:kern w:val="0"/>
                <w:szCs w:val="21"/>
              </w:rPr>
              <w:t xml:space="preserve"> 对古树名木损害较轻的，每株处以200元至1000元罚款；损害枝干或者根系的，处以损失额1倍至2倍的罚款；造成死亡的，处以损失额2倍至3倍罚款。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损害一级古树或者具有特殊历史价值和特别珍贵名木的，系数为2。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罚款数额＝损失额×（1＋情节系数＋变量系数）</w:t>
            </w:r>
          </w:p>
        </w:tc>
        <w:tc>
          <w:tcPr>
            <w:tcW w:w="2415" w:type="dxa"/>
            <w:gridSpan w:val="7"/>
            <w:shd w:val="clear" w:color="auto" w:fill="auto"/>
            <w:noWrap/>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造成一级古树或者具有特殊历史价值和特别珍贵名木死亡的，系数为1。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罚款数额＝损失额×（2＋情节系数＋变量系数）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03" w:type="dxa"/>
            <w:gridSpan w:val="2"/>
            <w:vMerge w:val="restart"/>
            <w:shd w:val="clear" w:color="auto" w:fill="auto"/>
            <w:noWrap/>
            <w:vAlign w:val="center"/>
          </w:tcPr>
          <w:p>
            <w:pPr>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vMerge w:val="restart"/>
            <w:shd w:val="clear" w:color="auto" w:fill="auto"/>
            <w:vAlign w:val="center"/>
          </w:tcPr>
          <w:p>
            <w:pPr>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借用古树名木树干做支撑物</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违反条款：第十二条第（二）项；</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损害一级古树或者具有特殊历史价值和特别珍贵名木的，系数为2。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03" w:type="dxa"/>
            <w:gridSpan w:val="2"/>
            <w:vMerge w:val="continue"/>
            <w:shd w:val="clear" w:color="auto" w:fill="auto"/>
            <w:noWrap/>
            <w:vAlign w:val="center"/>
          </w:tcPr>
          <w:p>
            <w:pPr>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jc w:val="center"/>
              <w:rPr>
                <w:rFonts w:ascii="仿宋_GB2312" w:hAnsi="宋体" w:eastAsia="仿宋_GB2312" w:cs="宋体"/>
                <w:kern w:val="0"/>
                <w:szCs w:val="21"/>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罚款数额＝损失额×（1＋情节系数＋变量系数）</w:t>
            </w:r>
          </w:p>
        </w:tc>
        <w:tc>
          <w:tcPr>
            <w:tcW w:w="2415" w:type="dxa"/>
            <w:gridSpan w:val="7"/>
            <w:shd w:val="clear" w:color="auto" w:fill="auto"/>
            <w:noWrap/>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4318" w:type="dxa"/>
            <w:gridSpan w:val="8"/>
            <w:vMerge w:val="continue"/>
            <w:shd w:val="clear" w:color="auto" w:fill="auto"/>
            <w:vAlign w:val="center"/>
          </w:tcPr>
          <w:p>
            <w:pPr>
              <w:widowControl/>
              <w:spacing w:line="0" w:lineRule="atLeast"/>
              <w:rPr>
                <w:rFonts w:ascii="仿宋_GB2312" w:eastAsia="仿宋_GB2312"/>
                <w:sz w:val="24"/>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造成一级古树或者具有特殊历史价值和特别珍贵名木死亡的，系数为1。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罚款数额＝损失额×（2＋情节系数＋变量系数）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擅自采摘古树名木果实</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违反条款：第十二条第（三）项；</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处罚条款：第十九条第一款第（一）项、第（二）项、第（三）项（根据损害情况选择条款）责令改正</w:t>
            </w:r>
            <w:r>
              <w:rPr>
                <w:rFonts w:ascii="仿宋_GB2312" w:hAnsi="宋体" w:eastAsia="仿宋_GB2312" w:cs="宋体"/>
                <w:kern w:val="0"/>
                <w:szCs w:val="21"/>
              </w:rPr>
              <w:t>，</w:t>
            </w:r>
            <w:r>
              <w:rPr>
                <w:rFonts w:hint="eastAsia" w:ascii="仿宋_GB2312" w:hAnsi="宋体" w:eastAsia="仿宋_GB2312" w:cs="宋体"/>
                <w:kern w:val="0"/>
                <w:szCs w:val="21"/>
              </w:rPr>
              <w:t xml:space="preserve"> 对古树名木损害较轻的，每株处以200元至1000元罚款；损害枝干或者根系的，处以损失额1倍至2倍的罚款；造成死亡的，处以损失额2倍至3倍罚款。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损害一级古树或者具有特殊历史价值和特别珍贵名木的，系数为2。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罚款数额＝损失额×（1＋情节系数＋变量系数）</w:t>
            </w:r>
          </w:p>
        </w:tc>
        <w:tc>
          <w:tcPr>
            <w:tcW w:w="2415" w:type="dxa"/>
            <w:gridSpan w:val="7"/>
            <w:shd w:val="clear" w:color="auto" w:fill="auto"/>
            <w:noWrap/>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03" w:type="dxa"/>
            <w:gridSpan w:val="2"/>
            <w:vMerge w:val="continue"/>
            <w:shd w:val="clear" w:color="auto" w:fill="auto"/>
            <w:noWrap/>
            <w:vAlign w:val="center"/>
          </w:tcPr>
          <w:p>
            <w:pPr>
              <w:widowControl/>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spacing w:line="0" w:lineRule="atLeast"/>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造成一级古树或者具有特殊历史价值和特别珍贵名木死亡的，系数为1。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罚款数额＝损失额×（2＋情节系数＋变量系数）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在划定的范围内挖坑取土（动用明火、排放烟气、倾倒污水污物、堆放物料、修建建筑物构筑物）</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违反条款：第十二条第（四）项；</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处罚条款：第十九条第一款第（一）项、第（二）项、第（三）项（根据损害情况选择条款）责令改正</w:t>
            </w:r>
            <w:r>
              <w:rPr>
                <w:rFonts w:ascii="仿宋_GB2312" w:hAnsi="宋体" w:eastAsia="仿宋_GB2312" w:cs="宋体"/>
                <w:kern w:val="0"/>
                <w:szCs w:val="21"/>
              </w:rPr>
              <w:t>，</w:t>
            </w:r>
            <w:r>
              <w:rPr>
                <w:rFonts w:hint="eastAsia" w:ascii="仿宋_GB2312" w:hAnsi="宋体" w:eastAsia="仿宋_GB2312" w:cs="宋体"/>
                <w:kern w:val="0"/>
                <w:szCs w:val="21"/>
              </w:rPr>
              <w:t>对古树名木损害较轻的，每株处以200元至1000元罚款；损害枝干或者根系的，处以损失额1倍至2倍的罚款；造成死亡的，处以损失额2倍至3倍罚款。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损害一级古树或者具有特殊历史价值和特别珍贵名木的，系数为2。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rPr>
                <w:rFonts w:ascii="仿宋_GB2312" w:eastAsia="仿宋_GB2312"/>
                <w:sz w:val="24"/>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1.损害一级古树或者具有特殊历史价值和特别珍贵名木的，系数为1；2.造成古树名木树干皮层损伤部分超过树干周长50%，受伤根系超过全部根系40%，主枝损伤超过超过树冠50%的，系数1。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罚款数额＝损失额×（1＋情节系数＋变量系数）</w:t>
            </w:r>
          </w:p>
        </w:tc>
        <w:tc>
          <w:tcPr>
            <w:tcW w:w="2415" w:type="dxa"/>
            <w:gridSpan w:val="7"/>
            <w:shd w:val="clear" w:color="auto" w:fill="auto"/>
            <w:noWrap/>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rPr>
                <w:rFonts w:ascii="仿宋_GB2312" w:eastAsia="仿宋_GB2312"/>
                <w:sz w:val="24"/>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造成一级古树或者具有特殊历史价值和特别珍贵名木死亡的，系数为1。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罚款数额＝损失额×（2＋情节系数＋变量系数）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擅自移植古树名木</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违反条款：第十二条第（五）项、第十五条第二款；处罚条款：第二十二条 处以损失额1倍至2倍的罚款；造成死亡的，处以损失额2倍至3倍罚款。</w:t>
            </w:r>
          </w:p>
          <w:p>
            <w:pPr>
              <w:rPr>
                <w:rFonts w:ascii="仿宋_GB2312" w:hAnsi="宋体" w:eastAsia="仿宋_GB2312" w:cs="宋体"/>
                <w:kern w:val="0"/>
                <w:szCs w:val="21"/>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1.擅自移植一级古树或者具有特殊历史价值和特别珍贵名木的，系数为1；2.造成古树名木树干皮层损伤部分超过树干周长50%，受伤根系超过全部根系40%，主枝损伤超过超过树冠50%的，系数1。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罚款数额＝损失额×（1＋情节系数＋变量系数）</w:t>
            </w:r>
          </w:p>
        </w:tc>
        <w:tc>
          <w:tcPr>
            <w:tcW w:w="2415" w:type="dxa"/>
            <w:gridSpan w:val="7"/>
            <w:shd w:val="clear" w:color="auto" w:fill="auto"/>
            <w:noWrap/>
            <w:vAlign w:val="center"/>
          </w:tcPr>
          <w:p>
            <w:pPr>
              <w:widowControl/>
              <w:spacing w:line="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rPr>
                <w:rFonts w:ascii="仿宋_GB2312" w:eastAsia="仿宋_GB2312"/>
                <w:sz w:val="24"/>
              </w:rPr>
            </w:pP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造成一级古树或者具有特殊历史价值和特别珍贵名木死亡的，系数为1。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罚款数额＝损失额×（2＋情节系数＋变量系数）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擅自砍伐古树名木</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违反条款：第十二条第（六）项；</w:t>
            </w:r>
          </w:p>
          <w:p>
            <w:pPr>
              <w:rPr>
                <w:rFonts w:ascii="仿宋_GB2312" w:hAnsi="宋体" w:eastAsia="仿宋_GB2312" w:cs="宋体"/>
                <w:kern w:val="0"/>
                <w:szCs w:val="21"/>
              </w:rPr>
            </w:pPr>
            <w:r>
              <w:rPr>
                <w:rFonts w:hint="eastAsia" w:ascii="仿宋_GB2312" w:hAnsi="宋体" w:eastAsia="仿宋_GB2312" w:cs="宋体"/>
                <w:kern w:val="0"/>
                <w:szCs w:val="21"/>
              </w:rPr>
              <w:t>处罚条款：第二十条 处以损失额3倍至5倍罚款。</w:t>
            </w:r>
          </w:p>
        </w:tc>
        <w:tc>
          <w:tcPr>
            <w:tcW w:w="961" w:type="dxa"/>
            <w:gridSpan w:val="4"/>
            <w:shd w:val="clear" w:color="auto" w:fill="auto"/>
            <w:noWrap/>
            <w:vAlign w:val="center"/>
          </w:tcPr>
          <w:p>
            <w:pPr>
              <w:jc w:val="center"/>
              <w:rPr>
                <w:rFonts w:ascii="仿宋_GB2312" w:eastAsia="仿宋_GB2312"/>
                <w:sz w:val="24"/>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1.擅自砍伐一级古树或者具有特殊历史价值和特别珍贵名木的，系数为1；2.造成古树名木死亡的，系数为1。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罚款数额＝损失额×（3＋情节系数＋变量系数）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损坏古树名木标志及附属设施</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违反条款：第六条；处罚条款：第十七条 责令恢复原貌，赔偿损失，并可处损失额1倍以下的罚款。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损失额</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按照规定的执行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未按规定养护管理古树名木</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违反条款：第十一条第一款；处罚条款：第十八条第一款 责令改正</w:t>
            </w:r>
            <w:r>
              <w:rPr>
                <w:rFonts w:ascii="仿宋_GB2312" w:hAnsi="宋体" w:eastAsia="仿宋_GB2312" w:cs="宋体"/>
                <w:kern w:val="0"/>
                <w:szCs w:val="21"/>
              </w:rPr>
              <w:t>，</w:t>
            </w:r>
            <w:r>
              <w:rPr>
                <w:rFonts w:hint="eastAsia" w:ascii="仿宋_GB2312" w:hAnsi="宋体" w:eastAsia="仿宋_GB2312" w:cs="宋体"/>
                <w:kern w:val="0"/>
                <w:szCs w:val="21"/>
              </w:rPr>
              <w:t>造成损伤的，每株处以500至2000元罚款；造成死亡的，每株处1万元至5万元罚款。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损伤一级古树或者具有特殊历史价值和特别珍贵名木的，系数为2。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Cs w:val="21"/>
              </w:rPr>
            </w:pPr>
          </w:p>
        </w:tc>
        <w:tc>
          <w:tcPr>
            <w:tcW w:w="4318" w:type="dxa"/>
            <w:gridSpan w:val="8"/>
            <w:vMerge w:val="continue"/>
            <w:shd w:val="clear" w:color="auto" w:fill="auto"/>
            <w:vAlign w:val="center"/>
          </w:tcPr>
          <w:p>
            <w:pPr>
              <w:rPr>
                <w:rFonts w:ascii="仿宋_GB2312" w:hAnsi="宋体" w:eastAsia="仿宋_GB2312" w:cs="宋体"/>
                <w:kern w:val="0"/>
                <w:szCs w:val="21"/>
              </w:rPr>
            </w:pP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造成一级古树或者具有特殊历史价值和特别珍贵名木死亡的，系数为2。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未按要求对古树名木治理、复壮</w:t>
            </w:r>
          </w:p>
        </w:tc>
        <w:tc>
          <w:tcPr>
            <w:tcW w:w="4318" w:type="dxa"/>
            <w:gridSpan w:val="8"/>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违反条款：第十一条第二款；处罚条款：第十八条第一款 责令改正</w:t>
            </w:r>
            <w:r>
              <w:rPr>
                <w:rFonts w:ascii="仿宋_GB2312" w:hAnsi="宋体" w:eastAsia="仿宋_GB2312" w:cs="宋体"/>
                <w:kern w:val="0"/>
                <w:szCs w:val="21"/>
              </w:rPr>
              <w:t>，</w:t>
            </w:r>
            <w:r>
              <w:rPr>
                <w:rFonts w:hint="eastAsia" w:ascii="仿宋_GB2312" w:hAnsi="宋体" w:eastAsia="仿宋_GB2312" w:cs="宋体"/>
                <w:kern w:val="0"/>
                <w:szCs w:val="21"/>
              </w:rPr>
              <w:t>造成损伤的，每株处以500至2000元罚款；造成死亡的，每株处1万元至5万元罚款。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损伤一级古树或者具有特殊历史价值和特别珍贵名木的，系数为2。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503" w:type="dxa"/>
            <w:gridSpan w:val="2"/>
            <w:vMerge w:val="continue"/>
            <w:shd w:val="clear" w:color="auto" w:fill="auto"/>
            <w:noWrap/>
            <w:vAlign w:val="center"/>
          </w:tcPr>
          <w:p>
            <w:pPr>
              <w:widowControl/>
              <w:spacing w:line="0" w:lineRule="atLeast"/>
              <w:jc w:val="center"/>
              <w:rPr>
                <w:rFonts w:ascii="仿宋_GB2312" w:eastAsia="仿宋_GB2312"/>
                <w:sz w:val="24"/>
              </w:rPr>
            </w:pPr>
          </w:p>
        </w:tc>
        <w:tc>
          <w:tcPr>
            <w:tcW w:w="1201" w:type="dxa"/>
            <w:gridSpan w:val="2"/>
            <w:vMerge w:val="continue"/>
            <w:shd w:val="clear" w:color="auto" w:fill="auto"/>
            <w:vAlign w:val="center"/>
          </w:tcPr>
          <w:p>
            <w:pPr>
              <w:rPr>
                <w:rFonts w:ascii="仿宋_GB2312" w:eastAsia="仿宋_GB2312"/>
                <w:sz w:val="24"/>
              </w:rPr>
            </w:pPr>
          </w:p>
        </w:tc>
        <w:tc>
          <w:tcPr>
            <w:tcW w:w="4318" w:type="dxa"/>
            <w:gridSpan w:val="8"/>
            <w:vMerge w:val="continue"/>
            <w:shd w:val="clear" w:color="auto" w:fill="auto"/>
            <w:vAlign w:val="center"/>
          </w:tcPr>
          <w:p>
            <w:pPr>
              <w:rPr>
                <w:rFonts w:ascii="仿宋_GB2312" w:eastAsia="仿宋_GB2312"/>
                <w:sz w:val="24"/>
              </w:rPr>
            </w:pP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eastAsia="仿宋_GB2312"/>
                <w:sz w:val="24"/>
              </w:rPr>
            </w:pPr>
            <w:r>
              <w:rPr>
                <w:rFonts w:hint="eastAsia" w:ascii="仿宋_GB2312" w:hAnsi="宋体" w:eastAsia="仿宋_GB2312" w:cs="宋体"/>
                <w:kern w:val="0"/>
                <w:szCs w:val="21"/>
              </w:rPr>
              <w:t>造成一级古树或者具有特殊历史价值和特别珍贵名木死亡的，系数为2。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罚款数额＝10000×（1＋情节系数＋变量系数）×N。N</w:t>
            </w:r>
            <w:r>
              <w:rPr>
                <w:rFonts w:hint="eastAsia" w:ascii="仿宋_GB2312" w:hAnsi="仿宋_GB2312" w:eastAsia="仿宋_GB2312" w:cs="仿宋_GB2312"/>
                <w:kern w:val="0"/>
                <w:szCs w:val="21"/>
              </w:rPr>
              <w:t>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适用造成死亡情形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擅自处理死亡古树名木</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违反条款：第十一条第三款；</w:t>
            </w:r>
          </w:p>
          <w:p>
            <w:pPr>
              <w:rPr>
                <w:rFonts w:ascii="仿宋_GB2312" w:hAnsi="宋体" w:eastAsia="仿宋_GB2312" w:cs="宋体"/>
                <w:kern w:val="0"/>
                <w:szCs w:val="21"/>
              </w:rPr>
            </w:pPr>
            <w:r>
              <w:rPr>
                <w:rFonts w:hint="eastAsia" w:ascii="仿宋_GB2312" w:hAnsi="宋体" w:eastAsia="仿宋_GB2312" w:cs="宋体"/>
                <w:kern w:val="0"/>
                <w:szCs w:val="21"/>
              </w:rPr>
              <w:t>处罚条款：第十八条第二款 每株处以2000元至1万元罚款。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故意隐匿、伪造事实和证据，阻碍查明树木死亡责任和原因的，系数4。</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罚款数额＝2000×（1＋情节系数＋变量系数）×N。N为株数。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建设施工未按规定对古树名木</w:t>
            </w:r>
            <w:r>
              <w:rPr>
                <w:rFonts w:ascii="仿宋_GB2312" w:hAnsi="宋体" w:eastAsia="仿宋_GB2312" w:cs="宋体"/>
                <w:kern w:val="0"/>
                <w:szCs w:val="21"/>
              </w:rPr>
              <w:t>采取避让保护措施</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违反条款：第十五条第一款；</w:t>
            </w:r>
          </w:p>
          <w:p>
            <w:pPr>
              <w:rPr>
                <w:rFonts w:ascii="仿宋_GB2312" w:hAnsi="宋体" w:eastAsia="仿宋_GB2312" w:cs="宋体"/>
                <w:kern w:val="0"/>
                <w:szCs w:val="21"/>
              </w:rPr>
            </w:pPr>
            <w:r>
              <w:rPr>
                <w:rFonts w:hint="eastAsia" w:ascii="仿宋_GB2312" w:hAnsi="宋体" w:eastAsia="仿宋_GB2312" w:cs="宋体"/>
                <w:kern w:val="0"/>
                <w:szCs w:val="21"/>
              </w:rPr>
              <w:t>处罚条款：第二十一条 责令停止施工。造成古树名木损害的，依照本条例有关规定处理。</w:t>
            </w:r>
          </w:p>
        </w:tc>
        <w:tc>
          <w:tcPr>
            <w:tcW w:w="961" w:type="dxa"/>
            <w:gridSpan w:val="4"/>
            <w:shd w:val="clear" w:color="auto" w:fill="auto"/>
            <w:noWrap/>
            <w:vAlign w:val="center"/>
          </w:tcPr>
          <w:p>
            <w:pPr>
              <w:jc w:val="center"/>
              <w:rPr>
                <w:rFonts w:ascii="仿宋_GB2312" w:hAnsi="宋体" w:eastAsia="仿宋_GB2312" w:cs="宋体"/>
                <w:kern w:val="0"/>
                <w:szCs w:val="21"/>
              </w:rPr>
            </w:pPr>
          </w:p>
        </w:tc>
        <w:tc>
          <w:tcPr>
            <w:tcW w:w="720" w:type="dxa"/>
            <w:gridSpan w:val="2"/>
            <w:shd w:val="clear" w:color="auto" w:fill="auto"/>
            <w:noWrap/>
            <w:vAlign w:val="center"/>
          </w:tcPr>
          <w:p>
            <w:pPr>
              <w:ind w:firstLine="420" w:firstLineChars="200"/>
              <w:jc w:val="center"/>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58" w:type="dxa"/>
            <w:gridSpan w:val="34"/>
            <w:shd w:val="clear" w:color="auto" w:fill="auto"/>
            <w:noWrap/>
            <w:vAlign w:val="center"/>
          </w:tcPr>
          <w:p>
            <w:pPr>
              <w:pStyle w:val="3"/>
              <w:rPr>
                <w:rFonts w:ascii="仿宋_GB2312" w:eastAsia="仿宋_GB2312"/>
                <w:szCs w:val="21"/>
              </w:rPr>
            </w:pPr>
            <w:bookmarkStart w:id="44" w:name="_Toc39911698"/>
            <w:r>
              <w:rPr>
                <w:rFonts w:hint="eastAsia"/>
              </w:rPr>
              <w:t>《北京市公园条例》案由</w:t>
            </w:r>
            <w:r>
              <w:t xml:space="preserve"> 18</w:t>
            </w:r>
            <w:r>
              <w:rPr>
                <w:rFonts w:hint="eastAsia"/>
              </w:rPr>
              <w:t>项</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03"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翻越围墙、栏杆、绿篱</w:t>
            </w:r>
          </w:p>
        </w:tc>
        <w:tc>
          <w:tcPr>
            <w:tcW w:w="3253" w:type="dxa"/>
            <w:gridSpan w:val="3"/>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第四十六条</w:t>
            </w:r>
            <w:r>
              <w:rPr>
                <w:rFonts w:hint="eastAsia" w:ascii="仿宋_GB2312" w:hAnsi="宋体" w:eastAsia="仿宋_GB2312" w:cs="宋体"/>
                <w:kern w:val="0"/>
                <w:szCs w:val="21"/>
              </w:rPr>
              <w:t>第（一）项；处罚条款：</w:t>
            </w:r>
            <w:r>
              <w:rPr>
                <w:rFonts w:ascii="仿宋_GB2312" w:hAnsi="宋体" w:eastAsia="仿宋_GB2312" w:cs="宋体"/>
                <w:kern w:val="0"/>
                <w:szCs w:val="21"/>
              </w:rPr>
              <w:t>第五十六条</w:t>
            </w:r>
            <w:r>
              <w:rPr>
                <w:rFonts w:hint="eastAsia" w:ascii="仿宋_GB2312" w:hAnsi="宋体" w:eastAsia="仿宋_GB2312" w:cs="宋体"/>
                <w:kern w:val="0"/>
                <w:szCs w:val="21"/>
              </w:rPr>
              <w:t xml:space="preserve">第一款第（一）项 </w:t>
            </w:r>
            <w:r>
              <w:rPr>
                <w:rFonts w:ascii="仿宋_GB2312" w:hAnsi="宋体" w:eastAsia="仿宋_GB2312" w:cs="宋体"/>
                <w:kern w:val="0"/>
                <w:szCs w:val="21"/>
              </w:rPr>
              <w:t>责令改正，并可以处20元以上50元以下罚款</w:t>
            </w:r>
            <w:r>
              <w:rPr>
                <w:rFonts w:hint="eastAsia" w:ascii="仿宋_GB2312" w:hAnsi="宋体" w:eastAsia="仿宋_GB2312" w:cs="宋体"/>
                <w:kern w:val="0"/>
                <w:szCs w:val="21"/>
              </w:rPr>
              <w:t>。</w:t>
            </w:r>
          </w:p>
        </w:tc>
        <w:tc>
          <w:tcPr>
            <w:tcW w:w="961" w:type="dxa"/>
            <w:gridSpan w:val="4"/>
            <w:vMerge w:val="restart"/>
            <w:shd w:val="clear" w:color="auto" w:fill="auto"/>
            <w:noWrap/>
            <w:vAlign w:val="center"/>
          </w:tcPr>
          <w:p>
            <w:pPr>
              <w:rPr>
                <w:rFonts w:ascii="仿宋_GB2312" w:hAnsi="宋体" w:eastAsia="仿宋_GB2312" w:cs="宋体"/>
                <w:kern w:val="0"/>
                <w:szCs w:val="21"/>
              </w:rPr>
            </w:pPr>
          </w:p>
        </w:tc>
        <w:tc>
          <w:tcPr>
            <w:tcW w:w="720" w:type="dxa"/>
            <w:gridSpan w:val="2"/>
            <w:vMerge w:val="restart"/>
            <w:shd w:val="clear" w:color="auto" w:fill="auto"/>
            <w:noWrap/>
            <w:vAlign w:val="center"/>
          </w:tcPr>
          <w:p>
            <w:pPr>
              <w:ind w:firstLine="420" w:firstLineChars="200"/>
              <w:rPr>
                <w:rFonts w:ascii="仿宋_GB2312" w:hAnsi="宋体" w:eastAsia="仿宋_GB2312" w:cs="宋体"/>
                <w:kern w:val="0"/>
                <w:szCs w:val="21"/>
              </w:rPr>
            </w:pPr>
          </w:p>
        </w:tc>
        <w:tc>
          <w:tcPr>
            <w:tcW w:w="3600" w:type="dxa"/>
            <w:gridSpan w:val="7"/>
            <w:vMerge w:val="restart"/>
            <w:shd w:val="clear" w:color="auto" w:fill="auto"/>
            <w:vAlign w:val="center"/>
          </w:tcPr>
          <w:p>
            <w:pPr>
              <w:widowControl/>
              <w:rPr>
                <w:rFonts w:ascii="仿宋_GB2312" w:hAnsi="宋体" w:eastAsia="仿宋_GB2312" w:cs="宋体"/>
                <w:kern w:val="0"/>
                <w:szCs w:val="21"/>
              </w:rPr>
            </w:pPr>
          </w:p>
        </w:tc>
        <w:tc>
          <w:tcPr>
            <w:tcW w:w="1740" w:type="dxa"/>
            <w:gridSpan w:val="2"/>
            <w:vMerge w:val="restart"/>
            <w:shd w:val="clear" w:color="auto" w:fill="auto"/>
            <w:vAlign w:val="center"/>
          </w:tcPr>
          <w:p>
            <w:pPr>
              <w:widowControl/>
              <w:rPr>
                <w:rFonts w:ascii="仿宋_GB2312" w:hAnsi="宋体" w:eastAsia="仿宋_GB2312" w:cs="宋体"/>
                <w:kern w:val="0"/>
                <w:szCs w:val="21"/>
              </w:rPr>
            </w:pPr>
          </w:p>
        </w:tc>
        <w:tc>
          <w:tcPr>
            <w:tcW w:w="2415" w:type="dxa"/>
            <w:gridSpan w:val="7"/>
            <w:vMerge w:val="restart"/>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在禁烟区吸烟</w:t>
            </w:r>
            <w:r>
              <w:rPr>
                <w:rFonts w:hint="eastAsia" w:ascii="仿宋_GB2312" w:hAnsi="宋体" w:eastAsia="仿宋_GB2312" w:cs="宋体"/>
                <w:kern w:val="0"/>
                <w:szCs w:val="21"/>
              </w:rPr>
              <w:t>（</w:t>
            </w:r>
            <w:r>
              <w:rPr>
                <w:rFonts w:ascii="仿宋_GB2312" w:hAnsi="宋体" w:eastAsia="仿宋_GB2312" w:cs="宋体"/>
                <w:kern w:val="0"/>
                <w:szCs w:val="21"/>
              </w:rPr>
              <w:t>在非游泳区游泳，在非滑冰区滑冰，在非钓鱼区钓鱼，在非体育运动场所踢球、滑旱冰</w:t>
            </w:r>
            <w:r>
              <w:rPr>
                <w:rFonts w:hint="eastAsia" w:ascii="仿宋_GB2312" w:hAnsi="宋体" w:eastAsia="仿宋_GB2312" w:cs="宋体"/>
                <w:kern w:val="0"/>
                <w:szCs w:val="21"/>
              </w:rPr>
              <w:t>）</w:t>
            </w:r>
          </w:p>
        </w:tc>
        <w:tc>
          <w:tcPr>
            <w:tcW w:w="3253" w:type="dxa"/>
            <w:gridSpan w:val="3"/>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vMerge w:val="continue"/>
            <w:shd w:val="clear" w:color="auto" w:fill="auto"/>
            <w:noWrap/>
            <w:vAlign w:val="center"/>
          </w:tcPr>
          <w:p>
            <w:pPr>
              <w:jc w:val="center"/>
              <w:rPr>
                <w:rFonts w:ascii="仿宋_GB2312" w:hAnsi="宋体" w:eastAsia="仿宋_GB2312" w:cs="宋体"/>
                <w:kern w:val="0"/>
                <w:szCs w:val="21"/>
              </w:rPr>
            </w:pPr>
          </w:p>
        </w:tc>
        <w:tc>
          <w:tcPr>
            <w:tcW w:w="720" w:type="dxa"/>
            <w:gridSpan w:val="2"/>
            <w:vMerge w:val="continue"/>
            <w:shd w:val="clear" w:color="auto" w:fill="auto"/>
            <w:noWrap/>
            <w:vAlign w:val="center"/>
          </w:tcPr>
          <w:p>
            <w:pPr>
              <w:ind w:firstLine="420" w:firstLineChars="200"/>
              <w:jc w:val="center"/>
              <w:rPr>
                <w:rFonts w:ascii="仿宋_GB2312" w:hAnsi="宋体" w:eastAsia="仿宋_GB2312" w:cs="宋体"/>
                <w:kern w:val="0"/>
                <w:szCs w:val="21"/>
              </w:rPr>
            </w:pP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vMerge w:val="continue"/>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随地吐痰、便溺</w:t>
            </w:r>
            <w:r>
              <w:rPr>
                <w:rFonts w:hint="eastAsia" w:ascii="仿宋_GB2312" w:hAnsi="宋体" w:eastAsia="仿宋_GB2312" w:cs="宋体"/>
                <w:kern w:val="0"/>
                <w:szCs w:val="21"/>
              </w:rPr>
              <w:t>（</w:t>
            </w:r>
            <w:r>
              <w:rPr>
                <w:rFonts w:ascii="仿宋_GB2312" w:hAnsi="宋体" w:eastAsia="仿宋_GB2312" w:cs="宋体"/>
                <w:kern w:val="0"/>
                <w:szCs w:val="21"/>
              </w:rPr>
              <w:t>乱丢果皮等废弃物</w:t>
            </w:r>
            <w:r>
              <w:rPr>
                <w:rFonts w:hint="eastAsia" w:ascii="仿宋_GB2312" w:hAnsi="宋体" w:eastAsia="仿宋_GB2312" w:cs="宋体"/>
                <w:kern w:val="0"/>
                <w:szCs w:val="21"/>
              </w:rPr>
              <w:t>）</w:t>
            </w:r>
          </w:p>
        </w:tc>
        <w:tc>
          <w:tcPr>
            <w:tcW w:w="3253" w:type="dxa"/>
            <w:gridSpan w:val="3"/>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vMerge w:val="continue"/>
            <w:tcBorders>
              <w:bottom w:val="single" w:color="auto" w:sz="4" w:space="0"/>
            </w:tcBorders>
            <w:shd w:val="clear" w:color="auto" w:fill="auto"/>
            <w:noWrap/>
            <w:vAlign w:val="center"/>
          </w:tcPr>
          <w:p>
            <w:pPr>
              <w:jc w:val="center"/>
              <w:rPr>
                <w:rFonts w:ascii="仿宋_GB2312" w:hAnsi="宋体" w:eastAsia="仿宋_GB2312" w:cs="宋体"/>
                <w:kern w:val="0"/>
                <w:szCs w:val="21"/>
              </w:rPr>
            </w:pPr>
          </w:p>
        </w:tc>
        <w:tc>
          <w:tcPr>
            <w:tcW w:w="720" w:type="dxa"/>
            <w:gridSpan w:val="2"/>
            <w:vMerge w:val="continue"/>
            <w:tcBorders>
              <w:bottom w:val="single" w:color="auto" w:sz="4" w:space="0"/>
            </w:tcBorders>
            <w:shd w:val="clear" w:color="auto" w:fill="auto"/>
            <w:noWrap/>
            <w:vAlign w:val="center"/>
          </w:tcPr>
          <w:p>
            <w:pPr>
              <w:ind w:firstLine="420" w:firstLineChars="200"/>
              <w:jc w:val="center"/>
              <w:rPr>
                <w:rFonts w:ascii="仿宋_GB2312" w:hAnsi="宋体" w:eastAsia="仿宋_GB2312" w:cs="宋体"/>
                <w:kern w:val="0"/>
                <w:szCs w:val="21"/>
              </w:rPr>
            </w:pPr>
          </w:p>
        </w:tc>
        <w:tc>
          <w:tcPr>
            <w:tcW w:w="3600" w:type="dxa"/>
            <w:gridSpan w:val="7"/>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vMerge w:val="continue"/>
            <w:tcBorders>
              <w:bottom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03"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营火、烧烤</w:t>
            </w:r>
          </w:p>
        </w:tc>
        <w:tc>
          <w:tcPr>
            <w:tcW w:w="3253" w:type="dxa"/>
            <w:gridSpan w:val="3"/>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第四十六条</w:t>
            </w:r>
            <w:r>
              <w:rPr>
                <w:rFonts w:hint="eastAsia" w:ascii="仿宋_GB2312" w:hAnsi="宋体" w:eastAsia="仿宋_GB2312" w:cs="宋体"/>
                <w:kern w:val="0"/>
                <w:szCs w:val="21"/>
              </w:rPr>
              <w:t>第（二）项；处罚条款：</w:t>
            </w:r>
            <w:r>
              <w:rPr>
                <w:rFonts w:ascii="仿宋_GB2312" w:hAnsi="宋体" w:eastAsia="仿宋_GB2312" w:cs="宋体"/>
                <w:kern w:val="0"/>
                <w:szCs w:val="21"/>
              </w:rPr>
              <w:t>第五十六条</w:t>
            </w:r>
            <w:r>
              <w:rPr>
                <w:rFonts w:hint="eastAsia" w:ascii="仿宋_GB2312" w:hAnsi="宋体" w:eastAsia="仿宋_GB2312" w:cs="宋体"/>
                <w:kern w:val="0"/>
                <w:szCs w:val="21"/>
              </w:rPr>
              <w:t xml:space="preserve">第一款第（二）项 </w:t>
            </w:r>
            <w:r>
              <w:rPr>
                <w:rFonts w:ascii="仿宋_GB2312" w:hAnsi="宋体" w:eastAsia="仿宋_GB2312" w:cs="宋体"/>
                <w:kern w:val="0"/>
                <w:szCs w:val="21"/>
              </w:rPr>
              <w:t>责令改正，并可以处50元以上100元以下罚款</w:t>
            </w:r>
            <w:r>
              <w:rPr>
                <w:rFonts w:hint="eastAsia" w:ascii="仿宋_GB2312" w:hAnsi="宋体" w:eastAsia="仿宋_GB2312" w:cs="宋体"/>
                <w:kern w:val="0"/>
                <w:szCs w:val="21"/>
              </w:rPr>
              <w:t>。</w:t>
            </w:r>
          </w:p>
        </w:tc>
        <w:tc>
          <w:tcPr>
            <w:tcW w:w="961" w:type="dxa"/>
            <w:gridSpan w:val="4"/>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vMerge w:val="restart"/>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按照《基准》规定的执行</w:t>
            </w:r>
          </w:p>
        </w:tc>
        <w:tc>
          <w:tcPr>
            <w:tcW w:w="1740" w:type="dxa"/>
            <w:gridSpan w:val="2"/>
            <w:vMerge w:val="restart"/>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罚款数额＝50×（1＋情节系数）</w:t>
            </w:r>
          </w:p>
        </w:tc>
        <w:tc>
          <w:tcPr>
            <w:tcW w:w="2415" w:type="dxa"/>
            <w:gridSpan w:val="7"/>
            <w:vMerge w:val="restart"/>
            <w:shd w:val="clear" w:color="auto" w:fill="auto"/>
            <w:noWrap/>
            <w:vAlign w:val="center"/>
          </w:tcPr>
          <w:p>
            <w:pPr>
              <w:widowControl/>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03"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捕捞、捕捉动物</w:t>
            </w:r>
            <w:r>
              <w:rPr>
                <w:rFonts w:hint="eastAsia" w:ascii="仿宋_GB2312" w:hAnsi="宋体" w:eastAsia="仿宋_GB2312" w:cs="宋体"/>
                <w:kern w:val="0"/>
                <w:szCs w:val="21"/>
              </w:rPr>
              <w:t>（</w:t>
            </w:r>
            <w:r>
              <w:rPr>
                <w:rFonts w:ascii="仿宋_GB2312" w:hAnsi="宋体" w:eastAsia="仿宋_GB2312" w:cs="宋体"/>
                <w:kern w:val="0"/>
                <w:szCs w:val="21"/>
              </w:rPr>
              <w:t>采挖植物，恐吓、投打、伤害动物</w:t>
            </w:r>
            <w:r>
              <w:rPr>
                <w:rFonts w:hint="eastAsia" w:ascii="仿宋_GB2312" w:hAnsi="宋体" w:eastAsia="仿宋_GB2312" w:cs="宋体"/>
                <w:kern w:val="0"/>
                <w:szCs w:val="21"/>
              </w:rPr>
              <w:t>，</w:t>
            </w:r>
            <w:r>
              <w:rPr>
                <w:rFonts w:ascii="仿宋_GB2312" w:hAnsi="宋体" w:eastAsia="仿宋_GB2312" w:cs="宋体"/>
                <w:kern w:val="0"/>
                <w:szCs w:val="21"/>
              </w:rPr>
              <w:t>在非投喂区投喂动物</w:t>
            </w:r>
            <w:r>
              <w:rPr>
                <w:rFonts w:hint="eastAsia" w:ascii="仿宋_GB2312" w:hAnsi="宋体" w:eastAsia="仿宋_GB2312" w:cs="宋体"/>
                <w:kern w:val="0"/>
                <w:szCs w:val="21"/>
              </w:rPr>
              <w:t>）</w:t>
            </w:r>
          </w:p>
        </w:tc>
        <w:tc>
          <w:tcPr>
            <w:tcW w:w="3253" w:type="dxa"/>
            <w:gridSpan w:val="3"/>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vMerge w:val="continue"/>
            <w:tcBorders>
              <w:bottom w:val="single" w:color="auto" w:sz="4" w:space="0"/>
            </w:tcBorders>
            <w:shd w:val="clear" w:color="auto" w:fill="auto"/>
            <w:noWrap/>
            <w:vAlign w:val="center"/>
          </w:tcPr>
          <w:p>
            <w:pPr>
              <w:jc w:val="center"/>
              <w:rPr>
                <w:rFonts w:ascii="仿宋_GB2312" w:hAnsi="宋体" w:eastAsia="仿宋_GB2312" w:cs="宋体"/>
                <w:kern w:val="0"/>
                <w:szCs w:val="21"/>
              </w:rPr>
            </w:pPr>
          </w:p>
        </w:tc>
        <w:tc>
          <w:tcPr>
            <w:tcW w:w="720" w:type="dxa"/>
            <w:gridSpan w:val="2"/>
            <w:vMerge w:val="continue"/>
            <w:tcBorders>
              <w:bottom w:val="single" w:color="auto" w:sz="4" w:space="0"/>
            </w:tcBorders>
            <w:shd w:val="clear" w:color="auto" w:fill="auto"/>
            <w:noWrap/>
            <w:vAlign w:val="center"/>
          </w:tcPr>
          <w:p>
            <w:pPr>
              <w:ind w:firstLine="420" w:firstLineChars="200"/>
              <w:jc w:val="center"/>
              <w:rPr>
                <w:rFonts w:ascii="仿宋_GB2312" w:hAnsi="宋体" w:eastAsia="仿宋_GB2312" w:cs="宋体"/>
                <w:kern w:val="0"/>
                <w:szCs w:val="21"/>
              </w:rPr>
            </w:pPr>
          </w:p>
        </w:tc>
        <w:tc>
          <w:tcPr>
            <w:tcW w:w="3600" w:type="dxa"/>
            <w:gridSpan w:val="7"/>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vMerge w:val="continue"/>
            <w:tcBorders>
              <w:bottom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03"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在建筑物、构筑物、设施、树木上涂写、刻划</w:t>
            </w:r>
            <w:r>
              <w:rPr>
                <w:rFonts w:hint="eastAsia" w:ascii="仿宋_GB2312" w:hAnsi="宋体" w:eastAsia="仿宋_GB2312" w:cs="宋体"/>
                <w:kern w:val="0"/>
                <w:szCs w:val="21"/>
              </w:rPr>
              <w:t xml:space="preserve"> </w:t>
            </w:r>
          </w:p>
        </w:tc>
        <w:tc>
          <w:tcPr>
            <w:tcW w:w="3253" w:type="dxa"/>
            <w:gridSpan w:val="3"/>
            <w:vMerge w:val="restart"/>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第四十六</w:t>
            </w:r>
            <w:r>
              <w:rPr>
                <w:rFonts w:hint="eastAsia" w:ascii="仿宋_GB2312" w:hAnsi="宋体" w:eastAsia="仿宋_GB2312" w:cs="宋体"/>
                <w:kern w:val="0"/>
                <w:szCs w:val="21"/>
              </w:rPr>
              <w:t>第（三）项；处罚条款：</w:t>
            </w:r>
            <w:r>
              <w:rPr>
                <w:rFonts w:ascii="仿宋_GB2312" w:hAnsi="宋体" w:eastAsia="仿宋_GB2312" w:cs="宋体"/>
                <w:kern w:val="0"/>
                <w:szCs w:val="21"/>
              </w:rPr>
              <w:t>第五十六条</w:t>
            </w:r>
            <w:r>
              <w:rPr>
                <w:rFonts w:hint="eastAsia" w:ascii="仿宋_GB2312" w:hAnsi="宋体" w:eastAsia="仿宋_GB2312" w:cs="宋体"/>
                <w:kern w:val="0"/>
                <w:szCs w:val="21"/>
              </w:rPr>
              <w:t xml:space="preserve">第一款第（三）项 </w:t>
            </w:r>
            <w:r>
              <w:rPr>
                <w:rFonts w:ascii="仿宋_GB2312" w:hAnsi="宋体" w:eastAsia="仿宋_GB2312" w:cs="宋体"/>
                <w:kern w:val="0"/>
                <w:szCs w:val="21"/>
              </w:rPr>
              <w:t>给予警告，并处5元以上50元以下罚款</w:t>
            </w:r>
          </w:p>
        </w:tc>
        <w:tc>
          <w:tcPr>
            <w:tcW w:w="961" w:type="dxa"/>
            <w:gridSpan w:val="4"/>
            <w:vMerge w:val="restart"/>
            <w:shd w:val="clear" w:color="auto" w:fill="auto"/>
            <w:noWrap/>
            <w:vAlign w:val="center"/>
          </w:tcPr>
          <w:p>
            <w:pPr>
              <w:rPr>
                <w:rFonts w:ascii="仿宋_GB2312" w:hAnsi="宋体" w:eastAsia="仿宋_GB2312" w:cs="宋体"/>
                <w:kern w:val="0"/>
                <w:szCs w:val="21"/>
              </w:rPr>
            </w:pPr>
          </w:p>
        </w:tc>
        <w:tc>
          <w:tcPr>
            <w:tcW w:w="720" w:type="dxa"/>
            <w:gridSpan w:val="2"/>
            <w:vMerge w:val="restart"/>
            <w:shd w:val="clear" w:color="auto" w:fill="auto"/>
            <w:noWrap/>
            <w:vAlign w:val="center"/>
          </w:tcPr>
          <w:p>
            <w:pPr>
              <w:ind w:firstLine="420" w:firstLineChars="200"/>
              <w:rPr>
                <w:rFonts w:ascii="仿宋_GB2312" w:hAnsi="宋体" w:eastAsia="仿宋_GB2312" w:cs="宋体"/>
                <w:kern w:val="0"/>
                <w:szCs w:val="21"/>
              </w:rPr>
            </w:pPr>
          </w:p>
        </w:tc>
        <w:tc>
          <w:tcPr>
            <w:tcW w:w="3600" w:type="dxa"/>
            <w:gridSpan w:val="7"/>
            <w:vMerge w:val="restart"/>
            <w:shd w:val="clear" w:color="auto" w:fill="auto"/>
            <w:vAlign w:val="center"/>
          </w:tcPr>
          <w:p>
            <w:pPr>
              <w:widowControl/>
              <w:rPr>
                <w:rFonts w:ascii="仿宋_GB2312" w:hAnsi="宋体" w:eastAsia="仿宋_GB2312" w:cs="宋体"/>
                <w:kern w:val="0"/>
                <w:szCs w:val="21"/>
              </w:rPr>
            </w:pPr>
            <w:r>
              <w:rPr>
                <w:rFonts w:ascii="仿宋_GB2312" w:hAnsi="宋体" w:eastAsia="仿宋_GB2312" w:cs="宋体"/>
                <w:kern w:val="0"/>
                <w:szCs w:val="21"/>
              </w:rPr>
              <w:t> </w:t>
            </w:r>
          </w:p>
        </w:tc>
        <w:tc>
          <w:tcPr>
            <w:tcW w:w="1740" w:type="dxa"/>
            <w:gridSpan w:val="2"/>
            <w:vMerge w:val="restart"/>
            <w:shd w:val="clear" w:color="auto" w:fill="auto"/>
            <w:vAlign w:val="center"/>
          </w:tcPr>
          <w:p>
            <w:pPr>
              <w:widowControl/>
              <w:rPr>
                <w:rFonts w:ascii="仿宋_GB2312" w:hAnsi="宋体" w:eastAsia="仿宋_GB2312" w:cs="宋体"/>
                <w:kern w:val="0"/>
                <w:szCs w:val="21"/>
              </w:rPr>
            </w:pPr>
          </w:p>
        </w:tc>
        <w:tc>
          <w:tcPr>
            <w:tcW w:w="2415" w:type="dxa"/>
            <w:gridSpan w:val="7"/>
            <w:vMerge w:val="restart"/>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03"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266" w:type="dxa"/>
            <w:gridSpan w:val="7"/>
            <w:tcBorders>
              <w:bottom w:val="single" w:color="auto" w:sz="4" w:space="0"/>
            </w:tcBorders>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公园内游人</w:t>
            </w:r>
            <w:r>
              <w:rPr>
                <w:rFonts w:ascii="仿宋_GB2312" w:hAnsi="宋体" w:eastAsia="仿宋_GB2312" w:cs="宋体"/>
                <w:kern w:val="0"/>
                <w:szCs w:val="21"/>
              </w:rPr>
              <w:t>攀折花木</w:t>
            </w:r>
            <w:r>
              <w:rPr>
                <w:rFonts w:hint="eastAsia" w:ascii="仿宋_GB2312" w:hAnsi="宋体" w:eastAsia="仿宋_GB2312" w:cs="宋体"/>
                <w:kern w:val="0"/>
                <w:szCs w:val="21"/>
              </w:rPr>
              <w:t>（</w:t>
            </w:r>
            <w:r>
              <w:rPr>
                <w:rFonts w:ascii="仿宋_GB2312" w:hAnsi="宋体" w:eastAsia="仿宋_GB2312" w:cs="宋体"/>
                <w:kern w:val="0"/>
                <w:szCs w:val="21"/>
              </w:rPr>
              <w:t>损坏草坪、树木</w:t>
            </w:r>
            <w:r>
              <w:rPr>
                <w:rFonts w:hint="eastAsia" w:ascii="仿宋_GB2312" w:hAnsi="宋体" w:eastAsia="仿宋_GB2312" w:cs="宋体"/>
                <w:kern w:val="0"/>
                <w:szCs w:val="21"/>
              </w:rPr>
              <w:t>）</w:t>
            </w:r>
          </w:p>
        </w:tc>
        <w:tc>
          <w:tcPr>
            <w:tcW w:w="3253" w:type="dxa"/>
            <w:gridSpan w:val="3"/>
            <w:vMerge w:val="continue"/>
            <w:tcBorders>
              <w:bottom w:val="single" w:color="auto" w:sz="4" w:space="0"/>
            </w:tcBorders>
            <w:shd w:val="clear" w:color="auto" w:fill="auto"/>
            <w:vAlign w:val="center"/>
          </w:tcPr>
          <w:p>
            <w:pPr>
              <w:rPr>
                <w:rFonts w:ascii="仿宋_GB2312" w:hAnsi="宋体" w:eastAsia="仿宋_GB2312" w:cs="宋体"/>
                <w:kern w:val="0"/>
                <w:szCs w:val="21"/>
              </w:rPr>
            </w:pPr>
          </w:p>
        </w:tc>
        <w:tc>
          <w:tcPr>
            <w:tcW w:w="961" w:type="dxa"/>
            <w:gridSpan w:val="4"/>
            <w:vMerge w:val="continue"/>
            <w:tcBorders>
              <w:bottom w:val="single" w:color="auto" w:sz="4" w:space="0"/>
            </w:tcBorders>
            <w:shd w:val="clear" w:color="auto" w:fill="auto"/>
            <w:noWrap/>
            <w:vAlign w:val="center"/>
          </w:tcPr>
          <w:p>
            <w:pPr>
              <w:jc w:val="center"/>
              <w:rPr>
                <w:rFonts w:ascii="仿宋_GB2312" w:hAnsi="宋体" w:eastAsia="仿宋_GB2312" w:cs="宋体"/>
                <w:kern w:val="0"/>
                <w:szCs w:val="21"/>
              </w:rPr>
            </w:pPr>
          </w:p>
        </w:tc>
        <w:tc>
          <w:tcPr>
            <w:tcW w:w="720" w:type="dxa"/>
            <w:gridSpan w:val="2"/>
            <w:vMerge w:val="continue"/>
            <w:tcBorders>
              <w:bottom w:val="single" w:color="auto" w:sz="4" w:space="0"/>
            </w:tcBorders>
            <w:shd w:val="clear" w:color="auto" w:fill="auto"/>
            <w:noWrap/>
            <w:vAlign w:val="center"/>
          </w:tcPr>
          <w:p>
            <w:pPr>
              <w:ind w:firstLine="420" w:firstLineChars="200"/>
              <w:jc w:val="center"/>
              <w:rPr>
                <w:rFonts w:ascii="仿宋_GB2312" w:hAnsi="宋体" w:eastAsia="仿宋_GB2312" w:cs="宋体"/>
                <w:kern w:val="0"/>
                <w:szCs w:val="21"/>
              </w:rPr>
            </w:pPr>
          </w:p>
        </w:tc>
        <w:tc>
          <w:tcPr>
            <w:tcW w:w="3600" w:type="dxa"/>
            <w:gridSpan w:val="7"/>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vMerge w:val="continue"/>
            <w:tcBorders>
              <w:bottom w:val="single" w:color="auto" w:sz="4" w:space="0"/>
            </w:tcBorders>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擅自改变公园的功能</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十一</w:t>
            </w:r>
            <w:r>
              <w:rPr>
                <w:rFonts w:ascii="仿宋_GB2312" w:hAnsi="宋体" w:eastAsia="仿宋_GB2312" w:cs="宋体"/>
                <w:kern w:val="0"/>
                <w:szCs w:val="21"/>
              </w:rPr>
              <w:t>条</w:t>
            </w:r>
            <w:r>
              <w:rPr>
                <w:rFonts w:hint="eastAsia" w:ascii="仿宋_GB2312" w:hAnsi="宋体" w:eastAsia="仿宋_GB2312" w:cs="宋体"/>
                <w:kern w:val="0"/>
                <w:szCs w:val="21"/>
              </w:rPr>
              <w:t>第一款；处罚条款：</w:t>
            </w:r>
            <w:r>
              <w:rPr>
                <w:rFonts w:ascii="仿宋_GB2312" w:hAnsi="宋体" w:eastAsia="仿宋_GB2312" w:cs="宋体"/>
                <w:kern w:val="0"/>
                <w:szCs w:val="21"/>
              </w:rPr>
              <w:t>第五十</w:t>
            </w:r>
            <w:r>
              <w:rPr>
                <w:rFonts w:hint="eastAsia" w:ascii="仿宋_GB2312" w:hAnsi="宋体" w:eastAsia="仿宋_GB2312" w:cs="宋体"/>
                <w:kern w:val="0"/>
                <w:szCs w:val="21"/>
              </w:rPr>
              <w:t>一</w:t>
            </w:r>
            <w:r>
              <w:rPr>
                <w:rFonts w:ascii="仿宋_GB2312" w:hAnsi="宋体" w:eastAsia="仿宋_GB2312" w:cs="宋体"/>
                <w:kern w:val="0"/>
                <w:szCs w:val="21"/>
              </w:rPr>
              <w:t>条</w:t>
            </w:r>
            <w:r>
              <w:rPr>
                <w:rFonts w:hint="eastAsia" w:ascii="仿宋_GB2312" w:hAnsi="宋体" w:eastAsia="仿宋_GB2312" w:cs="宋体"/>
                <w:kern w:val="0"/>
                <w:szCs w:val="21"/>
              </w:rPr>
              <w:t>第（一）项 责令限期改正，恢复原功能，并可以处1万元以上10万元以下罚款。</w:t>
            </w:r>
          </w:p>
        </w:tc>
        <w:tc>
          <w:tcPr>
            <w:tcW w:w="961" w:type="dxa"/>
            <w:gridSpan w:val="4"/>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1.改变</w:t>
            </w:r>
            <w:r>
              <w:rPr>
                <w:rFonts w:ascii="仿宋_GB2312" w:hAnsi="宋体" w:eastAsia="仿宋_GB2312" w:cs="宋体"/>
                <w:kern w:val="0"/>
                <w:szCs w:val="21"/>
              </w:rPr>
              <w:t>市主要公园</w:t>
            </w:r>
            <w:r>
              <w:rPr>
                <w:rFonts w:hint="eastAsia" w:ascii="仿宋_GB2312" w:hAnsi="宋体" w:eastAsia="仿宋_GB2312" w:cs="宋体"/>
                <w:kern w:val="0"/>
                <w:szCs w:val="21"/>
              </w:rPr>
              <w:t>功能</w:t>
            </w:r>
            <w:r>
              <w:rPr>
                <w:rFonts w:ascii="仿宋_GB2312" w:hAnsi="宋体" w:eastAsia="仿宋_GB2312" w:cs="宋体"/>
                <w:kern w:val="0"/>
                <w:szCs w:val="21"/>
              </w:rPr>
              <w:t>的</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w:t>
            </w:r>
            <w:r>
              <w:rPr>
                <w:rFonts w:hint="eastAsia" w:ascii="仿宋_GB2312" w:hAnsi="宋体" w:eastAsia="仿宋_GB2312" w:cs="宋体"/>
                <w:kern w:val="0"/>
                <w:szCs w:val="21"/>
              </w:rPr>
              <w:t>它额度</w:t>
            </w:r>
            <w:r>
              <w:rPr>
                <w:rFonts w:ascii="仿宋_GB2312" w:hAnsi="宋体" w:eastAsia="仿宋_GB2312" w:cs="宋体"/>
                <w:kern w:val="0"/>
                <w:szCs w:val="21"/>
              </w:rPr>
              <w:t>处罚的，报</w:t>
            </w:r>
            <w:r>
              <w:rPr>
                <w:rFonts w:hint="eastAsia" w:ascii="仿宋_GB2312" w:hAnsi="宋体" w:eastAsia="仿宋_GB2312" w:cs="宋体"/>
                <w:kern w:val="0"/>
                <w:szCs w:val="21"/>
              </w:rPr>
              <w:t>案审</w:t>
            </w:r>
            <w:r>
              <w:rPr>
                <w:rFonts w:ascii="仿宋_GB2312" w:hAnsi="宋体" w:eastAsia="仿宋_GB2312" w:cs="宋体"/>
                <w:kern w:val="0"/>
                <w:szCs w:val="21"/>
              </w:rPr>
              <w:t>会</w:t>
            </w:r>
            <w:r>
              <w:rPr>
                <w:rFonts w:hint="eastAsia" w:ascii="仿宋_GB2312" w:hAnsi="宋体" w:eastAsia="仿宋_GB2312" w:cs="宋体"/>
                <w:kern w:val="0"/>
                <w:szCs w:val="21"/>
              </w:rPr>
              <w:t>讨论</w:t>
            </w:r>
            <w:r>
              <w:rPr>
                <w:rFonts w:ascii="仿宋_GB2312" w:hAnsi="宋体" w:eastAsia="仿宋_GB2312" w:cs="宋体"/>
                <w:kern w:val="0"/>
                <w:szCs w:val="21"/>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侵占公园用地</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十一</w:t>
            </w:r>
            <w:r>
              <w:rPr>
                <w:rFonts w:ascii="仿宋_GB2312" w:hAnsi="宋体" w:eastAsia="仿宋_GB2312" w:cs="宋体"/>
                <w:kern w:val="0"/>
                <w:szCs w:val="21"/>
              </w:rPr>
              <w:t>条</w:t>
            </w:r>
            <w:r>
              <w:rPr>
                <w:rFonts w:hint="eastAsia" w:ascii="仿宋_GB2312" w:hAnsi="宋体" w:eastAsia="仿宋_GB2312" w:cs="宋体"/>
                <w:kern w:val="0"/>
                <w:szCs w:val="21"/>
              </w:rPr>
              <w:t>第一款；处罚条款：</w:t>
            </w:r>
            <w:r>
              <w:rPr>
                <w:rFonts w:ascii="仿宋_GB2312" w:hAnsi="宋体" w:eastAsia="仿宋_GB2312" w:cs="宋体"/>
                <w:kern w:val="0"/>
                <w:szCs w:val="21"/>
              </w:rPr>
              <w:t>第五十</w:t>
            </w:r>
            <w:r>
              <w:rPr>
                <w:rFonts w:hint="eastAsia" w:ascii="仿宋_GB2312" w:hAnsi="宋体" w:eastAsia="仿宋_GB2312" w:cs="宋体"/>
                <w:kern w:val="0"/>
                <w:szCs w:val="21"/>
              </w:rPr>
              <w:t>一</w:t>
            </w:r>
            <w:r>
              <w:rPr>
                <w:rFonts w:ascii="仿宋_GB2312" w:hAnsi="宋体" w:eastAsia="仿宋_GB2312" w:cs="宋体"/>
                <w:kern w:val="0"/>
                <w:szCs w:val="21"/>
              </w:rPr>
              <w:t>条</w:t>
            </w:r>
            <w:r>
              <w:rPr>
                <w:rFonts w:hint="eastAsia" w:ascii="仿宋_GB2312" w:hAnsi="宋体" w:eastAsia="仿宋_GB2312" w:cs="宋体"/>
                <w:kern w:val="0"/>
                <w:szCs w:val="21"/>
              </w:rPr>
              <w:t>第（二）项 责令立即腾退，恢复原状，并可以按照侵占面积每平方米处300元罚款。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侵占面积</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罚款数额＝侵占面积×300元。</w:t>
            </w:r>
          </w:p>
        </w:tc>
        <w:tc>
          <w:tcPr>
            <w:tcW w:w="2415" w:type="dxa"/>
            <w:gridSpan w:val="7"/>
            <w:shd w:val="clear" w:color="auto" w:fill="auto"/>
            <w:noWrap/>
            <w:vAlign w:val="center"/>
          </w:tcPr>
          <w:p>
            <w:pPr>
              <w:widowControl/>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公园未经验收交付使用</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十八</w:t>
            </w:r>
            <w:r>
              <w:rPr>
                <w:rFonts w:ascii="仿宋_GB2312" w:hAnsi="宋体" w:eastAsia="仿宋_GB2312" w:cs="宋体"/>
                <w:kern w:val="0"/>
                <w:szCs w:val="21"/>
              </w:rPr>
              <w:t>条</w:t>
            </w:r>
            <w:r>
              <w:rPr>
                <w:rFonts w:hint="eastAsia" w:ascii="仿宋_GB2312" w:hAnsi="宋体" w:eastAsia="仿宋_GB2312" w:cs="宋体"/>
                <w:kern w:val="0"/>
                <w:szCs w:val="21"/>
              </w:rPr>
              <w:t>第二款；处罚条款：</w:t>
            </w:r>
            <w:r>
              <w:rPr>
                <w:rFonts w:ascii="仿宋_GB2312" w:hAnsi="宋体" w:eastAsia="仿宋_GB2312" w:cs="宋体"/>
                <w:kern w:val="0"/>
                <w:szCs w:val="21"/>
              </w:rPr>
              <w:t>第五十</w:t>
            </w:r>
            <w:r>
              <w:rPr>
                <w:rFonts w:hint="eastAsia" w:ascii="仿宋_GB2312" w:hAnsi="宋体" w:eastAsia="仿宋_GB2312" w:cs="宋体"/>
                <w:kern w:val="0"/>
                <w:szCs w:val="21"/>
              </w:rPr>
              <w:t>二</w:t>
            </w:r>
            <w:r>
              <w:rPr>
                <w:rFonts w:ascii="仿宋_GB2312" w:hAnsi="宋体" w:eastAsia="仿宋_GB2312" w:cs="宋体"/>
                <w:kern w:val="0"/>
                <w:szCs w:val="21"/>
              </w:rPr>
              <w:t>条</w:t>
            </w:r>
            <w:r>
              <w:rPr>
                <w:rFonts w:hint="eastAsia" w:ascii="仿宋_GB2312" w:hAnsi="宋体" w:eastAsia="仿宋_GB2312" w:cs="宋体"/>
                <w:kern w:val="0"/>
                <w:szCs w:val="21"/>
              </w:rPr>
              <w:t>，责令改正，并可以处1万元以上10万元以下罚款。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1.公园建设工程已经完工，具备开园条件，但未经验收交付使用的，系数</w:t>
            </w:r>
            <w:r>
              <w:rPr>
                <w:rFonts w:ascii="仿宋_GB2312" w:hAnsi="宋体" w:eastAsia="仿宋_GB2312" w:cs="宋体"/>
                <w:kern w:val="0"/>
                <w:szCs w:val="21"/>
              </w:rPr>
              <w:t>0</w:t>
            </w:r>
            <w:r>
              <w:rPr>
                <w:rFonts w:hint="eastAsia" w:ascii="仿宋_GB2312" w:hAnsi="宋体" w:eastAsia="仿宋_GB2312" w:cs="宋体"/>
                <w:kern w:val="0"/>
                <w:szCs w:val="21"/>
              </w:rPr>
              <w:t>-4；2.公园建设工程尚未完全完工，且未经验收交付使用的，系数5-9。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在历史名园保护区内建设影响原有风貌和格局的建筑物、构建物</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二十九</w:t>
            </w:r>
            <w:r>
              <w:rPr>
                <w:rFonts w:ascii="仿宋_GB2312" w:hAnsi="宋体" w:eastAsia="仿宋_GB2312" w:cs="宋体"/>
                <w:kern w:val="0"/>
                <w:szCs w:val="21"/>
              </w:rPr>
              <w:t>条</w:t>
            </w:r>
            <w:r>
              <w:rPr>
                <w:rFonts w:hint="eastAsia" w:ascii="仿宋_GB2312" w:hAnsi="宋体" w:eastAsia="仿宋_GB2312" w:cs="宋体"/>
                <w:kern w:val="0"/>
                <w:szCs w:val="21"/>
              </w:rPr>
              <w:t>第一款；处罚条款：</w:t>
            </w:r>
            <w:r>
              <w:rPr>
                <w:rFonts w:ascii="仿宋_GB2312" w:hAnsi="宋体" w:eastAsia="仿宋_GB2312" w:cs="宋体"/>
                <w:kern w:val="0"/>
                <w:szCs w:val="21"/>
              </w:rPr>
              <w:t>第五十</w:t>
            </w:r>
            <w:r>
              <w:rPr>
                <w:rFonts w:hint="eastAsia" w:ascii="仿宋_GB2312" w:hAnsi="宋体" w:eastAsia="仿宋_GB2312" w:cs="宋体"/>
                <w:kern w:val="0"/>
                <w:szCs w:val="21"/>
              </w:rPr>
              <w:t>三</w:t>
            </w:r>
            <w:r>
              <w:rPr>
                <w:rFonts w:ascii="仿宋_GB2312" w:hAnsi="宋体" w:eastAsia="仿宋_GB2312" w:cs="宋体"/>
                <w:kern w:val="0"/>
                <w:szCs w:val="21"/>
              </w:rPr>
              <w:t>条</w:t>
            </w:r>
            <w:r>
              <w:rPr>
                <w:rFonts w:hint="eastAsia" w:ascii="仿宋_GB2312" w:hAnsi="宋体" w:eastAsia="仿宋_GB2312" w:cs="宋体"/>
                <w:kern w:val="0"/>
                <w:szCs w:val="21"/>
              </w:rPr>
              <w:t>第一款， 责令限期拆除，恢复原貌；对违法建设建筑物、构筑物的，并可以按照违法建筑物、构筑物的面积每平方米处300元以上3000元以下罚款。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1.面积500平方米以下（不含</w:t>
            </w:r>
            <w:r>
              <w:rPr>
                <w:rFonts w:ascii="仿宋_GB2312" w:hAnsi="宋体" w:eastAsia="仿宋_GB2312" w:cs="宋体"/>
                <w:kern w:val="0"/>
                <w:szCs w:val="21"/>
              </w:rPr>
              <w:t>本数</w:t>
            </w:r>
            <w:r>
              <w:rPr>
                <w:rFonts w:hint="eastAsia" w:ascii="仿宋_GB2312" w:hAnsi="宋体" w:eastAsia="仿宋_GB2312" w:cs="宋体"/>
                <w:kern w:val="0"/>
                <w:szCs w:val="21"/>
              </w:rPr>
              <w:t>）的，系数</w:t>
            </w:r>
            <w:r>
              <w:rPr>
                <w:rFonts w:ascii="仿宋_GB2312" w:hAnsi="宋体" w:eastAsia="仿宋_GB2312" w:cs="宋体"/>
                <w:kern w:val="0"/>
                <w:szCs w:val="21"/>
              </w:rPr>
              <w:t>1-</w:t>
            </w:r>
            <w:r>
              <w:rPr>
                <w:rFonts w:hint="eastAsia" w:ascii="仿宋_GB2312" w:hAnsi="宋体" w:eastAsia="仿宋_GB2312" w:cs="宋体"/>
                <w:kern w:val="0"/>
                <w:szCs w:val="21"/>
              </w:rPr>
              <w:t>3；</w:t>
            </w:r>
            <w:r>
              <w:rPr>
                <w:rFonts w:ascii="仿宋_GB2312" w:hAnsi="宋体" w:eastAsia="仿宋_GB2312" w:cs="宋体"/>
                <w:kern w:val="0"/>
                <w:szCs w:val="21"/>
              </w:rPr>
              <w:t>2</w:t>
            </w:r>
            <w:r>
              <w:rPr>
                <w:rFonts w:hint="eastAsia" w:ascii="仿宋_GB2312" w:hAnsi="宋体" w:eastAsia="仿宋_GB2312" w:cs="宋体"/>
                <w:kern w:val="0"/>
                <w:szCs w:val="21"/>
              </w:rPr>
              <w:t>.违法建筑物、构筑物的面积500平方米以上不足1000平方米（不含</w:t>
            </w:r>
            <w:r>
              <w:rPr>
                <w:rFonts w:ascii="仿宋_GB2312" w:hAnsi="宋体" w:eastAsia="仿宋_GB2312" w:cs="宋体"/>
                <w:kern w:val="0"/>
                <w:szCs w:val="21"/>
              </w:rPr>
              <w:t>本数</w:t>
            </w:r>
            <w:r>
              <w:rPr>
                <w:rFonts w:hint="eastAsia" w:ascii="仿宋_GB2312" w:hAnsi="宋体" w:eastAsia="仿宋_GB2312" w:cs="宋体"/>
                <w:kern w:val="0"/>
                <w:szCs w:val="21"/>
              </w:rPr>
              <w:t>）的，系数4</w:t>
            </w: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3</w:t>
            </w:r>
            <w:r>
              <w:rPr>
                <w:rFonts w:hint="eastAsia" w:ascii="仿宋_GB2312" w:hAnsi="宋体" w:eastAsia="仿宋_GB2312" w:cs="宋体"/>
                <w:kern w:val="0"/>
                <w:szCs w:val="21"/>
              </w:rPr>
              <w:t>.违法建筑物、构筑物的面积1000平方米以上的，系数7-9。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罚款数额＝300×（1＋情节系数＋变量系数）×面积。</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擅自改变无法以人力再造和无法再生的自然景观</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w:t>
            </w:r>
            <w:r>
              <w:rPr>
                <w:rFonts w:ascii="仿宋_GB2312" w:hAnsi="宋体" w:eastAsia="仿宋_GB2312" w:cs="宋体"/>
                <w:kern w:val="0"/>
                <w:szCs w:val="21"/>
              </w:rPr>
              <w:t>条</w:t>
            </w:r>
            <w:r>
              <w:rPr>
                <w:rFonts w:hint="eastAsia" w:ascii="仿宋_GB2312" w:hAnsi="宋体" w:eastAsia="仿宋_GB2312" w:cs="宋体"/>
                <w:kern w:val="0"/>
                <w:szCs w:val="21"/>
              </w:rPr>
              <w:t>第二款；处罚条款：</w:t>
            </w:r>
            <w:r>
              <w:rPr>
                <w:rFonts w:ascii="仿宋_GB2312" w:hAnsi="宋体" w:eastAsia="仿宋_GB2312" w:cs="宋体"/>
                <w:kern w:val="0"/>
                <w:szCs w:val="21"/>
              </w:rPr>
              <w:t>第五十</w:t>
            </w:r>
            <w:r>
              <w:rPr>
                <w:rFonts w:hint="eastAsia" w:ascii="仿宋_GB2312" w:hAnsi="宋体" w:eastAsia="仿宋_GB2312" w:cs="宋体"/>
                <w:kern w:val="0"/>
                <w:szCs w:val="21"/>
              </w:rPr>
              <w:t>四</w:t>
            </w:r>
            <w:r>
              <w:rPr>
                <w:rFonts w:ascii="仿宋_GB2312" w:hAnsi="宋体" w:eastAsia="仿宋_GB2312" w:cs="宋体"/>
                <w:kern w:val="0"/>
                <w:szCs w:val="21"/>
              </w:rPr>
              <w:t>条</w:t>
            </w:r>
            <w:r>
              <w:rPr>
                <w:rFonts w:hint="eastAsia" w:ascii="仿宋_GB2312" w:hAnsi="宋体" w:eastAsia="仿宋_GB2312" w:cs="宋体"/>
                <w:kern w:val="0"/>
                <w:szCs w:val="21"/>
              </w:rPr>
              <w:t>， 责令停止违法行为，并处1万元以上10万元以下罚款。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0000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w:t>
            </w:r>
            <w:r>
              <w:rPr>
                <w:rFonts w:ascii="仿宋_GB2312" w:hAnsi="宋体" w:eastAsia="仿宋_GB2312" w:cs="宋体"/>
                <w:kern w:val="0"/>
                <w:szCs w:val="21"/>
              </w:rPr>
              <w:t>2</w:t>
            </w:r>
            <w:r>
              <w:rPr>
                <w:rFonts w:hint="eastAsia" w:ascii="仿宋_GB2312" w:hAnsi="宋体" w:eastAsia="仿宋_GB2312" w:cs="宋体"/>
                <w:kern w:val="0"/>
                <w:szCs w:val="21"/>
              </w:rPr>
              <w:t>0000×（1＋情节系数）。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w:t>
            </w:r>
            <w:r>
              <w:rPr>
                <w:rFonts w:hint="eastAsia" w:ascii="仿宋_GB2312" w:hAnsi="宋体" w:eastAsia="仿宋_GB2312" w:cs="宋体"/>
                <w:kern w:val="0"/>
                <w:szCs w:val="21"/>
              </w:rPr>
              <w:t>它额度</w:t>
            </w:r>
            <w:r>
              <w:rPr>
                <w:rFonts w:ascii="仿宋_GB2312" w:hAnsi="宋体" w:eastAsia="仿宋_GB2312" w:cs="宋体"/>
                <w:kern w:val="0"/>
                <w:szCs w:val="21"/>
              </w:rPr>
              <w:t>处罚的，报</w:t>
            </w:r>
            <w:r>
              <w:rPr>
                <w:rFonts w:hint="eastAsia" w:ascii="仿宋_GB2312" w:hAnsi="宋体" w:eastAsia="仿宋_GB2312" w:cs="宋体"/>
                <w:kern w:val="0"/>
                <w:szCs w:val="21"/>
              </w:rPr>
              <w:t>案审</w:t>
            </w:r>
            <w:r>
              <w:rPr>
                <w:rFonts w:ascii="仿宋_GB2312" w:hAnsi="宋体" w:eastAsia="仿宋_GB2312" w:cs="宋体"/>
                <w:kern w:val="0"/>
                <w:szCs w:val="21"/>
              </w:rPr>
              <w:t>会</w:t>
            </w:r>
            <w:r>
              <w:rPr>
                <w:rFonts w:hint="eastAsia" w:ascii="仿宋_GB2312" w:hAnsi="宋体" w:eastAsia="仿宋_GB2312" w:cs="宋体"/>
                <w:kern w:val="0"/>
                <w:szCs w:val="21"/>
              </w:rPr>
              <w:t>讨论</w:t>
            </w:r>
            <w:r>
              <w:rPr>
                <w:rFonts w:ascii="仿宋_GB2312" w:hAnsi="宋体" w:eastAsia="仿宋_GB2312" w:cs="宋体"/>
                <w:kern w:val="0"/>
                <w:szCs w:val="21"/>
              </w:rPr>
              <w:t>决定。</w:t>
            </w:r>
          </w:p>
          <w:p>
            <w:pPr>
              <w:widowControl/>
              <w:rPr>
                <w:rFonts w:ascii="仿宋_GB2312" w:hAnsi="宋体" w:eastAsia="仿宋_GB2312" w:cs="宋体"/>
                <w:kern w:val="0"/>
                <w:szCs w:val="21"/>
              </w:rPr>
            </w:pPr>
          </w:p>
          <w:p>
            <w:pPr>
              <w:widowControl/>
              <w:rPr>
                <w:rFonts w:ascii="仿宋_GB2312" w:hAnsi="宋体" w:eastAsia="仿宋_GB2312" w:cs="宋体"/>
                <w:kern w:val="0"/>
                <w:szCs w:val="21"/>
              </w:rPr>
            </w:pPr>
            <w:r>
              <w:rPr>
                <w:rFonts w:hint="eastAsia" w:ascii="仿宋_GB2312" w:hAnsi="宋体" w:eastAsia="仿宋_GB2312" w:cs="宋体"/>
                <w:kern w:val="0"/>
                <w:szCs w:val="21"/>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擅自改变具有特殊历史文化价值的人文景观原有风貌和格局</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w:t>
            </w:r>
            <w:r>
              <w:rPr>
                <w:rFonts w:ascii="仿宋_GB2312" w:hAnsi="宋体" w:eastAsia="仿宋_GB2312" w:cs="宋体"/>
                <w:kern w:val="0"/>
                <w:szCs w:val="21"/>
              </w:rPr>
              <w:t>条</w:t>
            </w:r>
            <w:r>
              <w:rPr>
                <w:rFonts w:hint="eastAsia" w:ascii="仿宋_GB2312" w:hAnsi="宋体" w:eastAsia="仿宋_GB2312" w:cs="宋体"/>
                <w:kern w:val="0"/>
                <w:szCs w:val="21"/>
              </w:rPr>
              <w:t>第二款；处罚条款：</w:t>
            </w:r>
            <w:r>
              <w:rPr>
                <w:rFonts w:ascii="仿宋_GB2312" w:hAnsi="宋体" w:eastAsia="仿宋_GB2312" w:cs="宋体"/>
                <w:kern w:val="0"/>
                <w:szCs w:val="21"/>
              </w:rPr>
              <w:t>第五十</w:t>
            </w:r>
            <w:r>
              <w:rPr>
                <w:rFonts w:hint="eastAsia" w:ascii="仿宋_GB2312" w:hAnsi="宋体" w:eastAsia="仿宋_GB2312" w:cs="宋体"/>
                <w:kern w:val="0"/>
                <w:szCs w:val="21"/>
              </w:rPr>
              <w:t>四</w:t>
            </w:r>
            <w:r>
              <w:rPr>
                <w:rFonts w:ascii="仿宋_GB2312" w:hAnsi="宋体" w:eastAsia="仿宋_GB2312" w:cs="宋体"/>
                <w:kern w:val="0"/>
                <w:szCs w:val="21"/>
              </w:rPr>
              <w:t>条</w:t>
            </w:r>
            <w:r>
              <w:rPr>
                <w:rFonts w:hint="eastAsia" w:ascii="仿宋_GB2312" w:hAnsi="宋体" w:eastAsia="仿宋_GB2312" w:cs="宋体"/>
                <w:kern w:val="0"/>
                <w:szCs w:val="21"/>
              </w:rPr>
              <w:t>，责令停止违法行为，并处1万元以上10万元以下罚款。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0000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w:t>
            </w:r>
            <w:r>
              <w:rPr>
                <w:rFonts w:ascii="仿宋_GB2312" w:hAnsi="宋体" w:eastAsia="仿宋_GB2312" w:cs="宋体"/>
                <w:kern w:val="0"/>
                <w:szCs w:val="21"/>
              </w:rPr>
              <w:t>2</w:t>
            </w:r>
            <w:r>
              <w:rPr>
                <w:rFonts w:hint="eastAsia" w:ascii="仿宋_GB2312" w:hAnsi="宋体" w:eastAsia="仿宋_GB2312" w:cs="宋体"/>
                <w:kern w:val="0"/>
                <w:szCs w:val="21"/>
              </w:rPr>
              <w:t>0000×（1＋情节系数）。</w:t>
            </w:r>
          </w:p>
        </w:tc>
        <w:tc>
          <w:tcPr>
            <w:tcW w:w="2415" w:type="dxa"/>
            <w:gridSpan w:val="7"/>
            <w:shd w:val="clear" w:color="auto" w:fill="auto"/>
            <w:noWrap/>
            <w:vAlign w:val="center"/>
          </w:tcPr>
          <w:p>
            <w:pPr>
              <w:widowControl/>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公园管理机构未按照标准做好清扫保洁</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三十六</w:t>
            </w:r>
            <w:r>
              <w:rPr>
                <w:rFonts w:ascii="仿宋_GB2312" w:hAnsi="宋体" w:eastAsia="仿宋_GB2312" w:cs="宋体"/>
                <w:kern w:val="0"/>
                <w:szCs w:val="21"/>
              </w:rPr>
              <w:t>条</w:t>
            </w:r>
            <w:r>
              <w:rPr>
                <w:rFonts w:hint="eastAsia" w:ascii="仿宋_GB2312" w:hAnsi="宋体" w:eastAsia="仿宋_GB2312" w:cs="宋体"/>
                <w:kern w:val="0"/>
                <w:szCs w:val="21"/>
              </w:rPr>
              <w:t>第一款第</w:t>
            </w:r>
            <w:r>
              <w:rPr>
                <w:rFonts w:ascii="仿宋_GB2312" w:hAnsi="宋体" w:eastAsia="仿宋_GB2312" w:cs="宋体"/>
                <w:kern w:val="0"/>
                <w:szCs w:val="21"/>
              </w:rPr>
              <w:t>（</w:t>
            </w:r>
            <w:r>
              <w:rPr>
                <w:rFonts w:hint="eastAsia" w:ascii="仿宋_GB2312" w:hAnsi="宋体" w:eastAsia="仿宋_GB2312" w:cs="宋体"/>
                <w:kern w:val="0"/>
                <w:szCs w:val="21"/>
              </w:rPr>
              <w:t>一</w:t>
            </w:r>
            <w:r>
              <w:rPr>
                <w:rFonts w:ascii="仿宋_GB2312" w:hAnsi="宋体" w:eastAsia="仿宋_GB2312" w:cs="宋体"/>
                <w:kern w:val="0"/>
                <w:szCs w:val="21"/>
              </w:rPr>
              <w:t>）（</w:t>
            </w:r>
            <w:r>
              <w:rPr>
                <w:rFonts w:hint="eastAsia" w:ascii="仿宋_GB2312" w:hAnsi="宋体" w:eastAsia="仿宋_GB2312" w:cs="宋体"/>
                <w:kern w:val="0"/>
                <w:szCs w:val="21"/>
              </w:rPr>
              <w:t>五</w:t>
            </w:r>
            <w:r>
              <w:rPr>
                <w:rFonts w:ascii="仿宋_GB2312" w:hAnsi="宋体" w:eastAsia="仿宋_GB2312" w:cs="宋体"/>
                <w:kern w:val="0"/>
                <w:szCs w:val="21"/>
              </w:rPr>
              <w:t>）（</w:t>
            </w:r>
            <w:r>
              <w:rPr>
                <w:rFonts w:hint="eastAsia" w:ascii="仿宋_GB2312" w:hAnsi="宋体" w:eastAsia="仿宋_GB2312" w:cs="宋体"/>
                <w:kern w:val="0"/>
                <w:szCs w:val="21"/>
              </w:rPr>
              <w:t>六</w:t>
            </w:r>
            <w:r>
              <w:rPr>
                <w:rFonts w:ascii="仿宋_GB2312" w:hAnsi="宋体" w:eastAsia="仿宋_GB2312" w:cs="宋体"/>
                <w:kern w:val="0"/>
                <w:szCs w:val="21"/>
              </w:rPr>
              <w:t>）</w:t>
            </w:r>
            <w:r>
              <w:rPr>
                <w:rFonts w:hint="eastAsia" w:ascii="仿宋_GB2312" w:hAnsi="宋体" w:eastAsia="仿宋_GB2312" w:cs="宋体"/>
                <w:kern w:val="0"/>
                <w:szCs w:val="21"/>
              </w:rPr>
              <w:t>项；处罚条款：</w:t>
            </w:r>
            <w:r>
              <w:rPr>
                <w:rFonts w:ascii="仿宋_GB2312" w:hAnsi="宋体" w:eastAsia="仿宋_GB2312" w:cs="宋体"/>
                <w:kern w:val="0"/>
                <w:szCs w:val="21"/>
              </w:rPr>
              <w:t>第五十</w:t>
            </w:r>
            <w:r>
              <w:rPr>
                <w:rFonts w:hint="eastAsia" w:ascii="仿宋_GB2312" w:hAnsi="宋体" w:eastAsia="仿宋_GB2312" w:cs="宋体"/>
                <w:kern w:val="0"/>
                <w:szCs w:val="21"/>
              </w:rPr>
              <w:t>五</w:t>
            </w:r>
            <w:r>
              <w:rPr>
                <w:rFonts w:ascii="仿宋_GB2312" w:hAnsi="宋体" w:eastAsia="仿宋_GB2312" w:cs="宋体"/>
                <w:kern w:val="0"/>
                <w:szCs w:val="21"/>
              </w:rPr>
              <w:t>条第（</w:t>
            </w:r>
            <w:r>
              <w:rPr>
                <w:rFonts w:hint="eastAsia" w:ascii="仿宋_GB2312" w:hAnsi="宋体" w:eastAsia="仿宋_GB2312" w:cs="宋体"/>
                <w:kern w:val="0"/>
                <w:szCs w:val="21"/>
              </w:rPr>
              <w:t>一</w:t>
            </w:r>
            <w:r>
              <w:rPr>
                <w:rFonts w:ascii="仿宋_GB2312" w:hAnsi="宋体" w:eastAsia="仿宋_GB2312" w:cs="宋体"/>
                <w:kern w:val="0"/>
                <w:szCs w:val="21"/>
              </w:rPr>
              <w:t>）</w:t>
            </w:r>
            <w:r>
              <w:rPr>
                <w:rFonts w:hint="eastAsia" w:ascii="仿宋_GB2312" w:hAnsi="宋体" w:eastAsia="仿宋_GB2312" w:cs="宋体"/>
                <w:kern w:val="0"/>
                <w:szCs w:val="21"/>
              </w:rPr>
              <w:t>项，责令改正，并可以处100元以上1000元以下罚款。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北京市主要公园</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罚款数额＝100×（1＋情节系数＋变量系数）。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在公园内搭建棚舍、擅自摆摊设点</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三十七</w:t>
            </w:r>
            <w:r>
              <w:rPr>
                <w:rFonts w:ascii="仿宋_GB2312" w:hAnsi="宋体" w:eastAsia="仿宋_GB2312" w:cs="宋体"/>
                <w:kern w:val="0"/>
                <w:szCs w:val="21"/>
              </w:rPr>
              <w:t>条</w:t>
            </w:r>
            <w:r>
              <w:rPr>
                <w:rFonts w:hint="eastAsia" w:ascii="仿宋_GB2312" w:hAnsi="宋体" w:eastAsia="仿宋_GB2312" w:cs="宋体"/>
                <w:kern w:val="0"/>
                <w:szCs w:val="21"/>
              </w:rPr>
              <w:t>；处罚条款：</w:t>
            </w:r>
            <w:r>
              <w:rPr>
                <w:rFonts w:ascii="仿宋_GB2312" w:hAnsi="宋体" w:eastAsia="仿宋_GB2312" w:cs="宋体"/>
                <w:kern w:val="0"/>
                <w:szCs w:val="21"/>
              </w:rPr>
              <w:t>第五十</w:t>
            </w:r>
            <w:r>
              <w:rPr>
                <w:rFonts w:hint="eastAsia" w:ascii="仿宋_GB2312" w:hAnsi="宋体" w:eastAsia="仿宋_GB2312" w:cs="宋体"/>
                <w:kern w:val="0"/>
                <w:szCs w:val="21"/>
              </w:rPr>
              <w:t>五</w:t>
            </w:r>
            <w:r>
              <w:rPr>
                <w:rFonts w:ascii="仿宋_GB2312" w:hAnsi="宋体" w:eastAsia="仿宋_GB2312" w:cs="宋体"/>
                <w:kern w:val="0"/>
                <w:szCs w:val="21"/>
              </w:rPr>
              <w:t>条第（</w:t>
            </w:r>
            <w:r>
              <w:rPr>
                <w:rFonts w:hint="eastAsia" w:ascii="仿宋_GB2312" w:hAnsi="宋体" w:eastAsia="仿宋_GB2312" w:cs="宋体"/>
                <w:kern w:val="0"/>
                <w:szCs w:val="21"/>
              </w:rPr>
              <w:t>二</w:t>
            </w:r>
            <w:r>
              <w:rPr>
                <w:rFonts w:ascii="仿宋_GB2312" w:hAnsi="宋体" w:eastAsia="仿宋_GB2312" w:cs="宋体"/>
                <w:kern w:val="0"/>
                <w:szCs w:val="21"/>
              </w:rPr>
              <w:t>）</w:t>
            </w:r>
            <w:r>
              <w:rPr>
                <w:rFonts w:hint="eastAsia" w:ascii="仿宋_GB2312" w:hAnsi="宋体" w:eastAsia="仿宋_GB2312" w:cs="宋体"/>
                <w:kern w:val="0"/>
                <w:szCs w:val="21"/>
              </w:rPr>
              <w:t>项，责令改正，并可以处100元以上1000元以下罚款。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北京市主要公园</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罚款数额＝100×（1＋情节系数＋变量系数）。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在公园内随意堆放物料、拉绳挂物</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三十七</w:t>
            </w:r>
            <w:r>
              <w:rPr>
                <w:rFonts w:ascii="仿宋_GB2312" w:hAnsi="宋体" w:eastAsia="仿宋_GB2312" w:cs="宋体"/>
                <w:kern w:val="0"/>
                <w:szCs w:val="21"/>
              </w:rPr>
              <w:t>条</w:t>
            </w:r>
            <w:r>
              <w:rPr>
                <w:rFonts w:hint="eastAsia" w:ascii="仿宋_GB2312" w:hAnsi="宋体" w:eastAsia="仿宋_GB2312" w:cs="宋体"/>
                <w:kern w:val="0"/>
                <w:szCs w:val="21"/>
              </w:rPr>
              <w:t>；处罚条款：</w:t>
            </w:r>
            <w:r>
              <w:rPr>
                <w:rFonts w:ascii="仿宋_GB2312" w:hAnsi="宋体" w:eastAsia="仿宋_GB2312" w:cs="宋体"/>
                <w:kern w:val="0"/>
                <w:szCs w:val="21"/>
              </w:rPr>
              <w:t>第五十</w:t>
            </w:r>
            <w:r>
              <w:rPr>
                <w:rFonts w:hint="eastAsia" w:ascii="仿宋_GB2312" w:hAnsi="宋体" w:eastAsia="仿宋_GB2312" w:cs="宋体"/>
                <w:kern w:val="0"/>
                <w:szCs w:val="21"/>
              </w:rPr>
              <w:t>五</w:t>
            </w:r>
            <w:r>
              <w:rPr>
                <w:rFonts w:ascii="仿宋_GB2312" w:hAnsi="宋体" w:eastAsia="仿宋_GB2312" w:cs="宋体"/>
                <w:kern w:val="0"/>
                <w:szCs w:val="21"/>
              </w:rPr>
              <w:t>条第（</w:t>
            </w:r>
            <w:r>
              <w:rPr>
                <w:rFonts w:hint="eastAsia" w:ascii="仿宋_GB2312" w:hAnsi="宋体" w:eastAsia="仿宋_GB2312" w:cs="宋体"/>
                <w:kern w:val="0"/>
                <w:szCs w:val="21"/>
              </w:rPr>
              <w:t>三</w:t>
            </w:r>
            <w:r>
              <w:rPr>
                <w:rFonts w:ascii="仿宋_GB2312" w:hAnsi="宋体" w:eastAsia="仿宋_GB2312" w:cs="宋体"/>
                <w:kern w:val="0"/>
                <w:szCs w:val="21"/>
              </w:rPr>
              <w:t>）</w:t>
            </w:r>
            <w:r>
              <w:rPr>
                <w:rFonts w:hint="eastAsia" w:ascii="仿宋_GB2312" w:hAnsi="宋体" w:eastAsia="仿宋_GB2312" w:cs="宋体"/>
                <w:kern w:val="0"/>
                <w:szCs w:val="21"/>
              </w:rPr>
              <w:t>项，责令改正，并可以处100元以上1000元以下罚款。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北京市主要公园</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罚款数额＝100×（1＋情节系数＋变量系数）。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公园内牌示污损、丢失不及时更换或者补设</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w:t>
            </w:r>
            <w:r>
              <w:rPr>
                <w:rFonts w:hint="eastAsia" w:ascii="仿宋_GB2312" w:hAnsi="宋体" w:eastAsia="仿宋_GB2312" w:cs="宋体"/>
                <w:kern w:val="0"/>
                <w:szCs w:val="21"/>
              </w:rPr>
              <w:t>三十八</w:t>
            </w:r>
            <w:r>
              <w:rPr>
                <w:rFonts w:ascii="仿宋_GB2312" w:hAnsi="宋体" w:eastAsia="仿宋_GB2312" w:cs="宋体"/>
                <w:kern w:val="0"/>
                <w:szCs w:val="21"/>
              </w:rPr>
              <w:t>条</w:t>
            </w:r>
            <w:r>
              <w:rPr>
                <w:rFonts w:hint="eastAsia" w:ascii="仿宋_GB2312" w:hAnsi="宋体" w:eastAsia="仿宋_GB2312" w:cs="宋体"/>
                <w:kern w:val="0"/>
                <w:szCs w:val="21"/>
              </w:rPr>
              <w:t>第一款；处罚条款：</w:t>
            </w:r>
            <w:r>
              <w:rPr>
                <w:rFonts w:ascii="仿宋_GB2312" w:hAnsi="宋体" w:eastAsia="仿宋_GB2312" w:cs="宋体"/>
                <w:kern w:val="0"/>
                <w:szCs w:val="21"/>
              </w:rPr>
              <w:t>第五十</w:t>
            </w:r>
            <w:r>
              <w:rPr>
                <w:rFonts w:hint="eastAsia" w:ascii="仿宋_GB2312" w:hAnsi="宋体" w:eastAsia="仿宋_GB2312" w:cs="宋体"/>
                <w:kern w:val="0"/>
                <w:szCs w:val="21"/>
              </w:rPr>
              <w:t>五</w:t>
            </w:r>
            <w:r>
              <w:rPr>
                <w:rFonts w:ascii="仿宋_GB2312" w:hAnsi="宋体" w:eastAsia="仿宋_GB2312" w:cs="宋体"/>
                <w:kern w:val="0"/>
                <w:szCs w:val="21"/>
              </w:rPr>
              <w:t>条第（</w:t>
            </w:r>
            <w:r>
              <w:rPr>
                <w:rFonts w:hint="eastAsia" w:ascii="仿宋_GB2312" w:hAnsi="宋体" w:eastAsia="仿宋_GB2312" w:cs="宋体"/>
                <w:kern w:val="0"/>
                <w:szCs w:val="21"/>
              </w:rPr>
              <w:t>四</w:t>
            </w:r>
            <w:r>
              <w:rPr>
                <w:rFonts w:ascii="仿宋_GB2312" w:hAnsi="宋体" w:eastAsia="仿宋_GB2312" w:cs="宋体"/>
                <w:kern w:val="0"/>
                <w:szCs w:val="21"/>
              </w:rPr>
              <w:t>）</w:t>
            </w:r>
            <w:r>
              <w:rPr>
                <w:rFonts w:hint="eastAsia" w:ascii="仿宋_GB2312" w:hAnsi="宋体" w:eastAsia="仿宋_GB2312" w:cs="宋体"/>
                <w:kern w:val="0"/>
                <w:szCs w:val="21"/>
              </w:rPr>
              <w:t>项，责令改正，并可以处100元以上1000元以下罚款。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北京市主要公园</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在公园内追逐游客强行兜售物品</w:t>
            </w:r>
          </w:p>
        </w:tc>
        <w:tc>
          <w:tcPr>
            <w:tcW w:w="4318" w:type="dxa"/>
            <w:gridSpan w:val="8"/>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w:t>
            </w:r>
            <w:r>
              <w:rPr>
                <w:rFonts w:ascii="仿宋_GB2312" w:hAnsi="宋体" w:eastAsia="仿宋_GB2312" w:cs="宋体"/>
                <w:kern w:val="0"/>
                <w:szCs w:val="21"/>
              </w:rPr>
              <w:t>第四十</w:t>
            </w:r>
            <w:r>
              <w:rPr>
                <w:rFonts w:hint="eastAsia" w:ascii="仿宋_GB2312" w:hAnsi="宋体" w:eastAsia="仿宋_GB2312" w:cs="宋体"/>
                <w:kern w:val="0"/>
                <w:szCs w:val="21"/>
              </w:rPr>
              <w:t>七条；处罚条款：</w:t>
            </w:r>
            <w:r>
              <w:rPr>
                <w:rFonts w:ascii="仿宋_GB2312" w:hAnsi="宋体" w:eastAsia="仿宋_GB2312" w:cs="宋体"/>
                <w:kern w:val="0"/>
                <w:szCs w:val="21"/>
              </w:rPr>
              <w:t>第五十</w:t>
            </w:r>
            <w:r>
              <w:rPr>
                <w:rFonts w:hint="eastAsia" w:ascii="仿宋_GB2312" w:hAnsi="宋体" w:eastAsia="仿宋_GB2312" w:cs="宋体"/>
                <w:kern w:val="0"/>
                <w:szCs w:val="21"/>
              </w:rPr>
              <w:t>七</w:t>
            </w:r>
            <w:r>
              <w:rPr>
                <w:rFonts w:ascii="仿宋_GB2312" w:hAnsi="宋体" w:eastAsia="仿宋_GB2312" w:cs="宋体"/>
                <w:kern w:val="0"/>
                <w:szCs w:val="21"/>
              </w:rPr>
              <w:t>条</w:t>
            </w:r>
            <w:r>
              <w:rPr>
                <w:rFonts w:hint="eastAsia" w:ascii="仿宋_GB2312" w:hAnsi="宋体" w:eastAsia="仿宋_GB2312" w:cs="宋体"/>
                <w:kern w:val="0"/>
                <w:szCs w:val="21"/>
              </w:rPr>
              <w:t>，责令改正，没收违法所得，并处50元以上500元以下罚款。</w:t>
            </w:r>
          </w:p>
        </w:tc>
        <w:tc>
          <w:tcPr>
            <w:tcW w:w="961" w:type="dxa"/>
            <w:gridSpan w:val="4"/>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北京市主要公园</w:t>
            </w:r>
            <w:r>
              <w:rPr>
                <w:rFonts w:hint="eastAsia" w:ascii="仿宋_GB2312" w:hAnsi="宋体" w:eastAsia="仿宋_GB2312" w:cs="宋体"/>
                <w:kern w:val="0"/>
                <w:szCs w:val="21"/>
              </w:rPr>
              <w:t>，</w:t>
            </w:r>
            <w:r>
              <w:rPr>
                <w:rFonts w:ascii="仿宋_GB2312" w:hAnsi="宋体" w:eastAsia="仿宋_GB2312" w:cs="宋体"/>
                <w:kern w:val="0"/>
                <w:szCs w:val="21"/>
              </w:rPr>
              <w:t>系数5-9</w:t>
            </w:r>
            <w:r>
              <w:rPr>
                <w:rFonts w:hint="eastAsia" w:ascii="仿宋_GB2312" w:hAnsi="宋体" w:eastAsia="仿宋_GB2312" w:cs="宋体"/>
                <w:kern w:val="0"/>
                <w:szCs w:val="21"/>
              </w:rPr>
              <w:t>；2.其它公园的，系数</w:t>
            </w:r>
            <w:r>
              <w:rPr>
                <w:rFonts w:ascii="仿宋_GB2312" w:hAnsi="宋体" w:eastAsia="仿宋_GB2312" w:cs="宋体"/>
                <w:kern w:val="0"/>
                <w:szCs w:val="21"/>
              </w:rPr>
              <w:t>0</w:t>
            </w:r>
            <w:r>
              <w:rPr>
                <w:rFonts w:hint="eastAsia" w:ascii="仿宋_GB2312" w:hAnsi="宋体" w:eastAsia="仿宋_GB2312" w:cs="宋体"/>
                <w:kern w:val="0"/>
                <w:szCs w:val="21"/>
              </w:rPr>
              <w:t>-</w:t>
            </w:r>
            <w:r>
              <w:rPr>
                <w:rFonts w:ascii="仿宋_GB2312" w:hAnsi="宋体" w:eastAsia="仿宋_GB2312" w:cs="宋体"/>
                <w:kern w:val="0"/>
                <w:szCs w:val="21"/>
              </w:rPr>
              <w:t>4</w:t>
            </w:r>
            <w:r>
              <w:rPr>
                <w:rFonts w:hint="eastAsia" w:ascii="仿宋_GB2312" w:hAnsi="宋体" w:eastAsia="仿宋_GB2312" w:cs="宋体"/>
                <w:kern w:val="0"/>
                <w:szCs w:val="21"/>
              </w:rPr>
              <w:t>。</w:t>
            </w:r>
          </w:p>
        </w:tc>
        <w:tc>
          <w:tcPr>
            <w:tcW w:w="1740" w:type="dxa"/>
            <w:gridSpan w:val="2"/>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罚款数额＝50×（1＋情节系数＋变量系数）。</w:t>
            </w:r>
          </w:p>
        </w:tc>
        <w:tc>
          <w:tcPr>
            <w:tcW w:w="2415" w:type="dxa"/>
            <w:gridSpan w:val="7"/>
            <w:shd w:val="clear" w:color="auto" w:fill="auto"/>
            <w:noWrap/>
            <w:vAlign w:val="center"/>
          </w:tcPr>
          <w:p>
            <w:pPr>
              <w:widowControl/>
              <w:rPr>
                <w:rFonts w:ascii="仿宋_GB2312" w:hAnsi="宋体" w:eastAsia="仿宋_GB2312" w:cs="宋体"/>
                <w:kern w:val="0"/>
                <w:szCs w:val="21"/>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458" w:type="dxa"/>
            <w:gridSpan w:val="34"/>
            <w:shd w:val="clear" w:color="auto" w:fill="auto"/>
            <w:noWrap/>
            <w:vAlign w:val="center"/>
          </w:tcPr>
          <w:p>
            <w:pPr>
              <w:pStyle w:val="2"/>
              <w:rPr>
                <w:rFonts w:ascii="仿宋_GB2312" w:eastAsia="仿宋_GB2312"/>
                <w:szCs w:val="21"/>
              </w:rPr>
            </w:pPr>
            <w:bookmarkStart w:id="45" w:name="_Toc39911699"/>
            <w:r>
              <w:rPr>
                <w:rFonts w:hint="eastAsia"/>
              </w:rPr>
              <w:t>环境保护管理方面案由</w:t>
            </w:r>
            <w:r>
              <w:rPr>
                <w:rFonts w:hint="eastAsia" w:ascii="方正小标宋简体"/>
              </w:rPr>
              <w:t>3</w:t>
            </w:r>
            <w:r>
              <w:rPr>
                <w:rFonts w:ascii="方正小标宋简体"/>
              </w:rPr>
              <w:t>2</w:t>
            </w:r>
            <w:r>
              <w:rPr>
                <w:rFonts w:hint="eastAsia"/>
              </w:rPr>
              <w:t>项</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58" w:type="dxa"/>
            <w:gridSpan w:val="34"/>
            <w:shd w:val="clear" w:color="auto" w:fill="auto"/>
            <w:noWrap/>
            <w:vAlign w:val="center"/>
          </w:tcPr>
          <w:p>
            <w:pPr>
              <w:pStyle w:val="3"/>
            </w:pPr>
            <w:bookmarkStart w:id="46" w:name="_Toc39911700"/>
            <w:r>
              <w:rPr>
                <w:rFonts w:hint="eastAsia"/>
              </w:rPr>
              <w:t>依据《中华人民共和国大气污染防治法》案由18项</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施工单位未设置硬质围挡</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违反条款：第六十九条第三款；处罚条款：第一百一十五条第一款第（一）项：责令改正，处一万元以上十万元以下的罚款；拒不改正的，责令停工整治。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eastAsia="仿宋_GB2312"/>
              </w:rPr>
              <w:t>1.未按标准设置围挡长度16-30米的，系数1；31-45米的，系数2，以此类推；2.期间发生危害公共安全行为的，系数9。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w:t>
            </w:r>
            <w:r>
              <w:rPr>
                <w:rFonts w:hint="eastAsia" w:ascii="仿宋_GB2312" w:eastAsia="仿宋_GB2312"/>
              </w:rPr>
              <w:t>＋区域系数</w:t>
            </w:r>
            <w:r>
              <w:rPr>
                <w:rFonts w:hint="eastAsia" w:ascii="仿宋_GB2312" w:hAnsi="宋体" w:eastAsia="仿宋_GB2312" w:cs="宋体"/>
                <w:kern w:val="0"/>
                <w:szCs w:val="21"/>
              </w:rPr>
              <w:t>＋情节系数＋变量系数）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p>
            <w:pPr>
              <w:widowControl/>
              <w:spacing w:line="240" w:lineRule="exact"/>
              <w:rPr>
                <w:rFonts w:ascii="仿宋_GB2312" w:hAnsi="宋体" w:eastAsia="仿宋_GB2312" w:cs="宋体"/>
                <w:kern w:val="0"/>
                <w:szCs w:val="21"/>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施工单位未采取有效防尘降尘措施</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违反条款：第六十九条第三款；处罚条款：第一百一十五条第一款第（一）项：责令改正，处一万元以上十万元以下的罚款；拒不改正的，责令停工整治。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p>
            <w:pPr>
              <w:widowControl/>
              <w:spacing w:line="240" w:lineRule="exact"/>
              <w:rPr>
                <w:rFonts w:ascii="仿宋_GB2312" w:hAnsi="宋体" w:eastAsia="仿宋_GB2312" w:cs="宋体"/>
                <w:kern w:val="0"/>
                <w:szCs w:val="21"/>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施工单位未及时清运建筑土方（工程渣土、建筑垃圾）</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违反条款：第六十九条第三款；处罚条款：第一百一十五条第一款第（二）项：责令改正，处一万元以上十万元以下的罚款；拒不改正的，责令停工整治。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hAnsi="宋体" w:eastAsia="仿宋_GB2312" w:cs="宋体"/>
                <w:szCs w:val="21"/>
              </w:rPr>
              <w:t>1.垃圾占地面积10</w:t>
            </w:r>
            <w:r>
              <w:rPr>
                <w:rFonts w:hint="eastAsia" w:ascii="宋体" w:hAnsi="宋体" w:cs="宋体"/>
                <w:szCs w:val="21"/>
              </w:rPr>
              <w:t>㎡</w:t>
            </w:r>
            <w:r>
              <w:rPr>
                <w:rFonts w:hint="eastAsia" w:ascii="仿宋_GB2312" w:hAnsi="仿宋_GB2312" w:eastAsia="仿宋_GB2312" w:cs="仿宋_GB2312"/>
                <w:szCs w:val="21"/>
              </w:rPr>
              <w:t>以下的，系数</w:t>
            </w:r>
            <w:r>
              <w:rPr>
                <w:rFonts w:hint="eastAsia" w:ascii="仿宋_GB2312" w:hAnsi="宋体" w:eastAsia="仿宋_GB2312" w:cs="宋体"/>
                <w:szCs w:val="21"/>
              </w:rPr>
              <w:t>0；11－15</w:t>
            </w:r>
            <w:r>
              <w:rPr>
                <w:rFonts w:hint="eastAsia" w:ascii="宋体" w:hAnsi="宋体" w:cs="宋体"/>
                <w:szCs w:val="21"/>
              </w:rPr>
              <w:t>㎡</w:t>
            </w:r>
            <w:r>
              <w:rPr>
                <w:rFonts w:hint="eastAsia" w:ascii="仿宋_GB2312" w:hAnsi="仿宋_GB2312" w:eastAsia="仿宋_GB2312" w:cs="仿宋_GB2312"/>
                <w:szCs w:val="21"/>
              </w:rPr>
              <w:t>的，系</w:t>
            </w:r>
            <w:r>
              <w:rPr>
                <w:rFonts w:hint="eastAsia" w:ascii="仿宋_GB2312" w:hAnsi="宋体" w:eastAsia="仿宋_GB2312" w:cs="宋体"/>
                <w:szCs w:val="21"/>
              </w:rPr>
              <w:t>数1；16－20</w:t>
            </w:r>
            <w:r>
              <w:rPr>
                <w:rFonts w:hint="eastAsia" w:ascii="宋体" w:hAnsi="宋体" w:cs="宋体"/>
                <w:szCs w:val="21"/>
              </w:rPr>
              <w:t>㎡</w:t>
            </w:r>
            <w:r>
              <w:rPr>
                <w:rFonts w:hint="eastAsia" w:ascii="仿宋_GB2312" w:hAnsi="仿宋_GB2312" w:eastAsia="仿宋_GB2312" w:cs="仿宋_GB2312"/>
                <w:szCs w:val="21"/>
              </w:rPr>
              <w:t>系数</w:t>
            </w:r>
            <w:r>
              <w:rPr>
                <w:rFonts w:hint="eastAsia" w:ascii="仿宋_GB2312" w:hAnsi="宋体" w:eastAsia="仿宋_GB2312" w:cs="宋体"/>
                <w:szCs w:val="21"/>
              </w:rPr>
              <w:t>2，以此类推。2.逾期不清的，每逾期2天，系数为１，以此累加。</w:t>
            </w:r>
            <w:r>
              <w:rPr>
                <w:rFonts w:hint="eastAsia" w:ascii="仿宋_GB2312" w:eastAsia="仿宋_GB2312"/>
                <w:szCs w:val="21"/>
              </w:rPr>
              <w:t>3.造成尘土飞扬，严重污染环境的，系数为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spacing w:line="240" w:lineRule="exact"/>
              <w:rPr>
                <w:rFonts w:ascii="仿宋_GB2312" w:eastAsia="仿宋_GB2312"/>
              </w:rPr>
            </w:pPr>
            <w:r>
              <w:rPr>
                <w:rFonts w:hint="eastAsia" w:ascii="仿宋_GB2312" w:eastAsia="仿宋_GB2312"/>
              </w:rPr>
              <w:t>需要作出其它罚款额度的，说明理由，报案审会决定。</w:t>
            </w:r>
          </w:p>
          <w:p>
            <w:pPr>
              <w:spacing w:line="240" w:lineRule="exact"/>
              <w:rPr>
                <w:rFonts w:ascii="仿宋_GB2312" w:eastAsia="仿宋_GB2312"/>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施工单位未采用密闭式防尘网遮盖建筑土方（工程渣土、建筑垃圾）</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违反条款：第六十九条第三款；处罚条款：第一百一十五条第一款第（二）项：责令改正，处一万元以上十万元以下的罚款；拒不改正的，责令停工整治。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hAnsi="宋体" w:eastAsia="仿宋_GB2312" w:cs="宋体"/>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hAnsi="宋体" w:eastAsia="仿宋_GB2312" w:cs="宋体"/>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hAnsi="宋体" w:eastAsia="仿宋_GB2312" w:cs="宋体"/>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hAnsi="宋体" w:eastAsia="仿宋_GB2312" w:cs="宋体"/>
                <w:szCs w:val="21"/>
              </w:rPr>
              <w:t>2，以此类推。2.造成尘土飞扬，严重污染环境的，系数为9。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p>
            <w:pPr>
              <w:widowControl/>
              <w:spacing w:line="240" w:lineRule="exact"/>
              <w:rPr>
                <w:rFonts w:ascii="仿宋_GB2312" w:hAnsi="宋体" w:eastAsia="仿宋_GB2312" w:cs="宋体"/>
                <w:kern w:val="0"/>
                <w:szCs w:val="21"/>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建设单位未对暂不开工的建设用地裸露地面进行覆盖</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违反条款：第六十九条第五款；处罚条款：第一百一十五条第一款、第二款：责令改正，处一万元以上十万元以下的罚款；拒不改正的，责令停工整治。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1.面积1000</w:t>
            </w:r>
            <w:r>
              <w:rPr>
                <w:rFonts w:hint="eastAsia" w:ascii="Batang" w:hAnsi="Batang" w:eastAsia="Batang" w:cs="Batang"/>
                <w:kern w:val="0"/>
                <w:szCs w:val="21"/>
              </w:rPr>
              <w:t>㎡</w:t>
            </w:r>
            <w:r>
              <w:rPr>
                <w:rFonts w:hint="eastAsia" w:ascii="仿宋_GB2312" w:hAnsi="仿宋_GB2312" w:eastAsia="仿宋_GB2312" w:cs="仿宋_GB2312"/>
                <w:kern w:val="0"/>
                <w:szCs w:val="21"/>
              </w:rPr>
              <w:t>以内，变量系数为</w:t>
            </w:r>
            <w:r>
              <w:rPr>
                <w:rFonts w:hint="eastAsia" w:ascii="仿宋_GB2312" w:hAnsi="宋体" w:eastAsia="仿宋_GB2312" w:cs="宋体"/>
                <w:kern w:val="0"/>
                <w:szCs w:val="21"/>
              </w:rPr>
              <w:t>0，</w:t>
            </w:r>
            <w:r>
              <w:rPr>
                <w:rFonts w:ascii="仿宋_GB2312" w:hAnsi="宋体" w:eastAsia="仿宋_GB2312"/>
                <w:szCs w:val="21"/>
              </w:rPr>
              <w:t>1000</w:t>
            </w:r>
            <w:r>
              <w:rPr>
                <w:rFonts w:hint="eastAsia" w:ascii="仿宋_GB2312" w:hAnsi="宋体" w:eastAsia="仿宋_GB2312"/>
                <w:szCs w:val="21"/>
              </w:rPr>
              <w:t>－15</w:t>
            </w:r>
            <w:r>
              <w:rPr>
                <w:rFonts w:ascii="仿宋_GB2312" w:hAnsi="宋体" w:eastAsia="仿宋_GB2312"/>
                <w:szCs w:val="21"/>
              </w:rPr>
              <w:t>00</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hAnsi="宋体" w:eastAsia="仿宋_GB2312"/>
                <w:szCs w:val="21"/>
              </w:rPr>
              <w:t>1；1</w:t>
            </w:r>
            <w:r>
              <w:rPr>
                <w:rFonts w:ascii="仿宋_GB2312" w:hAnsi="宋体" w:eastAsia="仿宋_GB2312"/>
                <w:szCs w:val="21"/>
              </w:rPr>
              <w:t>500</w:t>
            </w:r>
            <w:r>
              <w:rPr>
                <w:rFonts w:hint="eastAsia" w:ascii="仿宋_GB2312" w:hAnsi="宋体" w:eastAsia="仿宋_GB2312"/>
                <w:szCs w:val="21"/>
              </w:rPr>
              <w:t>－2000</w:t>
            </w:r>
            <w:r>
              <w:rPr>
                <w:rFonts w:hint="eastAsia" w:ascii="Batang" w:hAnsi="Batang" w:eastAsia="Batang" w:cs="Batang"/>
                <w:szCs w:val="21"/>
              </w:rPr>
              <w:t>㎡</w:t>
            </w:r>
            <w:r>
              <w:rPr>
                <w:rFonts w:hint="eastAsia" w:ascii="Batang" w:hAnsi="Batang" w:cs="Batang"/>
                <w:szCs w:val="21"/>
              </w:rPr>
              <w:t>，</w:t>
            </w:r>
            <w:r>
              <w:rPr>
                <w:rFonts w:hint="eastAsia" w:ascii="仿宋_GB2312" w:hAnsi="仿宋_GB2312" w:eastAsia="仿宋_GB2312" w:cs="仿宋_GB2312"/>
                <w:szCs w:val="21"/>
              </w:rPr>
              <w:t>系数</w:t>
            </w:r>
            <w:r>
              <w:rPr>
                <w:rFonts w:hint="eastAsia" w:ascii="仿宋_GB2312" w:hAnsi="宋体" w:eastAsia="仿宋_GB2312"/>
                <w:szCs w:val="21"/>
              </w:rPr>
              <w:t>2，以此类推</w:t>
            </w:r>
            <w:r>
              <w:rPr>
                <w:rFonts w:hint="eastAsia" w:ascii="仿宋_GB2312" w:hAnsi="宋体" w:eastAsia="仿宋_GB2312" w:cs="宋体"/>
                <w:kern w:val="0"/>
                <w:szCs w:val="21"/>
              </w:rPr>
              <w:t>；2.尘土飞扬，对环境造成严重影响的，系数9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ascii="仿宋_GB2312" w:hAnsi="宋体" w:eastAsia="仿宋_GB2312" w:cs="宋体"/>
                <w:kern w:val="0"/>
                <w:szCs w:val="21"/>
              </w:rPr>
              <w:t>10</w:t>
            </w:r>
            <w:r>
              <w:rPr>
                <w:rFonts w:hint="eastAsia" w:ascii="仿宋_GB2312" w:hAnsi="宋体" w:eastAsia="仿宋_GB2312" w:cs="宋体"/>
                <w:kern w:val="0"/>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建设单位未对超过三个月不能开工的建设用地裸露地面进行绿化、铺装或者遮盖</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违反条款：第六十九条第五款；处罚条款：第一百一十五条第一款、第二款：责令改正，处一万元以上十万元以下的罚款；拒不改正的，责令停工整治。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1.面积1000</w:t>
            </w:r>
            <w:r>
              <w:rPr>
                <w:rFonts w:hint="eastAsia" w:ascii="Batang" w:hAnsi="Batang" w:eastAsia="Batang" w:cs="Batang"/>
                <w:kern w:val="0"/>
                <w:szCs w:val="21"/>
              </w:rPr>
              <w:t>㎡</w:t>
            </w:r>
            <w:r>
              <w:rPr>
                <w:rFonts w:hint="eastAsia" w:ascii="仿宋_GB2312" w:hAnsi="仿宋_GB2312" w:eastAsia="仿宋_GB2312" w:cs="仿宋_GB2312"/>
                <w:kern w:val="0"/>
                <w:szCs w:val="21"/>
              </w:rPr>
              <w:t>以内，变量系数为</w:t>
            </w:r>
            <w:r>
              <w:rPr>
                <w:rFonts w:hint="eastAsia" w:ascii="仿宋_GB2312" w:hAnsi="宋体" w:eastAsia="仿宋_GB2312" w:cs="宋体"/>
                <w:kern w:val="0"/>
                <w:szCs w:val="21"/>
              </w:rPr>
              <w:t>0，</w:t>
            </w:r>
            <w:r>
              <w:rPr>
                <w:rFonts w:ascii="仿宋_GB2312" w:hAnsi="宋体" w:eastAsia="仿宋_GB2312"/>
                <w:szCs w:val="21"/>
              </w:rPr>
              <w:t>1000</w:t>
            </w:r>
            <w:r>
              <w:rPr>
                <w:rFonts w:hint="eastAsia" w:ascii="仿宋_GB2312" w:hAnsi="宋体" w:eastAsia="仿宋_GB2312"/>
                <w:szCs w:val="21"/>
              </w:rPr>
              <w:t>－15</w:t>
            </w:r>
            <w:r>
              <w:rPr>
                <w:rFonts w:ascii="仿宋_GB2312" w:hAnsi="宋体" w:eastAsia="仿宋_GB2312"/>
                <w:szCs w:val="21"/>
              </w:rPr>
              <w:t>00</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hAnsi="宋体" w:eastAsia="仿宋_GB2312"/>
                <w:szCs w:val="21"/>
              </w:rPr>
              <w:t>1；1</w:t>
            </w:r>
            <w:r>
              <w:rPr>
                <w:rFonts w:ascii="仿宋_GB2312" w:hAnsi="宋体" w:eastAsia="仿宋_GB2312"/>
                <w:szCs w:val="21"/>
              </w:rPr>
              <w:t>500</w:t>
            </w:r>
            <w:r>
              <w:rPr>
                <w:rFonts w:hint="eastAsia" w:ascii="仿宋_GB2312" w:hAnsi="宋体" w:eastAsia="仿宋_GB2312"/>
                <w:szCs w:val="21"/>
              </w:rPr>
              <w:t>－2000</w:t>
            </w:r>
            <w:r>
              <w:rPr>
                <w:rFonts w:hint="eastAsia" w:ascii="Batang" w:hAnsi="Batang" w:eastAsia="Batang" w:cs="Batang"/>
                <w:szCs w:val="21"/>
              </w:rPr>
              <w:t>㎡</w:t>
            </w:r>
            <w:r>
              <w:rPr>
                <w:rFonts w:hint="eastAsia" w:ascii="Batang" w:hAnsi="Batang" w:cs="Batang"/>
                <w:szCs w:val="21"/>
              </w:rPr>
              <w:t>，</w:t>
            </w:r>
            <w:r>
              <w:rPr>
                <w:rFonts w:hint="eastAsia" w:ascii="仿宋_GB2312" w:hAnsi="仿宋_GB2312" w:eastAsia="仿宋_GB2312" w:cs="仿宋_GB2312"/>
                <w:szCs w:val="21"/>
              </w:rPr>
              <w:t>系数</w:t>
            </w:r>
            <w:r>
              <w:rPr>
                <w:rFonts w:hint="eastAsia" w:ascii="仿宋_GB2312" w:hAnsi="宋体" w:eastAsia="仿宋_GB2312"/>
                <w:szCs w:val="21"/>
              </w:rPr>
              <w:t>2，以此类推</w:t>
            </w:r>
            <w:r>
              <w:rPr>
                <w:rFonts w:hint="eastAsia" w:ascii="仿宋_GB2312" w:hAnsi="宋体" w:eastAsia="仿宋_GB2312" w:cs="宋体"/>
                <w:kern w:val="0"/>
                <w:szCs w:val="21"/>
              </w:rPr>
              <w:t>；2.尘土飞扬，对环境造成严重影响的，系数9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ascii="仿宋_GB2312" w:hAnsi="宋体" w:eastAsia="仿宋_GB2312" w:cs="宋体"/>
                <w:kern w:val="0"/>
                <w:szCs w:val="21"/>
              </w:rPr>
              <w:t>10</w:t>
            </w:r>
            <w:r>
              <w:rPr>
                <w:rFonts w:hint="eastAsia" w:ascii="仿宋_GB2312" w:hAnsi="宋体" w:eastAsia="仿宋_GB2312" w:cs="宋体"/>
                <w:kern w:val="0"/>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运输散装、流体物料车辆未采取密闭或者其它措施防止物料遗撒</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违反条款：第七十条第一款；处罚条款：第一百一十六条：责令改正，处二千元以上二万元以下的罚款；拒不改正的，车辆不得上道路行驶。</w:t>
            </w:r>
          </w:p>
        </w:tc>
        <w:tc>
          <w:tcPr>
            <w:tcW w:w="961" w:type="dxa"/>
            <w:gridSpan w:val="4"/>
            <w:shd w:val="clear" w:color="auto" w:fill="auto"/>
            <w:noWrap/>
            <w:vAlign w:val="center"/>
          </w:tcPr>
          <w:p>
            <w:pPr>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车辆同时存在不符合条件、未安装卫星定位系统、未密闭等2种以上（含2种）行为的，系数4；，同时还存在无准运证运输等行为的，系数4-9。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2000×（1+区域系数+情节系数+变量系数）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p>
            <w:pPr>
              <w:rPr>
                <w:rFonts w:ascii="仿宋_GB2312" w:eastAsia="仿宋_GB2312"/>
                <w:szCs w:val="21"/>
              </w:rPr>
            </w:pPr>
            <w:r>
              <w:rPr>
                <w:rFonts w:hint="eastAsia" w:ascii="仿宋_GB2312" w:eastAsia="仿宋_GB2312"/>
                <w:szCs w:val="21"/>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易产生扬尘的物料未密闭贮存</w:t>
            </w:r>
          </w:p>
        </w:tc>
        <w:tc>
          <w:tcPr>
            <w:tcW w:w="4318" w:type="dxa"/>
            <w:gridSpan w:val="8"/>
            <w:shd w:val="clear" w:color="auto" w:fill="auto"/>
            <w:vAlign w:val="center"/>
          </w:tcPr>
          <w:p>
            <w:r>
              <w:rPr>
                <w:rFonts w:hint="eastAsia" w:ascii="仿宋_GB2312" w:eastAsia="仿宋_GB2312"/>
              </w:rPr>
              <w:t>违反条款：第七十二条第一款；处罚条款：第一百一十七条第（一）项：责令改正，处一万元以上十万元以下的罚款；拒不改正的，责令停工整治或者停业整治：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szCs w:val="21"/>
              </w:rPr>
              <w:t>面积10</w:t>
            </w:r>
            <w:r>
              <w:rPr>
                <w:rFonts w:hint="eastAsia" w:ascii="Batang" w:hAnsi="Batang" w:eastAsia="Batang" w:cs="Batang"/>
                <w:szCs w:val="21"/>
              </w:rPr>
              <w:t>㎡</w:t>
            </w:r>
            <w:r>
              <w:rPr>
                <w:rFonts w:hint="eastAsia" w:ascii="仿宋_GB2312" w:eastAsia="仿宋_GB2312"/>
                <w:szCs w:val="21"/>
              </w:rPr>
              <w:t>以下的，系数0；11－25</w:t>
            </w:r>
            <w:r>
              <w:rPr>
                <w:rFonts w:hint="eastAsia" w:ascii="Batang" w:hAnsi="Batang" w:eastAsia="Batang" w:cs="Batang"/>
                <w:szCs w:val="21"/>
              </w:rPr>
              <w:t>㎡</w:t>
            </w:r>
            <w:r>
              <w:rPr>
                <w:rFonts w:hint="eastAsia" w:ascii="仿宋_GB2312" w:eastAsia="仿宋_GB2312"/>
                <w:szCs w:val="21"/>
              </w:rPr>
              <w:t>的，系数1；26－40</w:t>
            </w:r>
            <w:r>
              <w:rPr>
                <w:rFonts w:hint="eastAsia" w:ascii="Batang" w:hAnsi="Batang" w:eastAsia="Batang" w:cs="Batang"/>
                <w:szCs w:val="21"/>
              </w:rPr>
              <w:t>㎡</w:t>
            </w:r>
            <w:r>
              <w:rPr>
                <w:rFonts w:hint="eastAsia" w:ascii="仿宋_GB2312" w:eastAsia="仿宋_GB2312"/>
                <w:szCs w:val="21"/>
              </w:rPr>
              <w:t>系数2，以此类推。2.造成尘土飞扬，严重污染环境的，系数为9。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p>
            <w:pPr>
              <w:widowControl/>
              <w:spacing w:line="240" w:lineRule="exact"/>
              <w:rPr>
                <w:rFonts w:ascii="仿宋_GB2312" w:hAnsi="宋体" w:eastAsia="仿宋_GB2312" w:cs="宋体"/>
                <w:kern w:val="0"/>
                <w:szCs w:val="21"/>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易产生扬尘的物料不能密闭贮存的，未按规定设置围挡或者未采取有效覆盖措施</w:t>
            </w:r>
          </w:p>
        </w:tc>
        <w:tc>
          <w:tcPr>
            <w:tcW w:w="4318" w:type="dxa"/>
            <w:gridSpan w:val="8"/>
            <w:shd w:val="clear" w:color="auto" w:fill="auto"/>
            <w:vAlign w:val="center"/>
          </w:tcPr>
          <w:p>
            <w:r>
              <w:rPr>
                <w:rFonts w:hint="eastAsia" w:ascii="仿宋_GB2312" w:eastAsia="仿宋_GB2312"/>
              </w:rPr>
              <w:t>违反条款：第七十二条第一款；处罚条款：第一百一十七条第（二）项：责令改正，处一万元以上十万元以下的罚款；拒不改正的，责令停工整治或者停业整治：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pPr>
            <w:r>
              <w:rPr>
                <w:rFonts w:hint="eastAsia" w:ascii="仿宋_GB2312" w:eastAsia="仿宋_GB2312"/>
                <w:szCs w:val="21"/>
              </w:rPr>
              <w:t>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p>
            <w:pPr>
              <w:widowControl/>
              <w:spacing w:line="240" w:lineRule="exact"/>
              <w:rPr>
                <w:rFonts w:ascii="仿宋_GB2312" w:hAnsi="宋体" w:eastAsia="仿宋_GB2312" w:cs="宋体"/>
                <w:kern w:val="0"/>
                <w:szCs w:val="21"/>
              </w:rPr>
            </w:pPr>
            <w:r>
              <w:rPr>
                <w:rFonts w:hint="eastAsia" w:ascii="仿宋_GB2312" w:eastAsia="仿宋_GB2312"/>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装卸物料未采取密闭或者喷淋等方式控制扬尘</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违反条款：第七十条第二款；处罚条款：第一百一十七条第（三）项：责令改正，处一万元以上十万元以下的罚款；拒不改正的，责令停工整治或者停业整治：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尘土飞扬，对环境造成严重影响的，系数5-9。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spacing w:line="240" w:lineRule="exact"/>
              <w:rPr>
                <w:rFonts w:ascii="仿宋_GB2312" w:eastAsia="仿宋_GB2312"/>
              </w:rPr>
            </w:pPr>
            <w:r>
              <w:rPr>
                <w:rFonts w:hint="eastAsia" w:ascii="仿宋_GB2312" w:eastAsia="仿宋_GB2312"/>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填埋场（消纳场）未采取有效措施防治扬尘污染</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违反条款：第七十二条第二款；处罚条款：第一百一十七条第（五）项：责令改正，处一万元以上十万元以下的罚款；拒不改正的，责令停工整治或者停业整治：</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rPr>
                <w:rFonts w:ascii="仿宋_GB2312" w:eastAsia="仿宋_GB2312"/>
                <w:szCs w:val="21"/>
              </w:rPr>
            </w:pPr>
            <w:r>
              <w:rPr>
                <w:rFonts w:hint="eastAsia" w:ascii="仿宋_GB2312" w:eastAsia="仿宋_GB2312"/>
                <w:szCs w:val="21"/>
              </w:rPr>
              <w:t>产生较大环境污染或者社会影响的，系数为5-8；造成社会恶劣影响或者其它严重后果的，系数为9。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10000×（1+区域系数+情节系数+变量系数）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露天焚烧秸秆（落叶）等产生烟尘污染的物质</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违反条款：第七十七条；处罚条款：第一百一十九条第一款：责令改正，并可以处五百元以上二千元以下的罚款。</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eastAsia="仿宋_GB2312"/>
              </w:rPr>
              <w:t>1.对大气环境或者生产生活造成较大影响的，系数2-3；2.导致其它事故发生的，系数3。</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焚烧沥青（油毡、橡胶、塑料、皮革、垃圾）等产生有毒有害烟尘和恶臭气体的物质</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违反条款：第八十二条第一款；处罚条款：第一百一十九条第二款：责令改正，对单位处一万元以上十万元以下的罚款，对个人处五百元以上二千元以下的罚款。</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（对单位）</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eastAsia="仿宋_GB2312"/>
              </w:rPr>
              <w:t>1.对大气环境或者生产生活造成较大影响的，系数5-9；2.导致其它事故发生的，系数9。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03" w:type="dxa"/>
            <w:gridSpan w:val="2"/>
            <w:vMerge w:val="continue"/>
            <w:shd w:val="clear" w:color="auto" w:fill="auto"/>
            <w:noWrap/>
            <w:vAlign w:val="center"/>
          </w:tcPr>
          <w:p>
            <w:pPr>
              <w:widowControl/>
              <w:spacing w:line="240" w:lineRule="exac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（对个人）</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eastAsia="仿宋_GB2312"/>
              </w:rPr>
              <w:t>1.对大气环境或者生产生活造成较大影响的，系数2-3；2.导致其它事故发生的，系数3。</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违反规定露天烧烤食品</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违反条款：第八十一条第三款；处罚条款：第一百一十八条第三款：责令改正，没收烧烤工具和违法所得，并处五百元以上二万元以下的罚款。</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1.占用盲道或者机动车道、绿地的，系数为2；2.占用其它公共场地面积较大，或者造成通行秩序、市容环境秩序较为混乱的，系数为2。</w:t>
            </w:r>
          </w:p>
        </w:tc>
        <w:tc>
          <w:tcPr>
            <w:tcW w:w="1740" w:type="dxa"/>
            <w:gridSpan w:val="2"/>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p>
            <w:pPr>
              <w:spacing w:line="260" w:lineRule="exact"/>
              <w:rPr>
                <w:rFonts w:ascii="仿宋_GB2312" w:hAnsi="宋体" w:eastAsia="仿宋_GB2312" w:cs="宋体"/>
                <w:kern w:val="0"/>
                <w:szCs w:val="21"/>
              </w:rPr>
            </w:pPr>
          </w:p>
        </w:tc>
        <w:tc>
          <w:tcPr>
            <w:tcW w:w="2415" w:type="dxa"/>
            <w:gridSpan w:val="7"/>
            <w:shd w:val="clear" w:color="auto" w:fill="auto"/>
            <w:noWrap/>
            <w:vAlign w:val="center"/>
          </w:tcPr>
          <w:p>
            <w:pPr>
              <w:spacing w:line="260" w:lineRule="exact"/>
              <w:rPr>
                <w:rFonts w:ascii="仿宋_GB2312" w:eastAsia="仿宋_GB2312"/>
              </w:rPr>
            </w:pPr>
            <w:r>
              <w:rPr>
                <w:rFonts w:hint="eastAsia" w:ascii="仿宋_GB2312" w:eastAsia="仿宋_GB2312"/>
              </w:rPr>
              <w:t>对初次违法，存在生活困难，出具保证书，需酌情给予500以下罚款的，说明理由，报案审会决定，可按照“无照经营”等案由处理。</w:t>
            </w:r>
          </w:p>
          <w:p>
            <w:pPr>
              <w:spacing w:line="260" w:lineRule="exact"/>
              <w:rPr>
                <w:rFonts w:ascii="仿宋_GB2312" w:eastAsia="仿宋_GB2312"/>
              </w:rPr>
            </w:pPr>
            <w:r>
              <w:rPr>
                <w:rFonts w:hint="eastAsia" w:ascii="仿宋_GB2312" w:hAnsi="宋体" w:eastAsia="仿宋_GB2312" w:cs="宋体"/>
                <w:szCs w:val="21"/>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违反规定为露天烧烤食品提供场地</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违反条款：第八十一条第三款；处罚条款：第一百一十八条第三款：责令改正，没收烧烤工具和违法所得，并处五百元以上二万元以下的罚款。</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违法行为持续时间较长、占用场地规模较大、群众多次举报（3次以上，含3次），或者造成通行秩序、市容环境秩序较为混乱等情形之一的，系数为4。</w:t>
            </w:r>
          </w:p>
        </w:tc>
        <w:tc>
          <w:tcPr>
            <w:tcW w:w="1740" w:type="dxa"/>
            <w:gridSpan w:val="2"/>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260" w:lineRule="exact"/>
              <w:rPr>
                <w:rFonts w:ascii="仿宋_GB2312" w:hAnsi="宋体" w:eastAsia="仿宋_GB2312" w:cs="宋体"/>
                <w:kern w:val="0"/>
                <w:szCs w:val="21"/>
              </w:rPr>
            </w:pPr>
            <w:r>
              <w:rPr>
                <w:rFonts w:hint="eastAsia" w:ascii="仿宋_GB2312" w:eastAsia="仿宋_GB2312"/>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拒不执行停止工地土石方作业（建筑物拆除施工）等重污染天气应急措施</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违反条款：第九十六条第一款、第一百二十一条第二款；处罚条款：第一百二十一条第二款：处一万元以上十万元以下的罚款。</w:t>
            </w:r>
          </w:p>
          <w:p>
            <w:pPr>
              <w:spacing w:line="240" w:lineRule="exact"/>
              <w:rPr>
                <w:rFonts w:ascii="仿宋_GB2312" w:eastAsia="仿宋_GB2312"/>
              </w:rPr>
            </w:pP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rPr>
              <w:t>1.按照空气重污染预警级别，预警三级(黄)，系数3；预警二级(橙)，系数6；预警一级(红)，系数9；2.拒不停止土石方作业或者拆除施工作业，且未采取相关有效防尘措施污染严重的，系数9。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shd w:val="clear" w:color="auto" w:fill="auto"/>
            <w:noWrap/>
            <w:vAlign w:val="center"/>
          </w:tcPr>
          <w:p>
            <w:pPr>
              <w:spacing w:line="240" w:lineRule="exact"/>
              <w:rPr>
                <w:rFonts w:ascii="仿宋_GB2312" w:eastAsia="仿宋_GB2312"/>
              </w:rPr>
            </w:pPr>
            <w:r>
              <w:rPr>
                <w:rFonts w:hint="eastAsia" w:ascii="仿宋_GB2312" w:eastAsia="仿宋_GB2312"/>
              </w:rPr>
              <w:t>市政府的预警级别和应对措施请参照《北京市空气重污染应急预案（试行）》。</w:t>
            </w:r>
          </w:p>
          <w:p>
            <w:pPr>
              <w:spacing w:line="240" w:lineRule="exact"/>
              <w:rPr>
                <w:rFonts w:ascii="仿宋_GB2312" w:eastAsia="仿宋_GB2312"/>
              </w:rPr>
            </w:pPr>
            <w:r>
              <w:rPr>
                <w:rFonts w:hint="eastAsia" w:ascii="仿宋_GB2312" w:eastAsia="仿宋_GB2312"/>
              </w:rPr>
              <w:t>注意与《北京市大气污染防治条例》中“拒不执行空气重污染应急措施”的衔接运用。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拒不接受大气环境保护监督检查</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违反条款：第九十八条；处罚条款：第九十八条：责令改正，处二万元以上二十万元以下的罚款；构成违反治安管理行为的，由公安机关依法予以处罚。</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rPr>
              <w:t>1.经责令改正，仍拒不接受监督检查的，系数为4；2.空气重污染预警期间，拒不接受监督检查的，系数4；3.造成大气污染或者不良社会影响等较为严重情形之一的，系数为4-9。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shd w:val="clear" w:color="auto" w:fill="auto"/>
            <w:noWrap/>
            <w:vAlign w:val="center"/>
          </w:tcPr>
          <w:p>
            <w:pPr>
              <w:widowControl/>
              <w:spacing w:line="0" w:lineRule="atLeast"/>
              <w:rPr>
                <w:rFonts w:ascii="仿宋_GB2312" w:eastAsia="仿宋_GB2312"/>
                <w:szCs w:val="21"/>
              </w:rPr>
            </w:pPr>
            <w:r>
              <w:rPr>
                <w:rFonts w:hint="eastAsia" w:ascii="仿宋_GB2312" w:eastAsia="仿宋_GB2312"/>
                <w:szCs w:val="21"/>
              </w:rPr>
              <w:t>《基准》3.2.2“拒不配合”的情形，不纳入本案由情节系数。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spacing w:line="240" w:lineRule="exact"/>
              <w:rPr>
                <w:rFonts w:ascii="仿宋_GB2312" w:eastAsia="仿宋_GB2312"/>
              </w:rPr>
            </w:pPr>
            <w:r>
              <w:rPr>
                <w:rFonts w:hint="eastAsia" w:ascii="仿宋_GB2312" w:eastAsia="仿宋_GB2312"/>
              </w:rPr>
              <w:t>接受大气环境保护监督检查时弄虚作假</w:t>
            </w:r>
          </w:p>
        </w:tc>
        <w:tc>
          <w:tcPr>
            <w:tcW w:w="4318" w:type="dxa"/>
            <w:gridSpan w:val="8"/>
            <w:shd w:val="clear" w:color="auto" w:fill="auto"/>
            <w:vAlign w:val="center"/>
          </w:tcPr>
          <w:p>
            <w:pPr>
              <w:spacing w:line="240" w:lineRule="exact"/>
              <w:rPr>
                <w:rFonts w:ascii="仿宋_GB2312" w:eastAsia="仿宋_GB2312"/>
              </w:rPr>
            </w:pPr>
            <w:r>
              <w:rPr>
                <w:rFonts w:hint="eastAsia" w:ascii="仿宋_GB2312" w:eastAsia="仿宋_GB2312"/>
              </w:rPr>
              <w:t>违反条款：第二十九条、第九十八条；处罚条款：第九十八条：责令改正，处二万元以上二十万元以下的罚款；构成违反治安管理行为的，由公安机关依法予以处罚。</w:t>
            </w:r>
          </w:p>
        </w:tc>
        <w:tc>
          <w:tcPr>
            <w:tcW w:w="961" w:type="dxa"/>
            <w:gridSpan w:val="4"/>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20"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eastAsia="仿宋_GB2312"/>
              </w:rPr>
            </w:pPr>
            <w:r>
              <w:rPr>
                <w:rFonts w:hint="eastAsia" w:ascii="仿宋_GB2312" w:eastAsia="仿宋_GB2312"/>
              </w:rPr>
              <w:t>1.经责令改正，仍弄虚作假的，系数为4；2.空气重污染预警期间，弄虚作假的，系数4；3.造成大气污染或者不良社会影响等较为严重情形之一的，系数为4-9。</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shd w:val="clear" w:color="auto" w:fill="auto"/>
            <w:noWrap/>
            <w:vAlign w:val="center"/>
          </w:tcPr>
          <w:p>
            <w:pPr>
              <w:spacing w:line="240" w:lineRule="exact"/>
              <w:rPr>
                <w:rFonts w:ascii="仿宋_GB2312" w:eastAsia="仿宋_GB2312"/>
              </w:rPr>
            </w:pPr>
            <w:r>
              <w:rPr>
                <w:rFonts w:hint="eastAsia" w:ascii="仿宋_GB2312" w:eastAsia="仿宋_GB2312"/>
                <w:szCs w:val="21"/>
              </w:rPr>
              <w:t>《基准》3.2.2“虚假陈述”的情形，不纳入本案由情节系数。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458" w:type="dxa"/>
            <w:gridSpan w:val="34"/>
            <w:shd w:val="clear" w:color="auto" w:fill="auto"/>
            <w:noWrap/>
            <w:vAlign w:val="center"/>
          </w:tcPr>
          <w:p>
            <w:pPr>
              <w:pStyle w:val="3"/>
            </w:pPr>
            <w:bookmarkStart w:id="47" w:name="_Toc39911701"/>
            <w:r>
              <w:rPr>
                <w:rFonts w:hint="eastAsia"/>
              </w:rPr>
              <w:t>《北京市大气污染防治条例》（2018）《北京市禁止露天烧烤食品的规定》案由</w:t>
            </w:r>
            <w:r>
              <w:t>8</w:t>
            </w:r>
            <w:r>
              <w:rPr>
                <w:rFonts w:hint="eastAsia"/>
              </w:rPr>
              <w:t>项</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拒不执行空气重污染应急措施</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违反条款：第二十条第二款、第三款；处罚条款：第九十一条第一款：处一万元以上十万元以下罚款。</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1.按照空气重污染预警级别，预警三级(黄)，系数3；预警二级(橙)，系数6；预警一级(红)，系数9；2.拒不停止土石方作业或者拆除施工作业或者露天烧烤，且未采取相关有效防尘措施污染严重的，系数9。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10000×（1+区域系数+情节系数+变量系数）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2</w:t>
            </w:r>
          </w:p>
        </w:tc>
        <w:tc>
          <w:tcPr>
            <w:tcW w:w="2975" w:type="dxa"/>
            <w:gridSpan w:val="8"/>
            <w:shd w:val="clear" w:color="auto" w:fill="auto"/>
            <w:vAlign w:val="center"/>
          </w:tcPr>
          <w:p>
            <w:pPr>
              <w:rPr>
                <w:rFonts w:ascii="仿宋_GB2312" w:eastAsia="仿宋_GB2312"/>
                <w:szCs w:val="21"/>
              </w:rPr>
            </w:pPr>
            <w:r>
              <w:rPr>
                <w:rFonts w:hint="eastAsia" w:ascii="仿宋_GB2312" w:eastAsia="仿宋_GB2312"/>
                <w:szCs w:val="21"/>
              </w:rPr>
              <w:t>在居民住宅楼（或未配套设立专用烟道的商住综合楼，或商住综合楼与居住层相邻的商业楼层）新建（或改建、扩建）产生油烟（异味、废气）的餐饮服务（干洗、汽修等）项目</w:t>
            </w:r>
          </w:p>
        </w:tc>
        <w:tc>
          <w:tcPr>
            <w:tcW w:w="2544" w:type="dxa"/>
            <w:gridSpan w:val="2"/>
            <w:shd w:val="clear" w:color="auto" w:fill="auto"/>
            <w:vAlign w:val="center"/>
          </w:tcPr>
          <w:p>
            <w:pPr>
              <w:rPr>
                <w:rFonts w:ascii="仿宋_GB2312" w:eastAsia="仿宋_GB2312"/>
                <w:szCs w:val="21"/>
              </w:rPr>
            </w:pPr>
            <w:r>
              <w:rPr>
                <w:rFonts w:hint="eastAsia" w:ascii="仿宋_GB2312" w:eastAsia="仿宋_GB2312"/>
                <w:szCs w:val="21"/>
              </w:rPr>
              <w:t>违反条款：第五十九条第二款；处罚条款：第一百零八条第二款，责令改正；拒不改正的，予以关闭，并处一万元以上十万元以下罚款。</w:t>
            </w:r>
          </w:p>
        </w:tc>
        <w:tc>
          <w:tcPr>
            <w:tcW w:w="961" w:type="dxa"/>
            <w:gridSpan w:val="4"/>
            <w:shd w:val="clear" w:color="auto" w:fill="auto"/>
            <w:noWrap/>
            <w:vAlign w:val="center"/>
          </w:tcPr>
          <w:p>
            <w:pPr>
              <w:jc w:val="center"/>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产生较大环境污染或者社会影响的，系数为5-8；造成事故或者其它社会恶劣影响的，系数为9。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10000×（1+区域系数+情节系数+变量系数）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3</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露天焚烧秸秆（树叶、枯草）</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违反条款：第六十一条第一款；处罚条款：第一百一十条第一款：责令改正，可以处五百元以上二千元以下罚款。</w:t>
            </w:r>
          </w:p>
        </w:tc>
        <w:tc>
          <w:tcPr>
            <w:tcW w:w="961" w:type="dxa"/>
            <w:gridSpan w:val="4"/>
            <w:shd w:val="clear" w:color="auto" w:fill="auto"/>
            <w:noWrap/>
            <w:vAlign w:val="center"/>
          </w:tcPr>
          <w:p>
            <w:pPr>
              <w:jc w:val="center"/>
              <w:rPr>
                <w:rFonts w:ascii="仿宋_GB2312" w:eastAsia="仿宋_GB2312"/>
                <w:szCs w:val="21"/>
              </w:rPr>
            </w:pPr>
            <w:r>
              <w:rPr>
                <w:rFonts w:hint="eastAsia" w:ascii="仿宋_GB2312" w:eastAsia="仿宋_GB2312"/>
                <w:szCs w:val="21"/>
              </w:rPr>
              <w:t>500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eastAsia="仿宋_GB2312"/>
              </w:rPr>
              <w:t>1.对大气环境或者生产生活造成较大影响的，系数2-3；2.导致其它事故发生的，系数3。</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罚款数额＝500×（1＋区域系数＋情节系数＋变量系数）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jc w:val="center"/>
              <w:rPr>
                <w:rFonts w:ascii="仿宋_GB2312" w:eastAsia="仿宋_GB2312"/>
                <w:szCs w:val="21"/>
              </w:rPr>
            </w:pPr>
            <w:r>
              <w:rPr>
                <w:rFonts w:hint="eastAsia" w:ascii="仿宋_GB2312" w:eastAsia="仿宋_GB2312"/>
                <w:szCs w:val="21"/>
              </w:rPr>
              <w:t>4</w:t>
            </w:r>
          </w:p>
        </w:tc>
        <w:tc>
          <w:tcPr>
            <w:tcW w:w="1201" w:type="dxa"/>
            <w:gridSpan w:val="2"/>
            <w:vMerge w:val="restart"/>
            <w:shd w:val="clear" w:color="auto" w:fill="auto"/>
            <w:vAlign w:val="center"/>
          </w:tcPr>
          <w:p>
            <w:pPr>
              <w:rPr>
                <w:rFonts w:ascii="仿宋_GB2312" w:eastAsia="仿宋_GB2312"/>
                <w:szCs w:val="21"/>
              </w:rPr>
            </w:pPr>
            <w:r>
              <w:rPr>
                <w:rFonts w:hint="eastAsia" w:ascii="仿宋_GB2312" w:eastAsia="仿宋_GB2312"/>
                <w:szCs w:val="21"/>
              </w:rPr>
              <w:t>露天焚烧垃圾（电子废物、油毡、橡胶、塑料、皮革、沥青）</w:t>
            </w:r>
          </w:p>
        </w:tc>
        <w:tc>
          <w:tcPr>
            <w:tcW w:w="4318" w:type="dxa"/>
            <w:gridSpan w:val="8"/>
            <w:vMerge w:val="restart"/>
            <w:shd w:val="clear" w:color="auto" w:fill="auto"/>
            <w:vAlign w:val="center"/>
          </w:tcPr>
          <w:p>
            <w:pPr>
              <w:rPr>
                <w:rFonts w:ascii="仿宋_GB2312" w:eastAsia="仿宋_GB2312"/>
                <w:szCs w:val="21"/>
              </w:rPr>
            </w:pPr>
            <w:r>
              <w:rPr>
                <w:rFonts w:hint="eastAsia" w:ascii="仿宋_GB2312" w:eastAsia="仿宋_GB2312"/>
                <w:szCs w:val="21"/>
              </w:rPr>
              <w:t>违反条款：第六十一条第一款；处罚条款：第一百一十条第一款：责令改正，对单位处以一万元以上十万元以下罚款，对个人处五百元以上二千元以下罚款。</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10000</w:t>
            </w:r>
          </w:p>
          <w:p>
            <w:pPr>
              <w:rPr>
                <w:rFonts w:ascii="仿宋_GB2312" w:eastAsia="仿宋_GB2312"/>
                <w:szCs w:val="21"/>
              </w:rPr>
            </w:pPr>
            <w:r>
              <w:rPr>
                <w:rFonts w:hint="eastAsia" w:ascii="仿宋_GB2312" w:eastAsia="仿宋_GB2312"/>
                <w:szCs w:val="21"/>
              </w:rPr>
              <w:t>（对单位）</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jc w:val="left"/>
              <w:rPr>
                <w:rFonts w:ascii="仿宋_GB2312" w:eastAsia="仿宋_GB2312"/>
                <w:szCs w:val="21"/>
              </w:rPr>
            </w:pPr>
            <w:r>
              <w:rPr>
                <w:rFonts w:hint="eastAsia" w:ascii="仿宋_GB2312" w:eastAsia="仿宋_GB2312"/>
                <w:szCs w:val="21"/>
              </w:rPr>
              <w:t>1.对大气环境或者生产生活造成较大影响的，系数5-9；2.导致其它事故发生的，系数9。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10000×（1+区域系数+情节系数+变量系数）</w:t>
            </w:r>
          </w:p>
        </w:tc>
        <w:tc>
          <w:tcPr>
            <w:tcW w:w="2415" w:type="dxa"/>
            <w:gridSpan w:val="7"/>
            <w:vMerge w:val="restart"/>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jc w:val="center"/>
              <w:rPr>
                <w:rFonts w:ascii="仿宋_GB2312" w:eastAsia="仿宋_GB2312"/>
                <w:szCs w:val="21"/>
              </w:rPr>
            </w:pPr>
          </w:p>
        </w:tc>
        <w:tc>
          <w:tcPr>
            <w:tcW w:w="1201" w:type="dxa"/>
            <w:gridSpan w:val="2"/>
            <w:vMerge w:val="continue"/>
            <w:shd w:val="clear" w:color="auto" w:fill="auto"/>
            <w:vAlign w:val="center"/>
          </w:tcPr>
          <w:p>
            <w:pPr>
              <w:rPr>
                <w:rFonts w:ascii="仿宋_GB2312" w:eastAsia="仿宋_GB2312"/>
                <w:szCs w:val="21"/>
              </w:rPr>
            </w:pPr>
          </w:p>
        </w:tc>
        <w:tc>
          <w:tcPr>
            <w:tcW w:w="4318" w:type="dxa"/>
            <w:gridSpan w:val="8"/>
            <w:vMerge w:val="continue"/>
            <w:shd w:val="clear" w:color="auto" w:fill="auto"/>
            <w:vAlign w:val="center"/>
          </w:tcPr>
          <w:p>
            <w:pPr>
              <w:rPr>
                <w:rFonts w:ascii="仿宋_GB2312" w:eastAsia="仿宋_GB2312"/>
                <w:szCs w:val="21"/>
              </w:rPr>
            </w:pP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500</w:t>
            </w:r>
          </w:p>
          <w:p>
            <w:pPr>
              <w:rPr>
                <w:rFonts w:ascii="仿宋_GB2312" w:eastAsia="仿宋_GB2312"/>
                <w:szCs w:val="21"/>
              </w:rPr>
            </w:pPr>
            <w:r>
              <w:rPr>
                <w:rFonts w:hint="eastAsia" w:ascii="仿宋_GB2312" w:eastAsia="仿宋_GB2312"/>
                <w:szCs w:val="21"/>
              </w:rPr>
              <w:t>（对个人）</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1.对大气环境或者生产生活造成较大影响的，系数2-3；2.导致事故发生或者其它恶劣影响的，系数为3。</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500×（1+区域系数+情节系数+变量系数）</w:t>
            </w:r>
          </w:p>
        </w:tc>
        <w:tc>
          <w:tcPr>
            <w:tcW w:w="2415" w:type="dxa"/>
            <w:gridSpan w:val="7"/>
            <w:vMerge w:val="continue"/>
            <w:shd w:val="clear" w:color="auto" w:fill="auto"/>
            <w:noWrap/>
            <w:vAlign w:val="center"/>
          </w:tcPr>
          <w:p>
            <w:pPr>
              <w:widowControl/>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rPr>
              <w:t>违反规定露天烧烤食品</w:t>
            </w:r>
          </w:p>
        </w:tc>
        <w:tc>
          <w:tcPr>
            <w:tcW w:w="4318" w:type="dxa"/>
            <w:gridSpan w:val="8"/>
            <w:shd w:val="clear" w:color="auto" w:fill="auto"/>
            <w:vAlign w:val="center"/>
          </w:tcPr>
          <w:p>
            <w:pPr>
              <w:overflowPunct w:val="0"/>
              <w:adjustRightInd w:val="0"/>
              <w:snapToGrid w:val="0"/>
              <w:rPr>
                <w:rFonts w:eastAsia="仿宋_GB2312"/>
                <w:kern w:val="32"/>
                <w:szCs w:val="21"/>
              </w:rPr>
            </w:pPr>
            <w:r>
              <w:rPr>
                <w:rFonts w:hint="eastAsia" w:ascii="仿宋_GB2312" w:eastAsia="仿宋_GB2312"/>
                <w:szCs w:val="21"/>
              </w:rPr>
              <w:t>违反条款：第六十一条第二款；处罚条款：第一百一十条第二款：</w:t>
            </w:r>
            <w:r>
              <w:rPr>
                <w:rFonts w:hAnsi="仿宋_GB2312" w:eastAsia="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500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1.占用盲道或者机动车道、绿地的，系数为2；2.占用其它公共场地面积较大，或者造成通行秩序、市容环境秩序较为混乱的，系数为2。</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500×（1+区域系数+情节系数+变量系数）</w:t>
            </w:r>
          </w:p>
        </w:tc>
        <w:tc>
          <w:tcPr>
            <w:tcW w:w="2415" w:type="dxa"/>
            <w:gridSpan w:val="7"/>
            <w:shd w:val="clear" w:color="auto" w:fill="auto"/>
            <w:noWrap/>
            <w:vAlign w:val="center"/>
          </w:tcPr>
          <w:p>
            <w:pPr>
              <w:spacing w:line="260" w:lineRule="exact"/>
              <w:rPr>
                <w:rFonts w:ascii="仿宋_GB2312" w:eastAsia="仿宋_GB2312"/>
              </w:rPr>
            </w:pPr>
            <w:r>
              <w:rPr>
                <w:rFonts w:hint="eastAsia" w:ascii="仿宋_GB2312" w:eastAsia="仿宋_GB2312"/>
              </w:rPr>
              <w:t>对初次违法，存在生活困难，出具保证书，需酌情给予500以下罚款的，说明理由，报案审会决定，可按照“无照经营”等案由处理。</w:t>
            </w:r>
          </w:p>
          <w:p>
            <w:pPr>
              <w:spacing w:line="260" w:lineRule="exact"/>
              <w:rPr>
                <w:rFonts w:ascii="仿宋_GB2312" w:eastAsia="仿宋_GB2312"/>
              </w:rPr>
            </w:pPr>
            <w:r>
              <w:rPr>
                <w:rFonts w:hint="eastAsia" w:ascii="仿宋_GB2312" w:hAnsi="宋体" w:eastAsia="仿宋_GB2312" w:cs="宋体"/>
                <w:szCs w:val="21"/>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503" w:type="dxa"/>
            <w:gridSpan w:val="2"/>
            <w:shd w:val="clear" w:color="auto" w:fill="auto"/>
            <w:noWrap/>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为露天烧烤食品提供场地</w:t>
            </w:r>
          </w:p>
        </w:tc>
        <w:tc>
          <w:tcPr>
            <w:tcW w:w="4318" w:type="dxa"/>
            <w:gridSpan w:val="8"/>
            <w:shd w:val="clear" w:color="auto" w:fill="auto"/>
            <w:vAlign w:val="center"/>
          </w:tcPr>
          <w:p>
            <w:pPr>
              <w:overflowPunct w:val="0"/>
              <w:adjustRightInd w:val="0"/>
              <w:snapToGrid w:val="0"/>
              <w:rPr>
                <w:rFonts w:eastAsia="仿宋_GB2312"/>
                <w:kern w:val="32"/>
                <w:szCs w:val="21"/>
              </w:rPr>
            </w:pPr>
            <w:r>
              <w:rPr>
                <w:rFonts w:hint="eastAsia" w:ascii="仿宋_GB2312" w:eastAsia="仿宋_GB2312"/>
                <w:szCs w:val="21"/>
              </w:rPr>
              <w:t>违反条款：第六十一条第二款； 处罚条款：第一百一十条第二款：</w:t>
            </w:r>
            <w:r>
              <w:rPr>
                <w:rFonts w:hAnsi="仿宋_GB2312" w:eastAsia="仿宋_GB2312"/>
                <w:kern w:val="32"/>
                <w:szCs w:val="21"/>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961" w:type="dxa"/>
            <w:gridSpan w:val="4"/>
            <w:shd w:val="clear" w:color="auto" w:fill="auto"/>
            <w:noWrap/>
            <w:vAlign w:val="center"/>
          </w:tcPr>
          <w:p>
            <w:pPr>
              <w:widowControl/>
              <w:jc w:val="left"/>
              <w:rPr>
                <w:rFonts w:ascii="仿宋_GB2312" w:eastAsia="仿宋_GB2312"/>
                <w:szCs w:val="21"/>
              </w:rPr>
            </w:pPr>
            <w:r>
              <w:rPr>
                <w:rFonts w:hint="eastAsia" w:ascii="仿宋_GB2312" w:eastAsia="仿宋_GB2312"/>
                <w:szCs w:val="21"/>
              </w:rPr>
              <w:t>2000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违法行为持续时间较长、占用场地规模较大、群众多次举报（3次以上，含3次），或者造成通行秩序、市容环境秩序较为混乱等情形之一的，系数为4。</w:t>
            </w:r>
          </w:p>
        </w:tc>
        <w:tc>
          <w:tcPr>
            <w:tcW w:w="1740" w:type="dxa"/>
            <w:gridSpan w:val="2"/>
            <w:shd w:val="clear" w:color="auto" w:fill="auto"/>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罚款数额＝2000×（1＋区域系数＋情节系数＋变量系数）</w:t>
            </w:r>
          </w:p>
        </w:tc>
        <w:tc>
          <w:tcPr>
            <w:tcW w:w="2415" w:type="dxa"/>
            <w:gridSpan w:val="7"/>
            <w:shd w:val="clear" w:color="auto" w:fill="auto"/>
            <w:noWrap/>
            <w:vAlign w:val="center"/>
          </w:tcPr>
          <w:p>
            <w:pPr>
              <w:widowControl/>
              <w:spacing w:line="260" w:lineRule="exact"/>
              <w:rPr>
                <w:rFonts w:ascii="仿宋_GB2312" w:hAnsi="宋体" w:eastAsia="仿宋_GB2312" w:cs="宋体"/>
                <w:kern w:val="0"/>
                <w:szCs w:val="21"/>
              </w:rPr>
            </w:pPr>
            <w:r>
              <w:rPr>
                <w:rFonts w:hint="eastAsia" w:ascii="仿宋_GB2312" w:eastAsia="仿宋_GB2312"/>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503"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7</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运输散装、流体物料车辆不符合条件（未安装卫星定位系统、未密闭运输）</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违反条款：第八十三条；处罚条款：第一百二十一条：责令改正，处二千元以上二万以下罚款；拒不改正的，车辆不得上道路行驶。</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2000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车辆同时存在不符合条件、未安装卫星定位系统、未密闭等2种以上（含2种）行为的，系数4；，同时存在无准运证运输等行为的，系数4-9。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2000×（1+区域系数+情节系数+变量系数）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p>
            <w:pPr>
              <w:rPr>
                <w:rFonts w:ascii="仿宋_GB2312" w:eastAsia="仿宋_GB2312"/>
                <w:szCs w:val="21"/>
              </w:rPr>
            </w:pPr>
          </w:p>
          <w:p>
            <w:pPr>
              <w:rPr>
                <w:rFonts w:ascii="仿宋_GB2312" w:eastAsia="仿宋_GB2312"/>
                <w:szCs w:val="21"/>
              </w:rPr>
            </w:pPr>
            <w:r>
              <w:rPr>
                <w:rFonts w:hint="eastAsia" w:ascii="仿宋_GB2312" w:eastAsia="仿宋_GB2312"/>
                <w:szCs w:val="21"/>
              </w:rPr>
              <w:t>造成车辆泄漏遗撒的，按照案由“运输车辆泄漏遗撒”从重处罚。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8</w:t>
            </w:r>
          </w:p>
          <w:p>
            <w:pPr>
              <w:jc w:val="center"/>
              <w:rPr>
                <w:rFonts w:ascii="仿宋_GB2312" w:eastAsia="仿宋_GB2312"/>
                <w:szCs w:val="21"/>
              </w:rPr>
            </w:pP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建筑垃圾资源化处置场（渣土消纳场、燃煤电厂贮灰场、垃圾填埋场）未实施分区作业或者未采取措施防治扬尘污染</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违反条款：第八十四条；处罚条款：第一百二十二条，责令限期改正，处一万元以上十万元以下罚款；拒不改正的，责令停工整治或者停业整治。</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p>
            <w:pPr>
              <w:rPr>
                <w:rFonts w:ascii="仿宋_GB2312" w:eastAsia="仿宋_GB2312"/>
                <w:szCs w:val="21"/>
              </w:rPr>
            </w:pPr>
          </w:p>
        </w:tc>
        <w:tc>
          <w:tcPr>
            <w:tcW w:w="3600" w:type="dxa"/>
            <w:gridSpan w:val="7"/>
            <w:shd w:val="clear" w:color="auto" w:fill="auto"/>
            <w:vAlign w:val="center"/>
          </w:tcPr>
          <w:p>
            <w:pPr>
              <w:widowControl/>
              <w:jc w:val="left"/>
              <w:rPr>
                <w:rFonts w:ascii="仿宋_GB2312" w:eastAsia="仿宋_GB2312"/>
                <w:szCs w:val="21"/>
              </w:rPr>
            </w:pPr>
            <w:r>
              <w:rPr>
                <w:rFonts w:hint="eastAsia" w:ascii="仿宋_GB2312" w:eastAsia="仿宋_GB2312"/>
                <w:szCs w:val="21"/>
              </w:rPr>
              <w:t>产生较大环境污染或者社会影响的，系数为5-8；造成社会恶劣影响或者其它严重后果的，系数为9。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eastAsia="仿宋_GB2312"/>
                <w:szCs w:val="21"/>
              </w:rPr>
              <w:t>10000×（1+区域系数+情节系数+变量系数）</w:t>
            </w:r>
          </w:p>
          <w:p>
            <w:pPr>
              <w:rPr>
                <w:rFonts w:ascii="仿宋_GB2312" w:eastAsia="仿宋_GB2312"/>
                <w:szCs w:val="21"/>
              </w:rPr>
            </w:pP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458" w:type="dxa"/>
            <w:gridSpan w:val="34"/>
            <w:shd w:val="clear" w:color="auto" w:fill="auto"/>
            <w:noWrap/>
            <w:vAlign w:val="center"/>
          </w:tcPr>
          <w:p>
            <w:pPr>
              <w:pStyle w:val="3"/>
            </w:pPr>
            <w:bookmarkStart w:id="48" w:name="_Toc39911702"/>
            <w:r>
              <w:rPr>
                <w:rFonts w:hint="eastAsia"/>
              </w:rPr>
              <w:t>《北京市环境噪声污染防治办法》案由5项</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未制定施工现场噪声污染防治管理制度</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违反条款：第十六条；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处罚条款：第三十八条 责令改正，并可处1万元以上3万元以下罚款。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工程面积较大、开工时间较长，工地位置处于人口集中地区，或者造成其它社会恶劣影响等情形，系数1。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1项职权，拆分案由2项。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未把产生噪声的设备、设施布置在远离居住区一侧</w:t>
            </w:r>
          </w:p>
        </w:tc>
        <w:tc>
          <w:tcPr>
            <w:tcW w:w="4318" w:type="dxa"/>
            <w:gridSpan w:val="8"/>
            <w:vMerge w:val="continue"/>
            <w:shd w:val="clear" w:color="auto" w:fill="auto"/>
            <w:vAlign w:val="center"/>
          </w:tcPr>
          <w:p>
            <w:pPr>
              <w:widowControl/>
              <w:spacing w:line="0" w:lineRule="atLeast"/>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工地位置处于人口集中地区，噪声较大或者持续时间较长，或者造成其它社会恶劣影响等情形，系数为1。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特殊时段在噪声敏感建筑物集中区域内从事产生噪声的施工作业</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违反条款：第十七条；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处罚条款：第三十九条 责令停止违法行为，并处1万元以上3万元以下罚款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1.噪声较大或者持续时间较长，或者造成其它社会恶劣影响等情形，系数为1；2.在中（高）考考场周边的，系数2。</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进行夜间施工作业未公告相关内容</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违反条款：第十九条；</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处罚条款：第四十一条 责令改正，并处1000元以上5000元以下罚款。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未公告进行夜施时间较长，公告内容不齐全，或者造成其它社会恶劣影响等情形，系数1。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未经批准夜间施工</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违反条款：第十八条第二款；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处罚条款：第四十条 责令停止违法行为，并处1万元以上3万元以下罚款。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施工噪声较大或者持续时间较长，或者造成其它社会恶劣影响等情形，系数为1。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58" w:type="dxa"/>
            <w:gridSpan w:val="34"/>
            <w:shd w:val="clear" w:color="auto" w:fill="auto"/>
            <w:noWrap/>
            <w:vAlign w:val="center"/>
          </w:tcPr>
          <w:p>
            <w:pPr>
              <w:pStyle w:val="3"/>
            </w:pPr>
            <w:bookmarkStart w:id="49" w:name="_Toc39911703"/>
            <w:r>
              <w:rPr>
                <w:rFonts w:hint="eastAsia"/>
              </w:rPr>
              <w:t>《北京市限制销售、使用塑料袋和一次性塑料餐具管理办法》案由1项</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（在铁路车站、长途汽车站、机场、首都文明景区、点和宾馆饭店）销售、使用一次性发泡塑料餐具</w:t>
            </w:r>
          </w:p>
        </w:tc>
        <w:tc>
          <w:tcPr>
            <w:tcW w:w="4318" w:type="dxa"/>
            <w:gridSpan w:val="8"/>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违反条款：第五条第二款；</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处罚条款：第七条第（三）项 处50元以上500元以下罚款；情节严重的，处500元以上5000元以下罚款。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1.核实使用数量超过50个，每增加10个，系数增加1；2.造成周边环境较为脏乱的，系数5。</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使用数量100个以下的，视为一般情节。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 w:val="24"/>
              </w:rPr>
            </w:pPr>
          </w:p>
        </w:tc>
        <w:tc>
          <w:tcPr>
            <w:tcW w:w="1201" w:type="dxa"/>
            <w:gridSpan w:val="2"/>
            <w:vMerge w:val="continue"/>
            <w:shd w:val="clear" w:color="auto" w:fill="auto"/>
            <w:vAlign w:val="center"/>
          </w:tcPr>
          <w:p>
            <w:pPr>
              <w:widowControl/>
              <w:spacing w:line="0" w:lineRule="atLeast"/>
              <w:rPr>
                <w:rFonts w:ascii="仿宋_GB2312" w:eastAsia="仿宋_GB2312"/>
                <w:sz w:val="24"/>
              </w:rPr>
            </w:pPr>
          </w:p>
        </w:tc>
        <w:tc>
          <w:tcPr>
            <w:tcW w:w="4318" w:type="dxa"/>
            <w:gridSpan w:val="8"/>
            <w:vMerge w:val="continue"/>
            <w:shd w:val="clear" w:color="auto" w:fill="auto"/>
            <w:vAlign w:val="center"/>
          </w:tcPr>
          <w:p>
            <w:pPr>
              <w:widowControl/>
              <w:spacing w:line="0" w:lineRule="atLeast"/>
              <w:jc w:val="center"/>
              <w:rPr>
                <w:rFonts w:ascii="仿宋_GB2312" w:hAnsi="宋体" w:eastAsia="仿宋_GB2312" w:cs="宋体"/>
                <w:kern w:val="0"/>
                <w:szCs w:val="21"/>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1.核实在售数量超过1000个，每增加100个，系数增加1；2.核实使用数量超过100个，每增加50个，系数增加1；3.造成周边环境较为脏乱的，系数5；4.造成相关事故的，系数为9。</w:t>
            </w:r>
          </w:p>
        </w:tc>
        <w:tc>
          <w:tcPr>
            <w:tcW w:w="1740" w:type="dxa"/>
            <w:gridSpan w:val="2"/>
            <w:shd w:val="clear" w:color="auto" w:fill="auto"/>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罚款数额＝500×（1＋情节系数＋变量系数）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销售一次性发泡塑料餐具，或者使用数量较大（100个以上）的，视为情节严重。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2"/>
              <w:rPr>
                <w:rFonts w:ascii="仿宋_GB2312" w:eastAsia="仿宋_GB2312"/>
                <w:sz w:val="32"/>
                <w:szCs w:val="32"/>
              </w:rPr>
            </w:pPr>
            <w:bookmarkStart w:id="50" w:name="_Toc39911704"/>
            <w:r>
              <w:rPr>
                <w:rFonts w:hint="eastAsia"/>
              </w:rPr>
              <w:t>施工现场管理方面31项</w:t>
            </w:r>
            <w:bookmarkEnd w:id="50"/>
            <w:bookmarkStart w:id="51" w:name="6757578-6972179-2_1"/>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3"/>
            </w:pPr>
            <w:bookmarkStart w:id="52" w:name="_Toc39911705"/>
            <w:r>
              <w:rPr>
                <w:rFonts w:hint="eastAsia"/>
              </w:rPr>
              <w:t>《北京市大气污染防治条例》施工现场执法案由16项</w:t>
            </w:r>
            <w:bookmarkEnd w:id="52"/>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3" w:type="dxa"/>
            <w:gridSpan w:val="2"/>
            <w:shd w:val="clear" w:color="auto" w:fill="auto"/>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建设单位未按标准设置围挡</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违反条款：第八十一条第一款第（一）项</w:t>
            </w:r>
          </w:p>
          <w:p>
            <w:pPr>
              <w:rPr>
                <w:rFonts w:ascii="仿宋_GB2312" w:eastAsia="仿宋_GB2312"/>
                <w:szCs w:val="21"/>
              </w:rPr>
            </w:pPr>
            <w:r>
              <w:rPr>
                <w:rFonts w:hint="eastAsia" w:ascii="仿宋_GB2312" w:eastAsia="仿宋_GB2312"/>
                <w:szCs w:val="21"/>
              </w:rPr>
              <w:t>处罚条款：第一百一十九条：责令限期改正，处一万元以上十万元以下罚款；拒不改正的，责令停工整治</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1.未按标准设置围挡长度16-30米的，系数1；31-45米的，系数2，以此类推；2.期间发生危害公共安全行为的，系数9。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施工单位未对围挡进行维护</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违反条款：第八十一条第一款第（一）项</w:t>
            </w:r>
          </w:p>
          <w:p>
            <w:pPr>
              <w:widowControl/>
              <w:jc w:val="left"/>
              <w:rPr>
                <w:rFonts w:ascii="仿宋_GB2312" w:eastAsia="仿宋_GB2312"/>
                <w:szCs w:val="21"/>
              </w:rPr>
            </w:pPr>
            <w:r>
              <w:rPr>
                <w:rFonts w:hint="eastAsia" w:ascii="仿宋_GB2312" w:eastAsia="仿宋_GB2312"/>
                <w:szCs w:val="21"/>
              </w:rPr>
              <w:t>处罚条款：第一百一十九条：责令限期改正，处一万元以上十万元以下罚款；拒不改正的，责令停工整治</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1.未按规定管护围挡长度16-30米的，系数1；31-45米的，系数2，以此类推。2.期间发生危害公共安全行为的，系数9。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施工单位未在施工现场出入口公示相关信息</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定性条款：第八十一条第一款第（二）项；处罚条款：第一百一十九条：责令限期改正，处一万元以上十万元以下罚款；拒不改正的，责令停工整治</w:t>
            </w:r>
          </w:p>
        </w:tc>
        <w:tc>
          <w:tcPr>
            <w:tcW w:w="961" w:type="dxa"/>
            <w:gridSpan w:val="4"/>
            <w:shd w:val="clear" w:color="auto" w:fill="auto"/>
            <w:noWrap/>
            <w:vAlign w:val="center"/>
          </w:tcPr>
          <w:p>
            <w:pPr>
              <w:rPr>
                <w:rFonts w:ascii="仿宋_GB2312" w:eastAsia="仿宋_GB2312"/>
                <w:szCs w:val="21"/>
              </w:rPr>
            </w:pPr>
            <w:r>
              <w:rPr>
                <w:rFonts w:hint="eastAsia" w:ascii="仿宋_GB2312" w:eastAsia="仿宋_GB2312"/>
                <w:szCs w:val="21"/>
              </w:rPr>
              <w:t>20000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jc w:val="left"/>
              <w:rPr>
                <w:rFonts w:ascii="仿宋_GB2312" w:eastAsia="仿宋_GB2312"/>
                <w:szCs w:val="21"/>
              </w:rPr>
            </w:pPr>
            <w:r>
              <w:rPr>
                <w:rFonts w:hint="eastAsia" w:ascii="仿宋_GB2312" w:eastAsia="仿宋_GB2312"/>
                <w:szCs w:val="21"/>
              </w:rPr>
              <w:t>按照《基准》规定</w:t>
            </w:r>
            <w:r>
              <w:rPr>
                <w:rFonts w:ascii="仿宋_GB2312" w:eastAsia="仿宋_GB2312"/>
                <w:szCs w:val="21"/>
              </w:rPr>
              <w:t>执行</w:t>
            </w:r>
          </w:p>
        </w:tc>
        <w:tc>
          <w:tcPr>
            <w:tcW w:w="1740" w:type="dxa"/>
            <w:gridSpan w:val="2"/>
            <w:shd w:val="clear" w:color="auto" w:fill="auto"/>
            <w:vAlign w:val="center"/>
          </w:tcPr>
          <w:p>
            <w:pPr>
              <w:widowControl/>
              <w:jc w:val="left"/>
              <w:rPr>
                <w:rFonts w:ascii="仿宋_GB2312" w:eastAsia="仿宋_GB2312"/>
                <w:szCs w:val="21"/>
              </w:rPr>
            </w:pPr>
            <w:r>
              <w:rPr>
                <w:rFonts w:hint="eastAsia" w:ascii="仿宋_GB2312" w:eastAsia="仿宋_GB2312"/>
                <w:szCs w:val="21"/>
              </w:rPr>
              <w:t>罚款数额＝20000×（1+区域系数+情节系数）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eastAsia="仿宋_GB2312"/>
              </w:rPr>
            </w:pPr>
            <w:r>
              <w:rPr>
                <w:rFonts w:hint="eastAsia" w:ascii="仿宋_GB2312" w:eastAsia="仿宋_GB2312"/>
              </w:rPr>
              <w:t>未对施工现场内主要道路和物料堆放场地进行硬化</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违反条款：第八十一条第一款第（三）项</w:t>
            </w:r>
          </w:p>
          <w:p>
            <w:pPr>
              <w:rPr>
                <w:rFonts w:ascii="仿宋_GB2312" w:eastAsia="仿宋_GB2312"/>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未硬化、覆盖或者绿化面积10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eastAsia="仿宋_GB2312"/>
              </w:rPr>
            </w:pPr>
            <w:r>
              <w:rPr>
                <w:rFonts w:hint="eastAsia" w:ascii="仿宋_GB2312" w:eastAsia="仿宋_GB2312"/>
              </w:rPr>
              <w:t>未对施工现场内除主要道路和物料堆放场地外其它场地进行覆盖或者临时绿化</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违反条款：第八十一条第一款第（三）项</w:t>
            </w:r>
          </w:p>
          <w:p>
            <w:pPr>
              <w:rPr>
                <w:rFonts w:ascii="仿宋_GB2312" w:eastAsia="仿宋_GB2312"/>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 xml:space="preserve">1.其它场地指除主要道路和和物料堆放场地以外的场地。2.可根据实际情况选择《大气污染防治法》规定的“施工工地未采取有效防尘降尘措施”等案由和裁量，或者此案由。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eastAsia="仿宋_GB2312"/>
              </w:rPr>
            </w:pPr>
            <w:r>
              <w:rPr>
                <w:rFonts w:hint="eastAsia" w:ascii="仿宋_GB2312" w:eastAsia="仿宋_GB2312"/>
              </w:rPr>
              <w:t>施工现场</w:t>
            </w:r>
            <w:r>
              <w:rPr>
                <w:rFonts w:ascii="仿宋_GB2312" w:eastAsia="仿宋_GB2312"/>
              </w:rPr>
              <w:t>土方</w:t>
            </w:r>
            <w:r>
              <w:rPr>
                <w:rFonts w:hint="eastAsia" w:ascii="仿宋_GB2312" w:eastAsia="仿宋_GB2312"/>
              </w:rPr>
              <w:t>未</w:t>
            </w:r>
            <w:r>
              <w:rPr>
                <w:rFonts w:ascii="仿宋_GB2312" w:eastAsia="仿宋_GB2312"/>
              </w:rPr>
              <w:t>集中堆放</w:t>
            </w:r>
            <w:r>
              <w:rPr>
                <w:rFonts w:hint="eastAsia" w:ascii="仿宋_GB2312" w:eastAsia="仿宋_GB2312"/>
              </w:rPr>
              <w:t>或者未</w:t>
            </w:r>
            <w:r>
              <w:rPr>
                <w:rFonts w:ascii="仿宋_GB2312" w:eastAsia="仿宋_GB2312"/>
              </w:rPr>
              <w:t>采取覆盖</w:t>
            </w:r>
            <w:r>
              <w:rPr>
                <w:rFonts w:hint="eastAsia" w:ascii="仿宋_GB2312" w:eastAsia="仿宋_GB2312"/>
              </w:rPr>
              <w:t>、</w:t>
            </w:r>
            <w:r>
              <w:rPr>
                <w:rFonts w:ascii="仿宋_GB2312" w:eastAsia="仿宋_GB2312"/>
              </w:rPr>
              <w:t>固化措施</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违反条款：第八十一条第一款第（三）项</w:t>
            </w:r>
          </w:p>
          <w:p>
            <w:pPr>
              <w:rPr>
                <w:rFonts w:ascii="黑体" w:hAnsi="黑体" w:eastAsia="黑体"/>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可视实际情况，选择《大气污染防治法》规定的“未采用密闭式防尘网遮盖建筑土方（工程渣土、建筑垃圾）”案由和裁量或者此案由。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大风天气未停止可能产生扬尘污染的施工作业</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违反条款：第八十一条第一款第（四）项</w:t>
            </w:r>
          </w:p>
          <w:p>
            <w:pPr>
              <w:rPr>
                <w:rFonts w:ascii="仿宋_GB2312" w:eastAsia="仿宋_GB2312"/>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40" w:lineRule="exact"/>
              <w:rPr>
                <w:rFonts w:ascii="仿宋_GB2312" w:eastAsia="仿宋_GB2312"/>
                <w:szCs w:val="21"/>
              </w:rPr>
            </w:pPr>
            <w:r>
              <w:rPr>
                <w:rFonts w:ascii="仿宋_GB2312" w:eastAsia="仿宋_GB2312"/>
                <w:szCs w:val="21"/>
              </w:rPr>
              <w:t>1.6</w:t>
            </w:r>
            <w:r>
              <w:rPr>
                <w:rFonts w:hint="eastAsia" w:ascii="仿宋_GB2312" w:eastAsia="仿宋_GB2312"/>
                <w:szCs w:val="21"/>
              </w:rPr>
              <w:t>级及</w:t>
            </w:r>
            <w:r>
              <w:rPr>
                <w:rFonts w:ascii="仿宋_GB2312" w:eastAsia="仿宋_GB2312"/>
                <w:szCs w:val="21"/>
              </w:rPr>
              <w:t>6</w:t>
            </w:r>
            <w:r>
              <w:rPr>
                <w:rFonts w:hint="eastAsia" w:ascii="仿宋_GB2312" w:eastAsia="仿宋_GB2312"/>
                <w:szCs w:val="21"/>
              </w:rPr>
              <w:t>级以上大风未停止可能产生扬尘污染的施工作业的，系数</w:t>
            </w:r>
            <w:r>
              <w:rPr>
                <w:rFonts w:ascii="仿宋_GB2312" w:eastAsia="仿宋_GB2312"/>
                <w:szCs w:val="21"/>
              </w:rPr>
              <w:t>5-8</w:t>
            </w:r>
            <w:r>
              <w:rPr>
                <w:rFonts w:hint="eastAsia" w:ascii="仿宋_GB2312" w:eastAsia="仿宋_GB2312"/>
                <w:szCs w:val="21"/>
              </w:rPr>
              <w:t>。2.造成尘土飞扬，严重污染环境的，系数为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spacing w:line="340" w:lineRule="exact"/>
              <w:rPr>
                <w:rFonts w:ascii="仿宋_GB2312" w:eastAsia="仿宋_GB2312"/>
                <w:szCs w:val="21"/>
              </w:rPr>
            </w:pPr>
            <w:r>
              <w:rPr>
                <w:rFonts w:hint="eastAsia" w:ascii="仿宋_GB2312" w:eastAsia="仿宋_GB2312"/>
                <w:szCs w:val="21"/>
              </w:rPr>
              <w:t>罚款数额＝</w:t>
            </w:r>
            <w:r>
              <w:rPr>
                <w:rFonts w:ascii="仿宋_GB2312" w:eastAsia="仿宋_GB2312"/>
                <w:szCs w:val="21"/>
              </w:rPr>
              <w:t>10</w:t>
            </w:r>
            <w:r>
              <w:rPr>
                <w:rFonts w:hint="eastAsia" w:ascii="仿宋_GB2312" w:eastAsia="仿宋_GB2312"/>
                <w:szCs w:val="21"/>
              </w:rPr>
              <w:t>000×（1+区域系数+情节系数+变量系数）</w:t>
            </w:r>
          </w:p>
        </w:tc>
        <w:tc>
          <w:tcPr>
            <w:tcW w:w="2415" w:type="dxa"/>
            <w:gridSpan w:val="7"/>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施工现场出口处未设置冲洗车辆设施</w:t>
            </w:r>
          </w:p>
        </w:tc>
        <w:tc>
          <w:tcPr>
            <w:tcW w:w="4318" w:type="dxa"/>
            <w:gridSpan w:val="8"/>
            <w:shd w:val="clear" w:color="auto" w:fill="auto"/>
            <w:vAlign w:val="center"/>
          </w:tcPr>
          <w:p>
            <w:pPr>
              <w:spacing w:line="340" w:lineRule="exact"/>
              <w:rPr>
                <w:rFonts w:ascii="仿宋_GB2312" w:eastAsia="仿宋_GB2312"/>
                <w:szCs w:val="21"/>
              </w:rPr>
            </w:pPr>
            <w:r>
              <w:rPr>
                <w:rFonts w:hint="eastAsia" w:ascii="仿宋_GB2312" w:eastAsia="仿宋_GB2312"/>
                <w:szCs w:val="21"/>
              </w:rPr>
              <w:t>违反条款：第八十一条第一款第（五）项</w:t>
            </w:r>
          </w:p>
          <w:p>
            <w:pPr>
              <w:rPr>
                <w:rFonts w:ascii="仿宋_GB2312" w:eastAsia="仿宋_GB2312"/>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360" w:lineRule="exact"/>
              <w:rPr>
                <w:rFonts w:ascii="仿宋_GB2312" w:eastAsia="仿宋_GB2312"/>
                <w:szCs w:val="21"/>
              </w:rPr>
            </w:pPr>
            <w:r>
              <w:rPr>
                <w:rFonts w:hint="eastAsia" w:ascii="仿宋_GB2312" w:eastAsia="仿宋_GB2312"/>
                <w:szCs w:val="21"/>
              </w:rPr>
              <w:t>20000</w:t>
            </w:r>
          </w:p>
        </w:tc>
        <w:tc>
          <w:tcPr>
            <w:tcW w:w="720" w:type="dxa"/>
            <w:gridSpan w:val="2"/>
            <w:shd w:val="clear" w:color="auto" w:fill="auto"/>
            <w:noWrap/>
            <w:vAlign w:val="center"/>
          </w:tcPr>
          <w:p>
            <w:pPr>
              <w:spacing w:line="36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360" w:lineRule="exact"/>
              <w:rPr>
                <w:rFonts w:ascii="仿宋_GB2312" w:eastAsia="仿宋_GB2312"/>
                <w:szCs w:val="21"/>
              </w:rPr>
            </w:pPr>
            <w:r>
              <w:rPr>
                <w:rFonts w:hint="eastAsia" w:ascii="仿宋_GB2312" w:eastAsia="仿宋_GB2312"/>
                <w:szCs w:val="21"/>
              </w:rPr>
              <w:t>按照《基准》规定</w:t>
            </w:r>
            <w:r>
              <w:rPr>
                <w:rFonts w:ascii="仿宋_GB2312" w:eastAsia="仿宋_GB2312"/>
                <w:szCs w:val="21"/>
              </w:rPr>
              <w:t>执行</w:t>
            </w:r>
          </w:p>
        </w:tc>
        <w:tc>
          <w:tcPr>
            <w:tcW w:w="1740" w:type="dxa"/>
            <w:gridSpan w:val="2"/>
            <w:shd w:val="clear" w:color="auto" w:fill="auto"/>
            <w:vAlign w:val="center"/>
          </w:tcPr>
          <w:p>
            <w:pPr>
              <w:spacing w:line="360" w:lineRule="exact"/>
              <w:rPr>
                <w:rFonts w:ascii="仿宋_GB2312" w:eastAsia="仿宋_GB2312"/>
                <w:szCs w:val="21"/>
              </w:rPr>
            </w:pPr>
            <w:r>
              <w:rPr>
                <w:rFonts w:hint="eastAsia" w:ascii="仿宋_GB2312" w:eastAsia="仿宋_GB2312"/>
                <w:szCs w:val="21"/>
              </w:rPr>
              <w:t>罚款数额＝20000×（1+区域系数+情节系数）</w:t>
            </w:r>
          </w:p>
        </w:tc>
        <w:tc>
          <w:tcPr>
            <w:tcW w:w="2415" w:type="dxa"/>
            <w:gridSpan w:val="7"/>
            <w:shd w:val="clear" w:color="auto" w:fill="auto"/>
            <w:noWrap/>
            <w:vAlign w:val="center"/>
          </w:tcPr>
          <w:p>
            <w:pPr>
              <w:spacing w:line="36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施工现场未按规定安装视频监控系统</w:t>
            </w:r>
          </w:p>
        </w:tc>
        <w:tc>
          <w:tcPr>
            <w:tcW w:w="4318" w:type="dxa"/>
            <w:gridSpan w:val="8"/>
            <w:shd w:val="clear" w:color="auto" w:fill="auto"/>
            <w:vAlign w:val="center"/>
          </w:tcPr>
          <w:p>
            <w:pPr>
              <w:spacing w:line="340" w:lineRule="exact"/>
              <w:rPr>
                <w:rFonts w:ascii="仿宋_GB2312" w:eastAsia="仿宋_GB2312"/>
                <w:szCs w:val="21"/>
              </w:rPr>
            </w:pPr>
            <w:r>
              <w:rPr>
                <w:rFonts w:hint="eastAsia" w:ascii="仿宋_GB2312" w:eastAsia="仿宋_GB2312"/>
                <w:szCs w:val="21"/>
              </w:rPr>
              <w:t>违反条款：第八十一条第一款第（五）项</w:t>
            </w:r>
          </w:p>
          <w:p>
            <w:pPr>
              <w:rPr>
                <w:rFonts w:ascii="仿宋_GB2312" w:hAnsi="宋体" w:eastAsia="仿宋_GB2312" w:cs="宋体"/>
                <w:sz w:val="24"/>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tcPr>
          <w:p>
            <w:pPr>
              <w:spacing w:line="340" w:lineRule="exact"/>
              <w:rPr>
                <w:rFonts w:ascii="仿宋_GB2312" w:eastAsia="仿宋_GB2312"/>
                <w:szCs w:val="21"/>
              </w:rPr>
            </w:pPr>
            <w:r>
              <w:rPr>
                <w:rFonts w:hint="eastAsia" w:ascii="仿宋_GB2312" w:eastAsia="仿宋_GB2312"/>
                <w:szCs w:val="21"/>
              </w:rPr>
              <w:t>20000</w:t>
            </w:r>
          </w:p>
        </w:tc>
        <w:tc>
          <w:tcPr>
            <w:tcW w:w="720" w:type="dxa"/>
            <w:gridSpan w:val="2"/>
            <w:shd w:val="clear" w:color="auto" w:fill="auto"/>
            <w:noWrap/>
          </w:tcPr>
          <w:p>
            <w:pPr>
              <w:spacing w:line="3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tcPr>
          <w:p>
            <w:pPr>
              <w:spacing w:line="340" w:lineRule="exact"/>
              <w:rPr>
                <w:rFonts w:ascii="仿宋_GB2312" w:eastAsia="仿宋_GB2312"/>
                <w:szCs w:val="21"/>
              </w:rPr>
            </w:pPr>
            <w:r>
              <w:rPr>
                <w:rFonts w:hint="eastAsia" w:ascii="仿宋_GB2312" w:eastAsia="仿宋_GB2312"/>
                <w:szCs w:val="21"/>
              </w:rPr>
              <w:t>按照《基准》规定</w:t>
            </w:r>
            <w:r>
              <w:rPr>
                <w:rFonts w:ascii="仿宋_GB2312" w:eastAsia="仿宋_GB2312"/>
                <w:szCs w:val="21"/>
              </w:rPr>
              <w:t>执行</w:t>
            </w:r>
          </w:p>
        </w:tc>
        <w:tc>
          <w:tcPr>
            <w:tcW w:w="1740" w:type="dxa"/>
            <w:gridSpan w:val="2"/>
            <w:shd w:val="clear" w:color="auto" w:fill="auto"/>
            <w:vAlign w:val="center"/>
          </w:tcPr>
          <w:p>
            <w:pPr>
              <w:spacing w:line="340" w:lineRule="exact"/>
              <w:rPr>
                <w:rFonts w:ascii="仿宋_GB2312" w:eastAsia="仿宋_GB2312"/>
                <w:szCs w:val="21"/>
              </w:rPr>
            </w:pPr>
            <w:r>
              <w:rPr>
                <w:rFonts w:hint="eastAsia" w:ascii="仿宋_GB2312" w:eastAsia="仿宋_GB2312"/>
                <w:szCs w:val="21"/>
              </w:rPr>
              <w:t>罚款数额＝20000×（1+区域系数+情节系数）</w:t>
            </w:r>
          </w:p>
        </w:tc>
        <w:tc>
          <w:tcPr>
            <w:tcW w:w="2415" w:type="dxa"/>
            <w:gridSpan w:val="7"/>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施工车辆未经除泥、冲洗驶出工地</w:t>
            </w:r>
          </w:p>
        </w:tc>
        <w:tc>
          <w:tcPr>
            <w:tcW w:w="4318" w:type="dxa"/>
            <w:gridSpan w:val="8"/>
            <w:shd w:val="clear" w:color="auto" w:fill="auto"/>
            <w:vAlign w:val="center"/>
          </w:tcPr>
          <w:p>
            <w:pPr>
              <w:spacing w:line="340" w:lineRule="exact"/>
              <w:rPr>
                <w:rFonts w:ascii="仿宋_GB2312" w:eastAsia="仿宋_GB2312"/>
                <w:szCs w:val="21"/>
              </w:rPr>
            </w:pPr>
            <w:r>
              <w:rPr>
                <w:rFonts w:hint="eastAsia" w:ascii="仿宋_GB2312" w:eastAsia="仿宋_GB2312"/>
                <w:szCs w:val="21"/>
              </w:rPr>
              <w:t>违反条款：第八十一条第一款第（五）项</w:t>
            </w:r>
          </w:p>
          <w:p>
            <w:pPr>
              <w:rPr>
                <w:rFonts w:ascii="仿宋_GB2312" w:hAnsi="宋体" w:eastAsia="仿宋_GB2312" w:cs="宋体"/>
                <w:sz w:val="24"/>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340" w:lineRule="exact"/>
              <w:rPr>
                <w:rFonts w:ascii="仿宋_GB2312" w:eastAsia="仿宋_GB2312"/>
                <w:szCs w:val="21"/>
              </w:rPr>
            </w:pPr>
            <w:r>
              <w:rPr>
                <w:rFonts w:hint="eastAsia" w:ascii="仿宋_GB2312" w:eastAsia="仿宋_GB2312"/>
                <w:szCs w:val="21"/>
              </w:rPr>
              <w:t>污染道路长21－30米的，系数1；31－40米的，系数2；以此类推。</w:t>
            </w:r>
          </w:p>
        </w:tc>
        <w:tc>
          <w:tcPr>
            <w:tcW w:w="1740" w:type="dxa"/>
            <w:gridSpan w:val="2"/>
            <w:shd w:val="clear" w:color="auto" w:fill="auto"/>
            <w:vAlign w:val="center"/>
          </w:tcPr>
          <w:p>
            <w:pPr>
              <w:spacing w:line="34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车辆清洗处未配套设置排水、泥浆沉淀设施</w:t>
            </w:r>
          </w:p>
        </w:tc>
        <w:tc>
          <w:tcPr>
            <w:tcW w:w="4318" w:type="dxa"/>
            <w:gridSpan w:val="8"/>
            <w:shd w:val="clear" w:color="auto" w:fill="auto"/>
            <w:vAlign w:val="center"/>
          </w:tcPr>
          <w:p>
            <w:pPr>
              <w:spacing w:line="340" w:lineRule="exact"/>
              <w:rPr>
                <w:rFonts w:ascii="仿宋_GB2312" w:eastAsia="仿宋_GB2312"/>
                <w:szCs w:val="21"/>
              </w:rPr>
            </w:pPr>
            <w:r>
              <w:rPr>
                <w:rFonts w:hint="eastAsia" w:ascii="仿宋_GB2312" w:eastAsia="仿宋_GB2312"/>
                <w:szCs w:val="21"/>
              </w:rPr>
              <w:t>违反条款：第八十一条第一款第（五）项</w:t>
            </w:r>
          </w:p>
          <w:p>
            <w:pPr>
              <w:rPr>
                <w:rFonts w:ascii="仿宋_GB2312" w:hAnsi="宋体" w:eastAsia="仿宋_GB2312" w:cs="宋体"/>
                <w:sz w:val="24"/>
              </w:rPr>
            </w:pPr>
            <w:r>
              <w:rPr>
                <w:rFonts w:hint="eastAsia" w:ascii="仿宋_GB2312" w:eastAsia="仿宋_GB2312"/>
                <w:szCs w:val="21"/>
              </w:rPr>
              <w:t>处罚条款：第一百一十九条：责令限期改正，处一万元以上十万元以下罚款；拒不改正，责令停工整治。</w:t>
            </w:r>
          </w:p>
        </w:tc>
        <w:tc>
          <w:tcPr>
            <w:tcW w:w="961" w:type="dxa"/>
            <w:gridSpan w:val="4"/>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20000</w:t>
            </w:r>
          </w:p>
        </w:tc>
        <w:tc>
          <w:tcPr>
            <w:tcW w:w="720" w:type="dxa"/>
            <w:gridSpan w:val="2"/>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340" w:lineRule="exact"/>
              <w:rPr>
                <w:rFonts w:ascii="仿宋_GB2312" w:eastAsia="仿宋_GB2312"/>
                <w:szCs w:val="21"/>
              </w:rPr>
            </w:pPr>
            <w:r>
              <w:rPr>
                <w:rFonts w:hint="eastAsia" w:ascii="仿宋_GB2312" w:eastAsia="仿宋_GB2312"/>
                <w:szCs w:val="21"/>
              </w:rPr>
              <w:t>按照《基准》规定</w:t>
            </w:r>
            <w:r>
              <w:rPr>
                <w:rFonts w:ascii="仿宋_GB2312" w:eastAsia="仿宋_GB2312"/>
                <w:szCs w:val="21"/>
              </w:rPr>
              <w:t>执行</w:t>
            </w:r>
          </w:p>
        </w:tc>
        <w:tc>
          <w:tcPr>
            <w:tcW w:w="1740" w:type="dxa"/>
            <w:gridSpan w:val="2"/>
            <w:shd w:val="clear" w:color="auto" w:fill="auto"/>
            <w:vAlign w:val="center"/>
          </w:tcPr>
          <w:p>
            <w:pPr>
              <w:spacing w:line="340" w:lineRule="exact"/>
              <w:rPr>
                <w:rFonts w:ascii="仿宋_GB2312" w:eastAsia="仿宋_GB2312"/>
                <w:szCs w:val="21"/>
              </w:rPr>
            </w:pPr>
            <w:r>
              <w:rPr>
                <w:rFonts w:hint="eastAsia" w:ascii="仿宋_GB2312" w:eastAsia="仿宋_GB2312"/>
                <w:szCs w:val="21"/>
              </w:rPr>
              <w:t>罚款数额＝20000×（1+区域系数+情节系数）</w:t>
            </w:r>
          </w:p>
        </w:tc>
        <w:tc>
          <w:tcPr>
            <w:tcW w:w="2415" w:type="dxa"/>
            <w:gridSpan w:val="7"/>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施工现场道路及进出口周边一百米以内的道路有泥土和建筑垃圾</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定性条款：第八十一条第一款第（六）项；处罚条款：第一百一十九条，责令限期改正，处一万元以上十万元以下罚款；拒不改正，责令停工整治。</w:t>
            </w:r>
          </w:p>
        </w:tc>
        <w:tc>
          <w:tcPr>
            <w:tcW w:w="961" w:type="dxa"/>
            <w:gridSpan w:val="4"/>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340" w:lineRule="exact"/>
              <w:rPr>
                <w:rFonts w:ascii="仿宋_GB2312" w:eastAsia="仿宋_GB2312"/>
                <w:szCs w:val="21"/>
              </w:rPr>
            </w:pPr>
            <w:r>
              <w:rPr>
                <w:rFonts w:hint="eastAsia" w:ascii="仿宋_GB2312" w:eastAsia="仿宋_GB2312"/>
                <w:szCs w:val="21"/>
              </w:rPr>
              <w:t>污染道路长21－30米的，系数1；31－40米的，系数2；以此类推。</w:t>
            </w:r>
          </w:p>
        </w:tc>
        <w:tc>
          <w:tcPr>
            <w:tcW w:w="1740" w:type="dxa"/>
            <w:gridSpan w:val="2"/>
            <w:shd w:val="clear" w:color="auto" w:fill="auto"/>
            <w:vAlign w:val="center"/>
          </w:tcPr>
          <w:p>
            <w:pPr>
              <w:spacing w:line="34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34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道路挖掘施工过程中未及时覆盖破损路面并采取措施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szCs w:val="21"/>
              </w:rPr>
              <w:t>定性条款：第八十一条第一款第（七）项；处罚条款：第一百一十九条，责令限期改正，处一万元以上十万元以下罚款；拒不改正，责令停工整治。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1.路面长21－30米的，系数1；31－40米的，系数2；以此类推。</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eastAsia="仿宋_GB2312"/>
              </w:rPr>
            </w:pPr>
            <w:r>
              <w:rPr>
                <w:rFonts w:hint="eastAsia" w:ascii="仿宋_GB2312" w:eastAsia="仿宋_GB2312"/>
              </w:rPr>
              <w:t>道路挖掘施工完成后未及时修复路面</w:t>
            </w:r>
          </w:p>
        </w:tc>
        <w:tc>
          <w:tcPr>
            <w:tcW w:w="4318" w:type="dxa"/>
            <w:gridSpan w:val="8"/>
            <w:shd w:val="clear" w:color="auto" w:fill="auto"/>
            <w:vAlign w:val="center"/>
          </w:tcPr>
          <w:p>
            <w:pPr>
              <w:rPr>
                <w:rFonts w:ascii="仿宋_GB2312" w:eastAsia="仿宋_GB2312"/>
              </w:rPr>
            </w:pPr>
            <w:r>
              <w:rPr>
                <w:rFonts w:hint="eastAsia" w:ascii="仿宋_GB2312" w:eastAsia="仿宋_GB2312"/>
                <w:szCs w:val="21"/>
              </w:rPr>
              <w:t>定性条款：第八十一条第一款第（七）项；处罚条款：第一百一十九条，责令限期改正，处一万元以上十万元以下罚款；拒不改正，责令停工整治。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未修复的道路长21－30米的，系数1；31－40米的，系数2；以此类推。</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eastAsia="仿宋_GB2312"/>
              </w:rPr>
            </w:pPr>
            <w:r>
              <w:rPr>
                <w:rFonts w:hint="eastAsia" w:ascii="仿宋_GB2312" w:eastAsia="仿宋_GB2312"/>
              </w:rPr>
              <w:t>产生扬尘的物料未按规定贮存或者未</w:t>
            </w:r>
            <w:r>
              <w:rPr>
                <w:rFonts w:hint="eastAsia" w:ascii="仿宋_GB2312" w:eastAsia="仿宋_GB2312"/>
                <w:bCs/>
              </w:rPr>
              <w:t>采取有效防尘措施</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定性条款：第八十二条第一款；处罚条款：第一百二十条：责令限期改正，处一万元以上十万元以下罚款；拒不改正的，责令停工整治或者停业整治。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2，以此类推。2.造成尘土飞扬，严重污染环境的，系数为9。</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未按规定处置或覆盖建筑土方、工程渣土、建筑垃圾</w:t>
            </w:r>
          </w:p>
        </w:tc>
        <w:tc>
          <w:tcPr>
            <w:tcW w:w="4318" w:type="dxa"/>
            <w:gridSpan w:val="8"/>
            <w:shd w:val="clear" w:color="auto" w:fill="auto"/>
            <w:vAlign w:val="center"/>
          </w:tcPr>
          <w:p>
            <w:pPr>
              <w:spacing w:line="280" w:lineRule="exact"/>
              <w:rPr>
                <w:rFonts w:ascii="仿宋_GB2312" w:eastAsia="仿宋_GB2312"/>
                <w:szCs w:val="21"/>
              </w:rPr>
            </w:pPr>
            <w:r>
              <w:rPr>
                <w:rFonts w:hint="eastAsia" w:ascii="仿宋_GB2312" w:eastAsia="仿宋_GB2312"/>
                <w:szCs w:val="21"/>
              </w:rPr>
              <w:t>违反条款：第八十二条第二款；处罚条款：第一百二十条：责令限期改正，处一万元以上十万元以下罚款；拒不改正的，责令停工整治或者停业整治。</w:t>
            </w:r>
          </w:p>
        </w:tc>
        <w:tc>
          <w:tcPr>
            <w:tcW w:w="961" w:type="dxa"/>
            <w:gridSpan w:val="4"/>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10000</w:t>
            </w:r>
          </w:p>
        </w:tc>
        <w:tc>
          <w:tcPr>
            <w:tcW w:w="720" w:type="dxa"/>
            <w:gridSpan w:val="2"/>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占地面积10</w:t>
            </w:r>
            <w:r>
              <w:rPr>
                <w:rFonts w:hint="eastAsia" w:ascii="Batang" w:hAnsi="Batang" w:eastAsia="Batang" w:cs="Batang"/>
                <w:szCs w:val="21"/>
              </w:rPr>
              <w:t>㎡</w:t>
            </w:r>
            <w:r>
              <w:rPr>
                <w:rFonts w:hint="eastAsia" w:ascii="仿宋_GB2312" w:eastAsia="仿宋_GB2312"/>
                <w:szCs w:val="21"/>
              </w:rPr>
              <w:t>以下的，系数0；11－15</w:t>
            </w:r>
            <w:r>
              <w:rPr>
                <w:rFonts w:hint="eastAsia" w:ascii="Batang" w:hAnsi="Batang" w:eastAsia="Batang" w:cs="Batang"/>
                <w:szCs w:val="21"/>
              </w:rPr>
              <w:t>㎡</w:t>
            </w:r>
            <w:r>
              <w:rPr>
                <w:rFonts w:hint="eastAsia" w:ascii="仿宋_GB2312" w:eastAsia="仿宋_GB2312"/>
                <w:szCs w:val="21"/>
              </w:rPr>
              <w:t>的，系数1；16－20</w:t>
            </w:r>
            <w:r>
              <w:rPr>
                <w:rFonts w:hint="eastAsia" w:ascii="Batang" w:hAnsi="Batang" w:eastAsia="Batang" w:cs="Batang"/>
                <w:szCs w:val="21"/>
              </w:rPr>
              <w:t>㎡</w:t>
            </w:r>
            <w:r>
              <w:rPr>
                <w:rFonts w:hint="eastAsia" w:ascii="仿宋_GB2312" w:eastAsia="仿宋_GB2312"/>
                <w:szCs w:val="21"/>
              </w:rPr>
              <w:t>系数2，以此类推。2.造成尘土飞扬，严重污染环境的，系数为9。</w:t>
            </w:r>
          </w:p>
        </w:tc>
        <w:tc>
          <w:tcPr>
            <w:tcW w:w="1740" w:type="dxa"/>
            <w:gridSpan w:val="2"/>
            <w:shd w:val="clear" w:color="auto" w:fill="auto"/>
            <w:vAlign w:val="center"/>
          </w:tcPr>
          <w:p>
            <w:pPr>
              <w:spacing w:line="280" w:lineRule="exact"/>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spacing w:line="280" w:lineRule="exact"/>
              <w:rPr>
                <w:rFonts w:ascii="仿宋_GB2312" w:eastAsia="仿宋_GB2312"/>
                <w:szCs w:val="21"/>
              </w:rPr>
            </w:pPr>
            <w:r>
              <w:rPr>
                <w:rFonts w:hint="eastAsia" w:ascii="仿宋_GB2312" w:eastAsia="仿宋_GB2312"/>
                <w:szCs w:val="21"/>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58" w:type="dxa"/>
            <w:gridSpan w:val="34"/>
            <w:shd w:val="clear" w:color="auto" w:fill="auto"/>
            <w:noWrap/>
            <w:vAlign w:val="center"/>
          </w:tcPr>
          <w:p>
            <w:pPr>
              <w:pStyle w:val="3"/>
              <w:rPr>
                <w:rFonts w:ascii="仿宋_GB2312" w:eastAsia="仿宋_GB2312"/>
                <w:szCs w:val="21"/>
              </w:rPr>
            </w:pPr>
            <w:bookmarkStart w:id="53" w:name="_Toc39911706"/>
            <w:r>
              <w:rPr>
                <w:rFonts w:hint="eastAsia"/>
              </w:rPr>
              <w:t>《北京市建设工程施工现场管理办法》案由15项</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建设单位未按标准设置围挡</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第（一）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hAnsi="宋体" w:eastAsia="仿宋_GB2312"/>
                <w:szCs w:val="21"/>
              </w:rPr>
            </w:pPr>
            <w:r>
              <w:rPr>
                <w:rFonts w:ascii="仿宋_GB2312" w:hAnsi="宋体"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1.未按标准设置围挡长度1</w:t>
            </w:r>
            <w:r>
              <w:rPr>
                <w:rFonts w:ascii="仿宋_GB2312" w:eastAsia="仿宋_GB2312"/>
                <w:szCs w:val="21"/>
              </w:rPr>
              <w:t>6</w:t>
            </w:r>
            <w:r>
              <w:rPr>
                <w:rFonts w:hint="eastAsia" w:ascii="仿宋_GB2312" w:eastAsia="仿宋_GB2312"/>
                <w:szCs w:val="21"/>
              </w:rPr>
              <w:t>-</w:t>
            </w:r>
            <w:r>
              <w:rPr>
                <w:rFonts w:ascii="仿宋_GB2312" w:eastAsia="仿宋_GB2312"/>
                <w:szCs w:val="21"/>
              </w:rPr>
              <w:t>30</w:t>
            </w:r>
            <w:r>
              <w:rPr>
                <w:rFonts w:hint="eastAsia" w:ascii="仿宋_GB2312" w:eastAsia="仿宋_GB2312"/>
                <w:szCs w:val="21"/>
              </w:rPr>
              <w:t>米的，系数1；</w:t>
            </w:r>
            <w:r>
              <w:rPr>
                <w:rFonts w:ascii="仿宋_GB2312" w:eastAsia="仿宋_GB2312"/>
                <w:szCs w:val="21"/>
              </w:rPr>
              <w:t>31</w:t>
            </w:r>
            <w:r>
              <w:rPr>
                <w:rFonts w:hint="eastAsia" w:ascii="仿宋_GB2312" w:eastAsia="仿宋_GB2312"/>
                <w:szCs w:val="21"/>
              </w:rPr>
              <w:t>-</w:t>
            </w:r>
            <w:r>
              <w:rPr>
                <w:rFonts w:ascii="仿宋_GB2312" w:eastAsia="仿宋_GB2312"/>
                <w:szCs w:val="21"/>
              </w:rPr>
              <w:t>45</w:t>
            </w:r>
            <w:r>
              <w:rPr>
                <w:rFonts w:hint="eastAsia" w:ascii="仿宋_GB2312" w:eastAsia="仿宋_GB2312"/>
                <w:szCs w:val="21"/>
              </w:rPr>
              <w:t>米的，系数2，以此类推；2.期间发生危害公共安全行为的，系数9。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罚款数额＝10000×（1＋区域系数＋情节系数＋变量系数）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需要作出其它罚款额度的，说明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eastAsia="仿宋_GB2312"/>
              </w:rPr>
            </w:pPr>
            <w:r>
              <w:rPr>
                <w:rFonts w:hint="eastAsia" w:ascii="仿宋_GB2312" w:eastAsia="仿宋_GB2312"/>
              </w:rPr>
              <w:t>施工单位未对围挡进行维护</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第（一）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1.未按规定管护围挡长度</w:t>
            </w:r>
            <w:r>
              <w:rPr>
                <w:rFonts w:ascii="仿宋_GB2312" w:eastAsia="仿宋_GB2312"/>
                <w:szCs w:val="21"/>
              </w:rPr>
              <w:t>16</w:t>
            </w:r>
            <w:r>
              <w:rPr>
                <w:rFonts w:hint="eastAsia" w:ascii="仿宋_GB2312" w:eastAsia="仿宋_GB2312"/>
                <w:szCs w:val="21"/>
              </w:rPr>
              <w:t>-</w:t>
            </w:r>
            <w:r>
              <w:rPr>
                <w:rFonts w:ascii="仿宋_GB2312" w:eastAsia="仿宋_GB2312"/>
                <w:szCs w:val="21"/>
              </w:rPr>
              <w:t>30</w:t>
            </w:r>
            <w:r>
              <w:rPr>
                <w:rFonts w:hint="eastAsia" w:ascii="仿宋_GB2312" w:eastAsia="仿宋_GB2312"/>
                <w:szCs w:val="21"/>
              </w:rPr>
              <w:t>米的，系数1；</w:t>
            </w:r>
            <w:r>
              <w:rPr>
                <w:rFonts w:ascii="仿宋_GB2312" w:eastAsia="仿宋_GB2312"/>
                <w:szCs w:val="21"/>
              </w:rPr>
              <w:t>31</w:t>
            </w:r>
            <w:r>
              <w:rPr>
                <w:rFonts w:hint="eastAsia" w:ascii="仿宋_GB2312" w:eastAsia="仿宋_GB2312"/>
                <w:szCs w:val="21"/>
              </w:rPr>
              <w:t>-</w:t>
            </w:r>
            <w:r>
              <w:rPr>
                <w:rFonts w:ascii="仿宋_GB2312" w:eastAsia="仿宋_GB2312"/>
                <w:szCs w:val="21"/>
              </w:rPr>
              <w:t>45</w:t>
            </w:r>
            <w:r>
              <w:rPr>
                <w:rFonts w:hint="eastAsia" w:ascii="仿宋_GB2312" w:eastAsia="仿宋_GB2312"/>
                <w:szCs w:val="21"/>
              </w:rPr>
              <w:t>米的，系数2，以此类推。2.期间发生危害公共安全行为的，系数</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ascii="仿宋_GB2312" w:eastAsia="仿宋_GB2312"/>
                <w:szCs w:val="21"/>
              </w:rPr>
              <w:t>10000</w:t>
            </w:r>
            <w:r>
              <w:rPr>
                <w:rFonts w:hint="eastAsia" w:ascii="仿宋_GB2312" w:hAnsi="宋体" w:eastAsia="仿宋_GB2312"/>
                <w:szCs w:val="21"/>
              </w:rPr>
              <w:t>×（1+区域系数+情节系数+变量系数）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其它罚款额度的，说明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市政基础设施工程因特殊情况不能进行围挡的未设置警示标志（或未在工程危险部位采取防护措施）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三条第（一）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hAnsi="宋体" w:eastAsia="仿宋_GB2312"/>
                <w:szCs w:val="21"/>
              </w:rPr>
            </w:pPr>
            <w:r>
              <w:rPr>
                <w:rFonts w:hint="eastAsia" w:ascii="仿宋_GB2312" w:eastAsia="仿宋_GB2312"/>
                <w:szCs w:val="21"/>
              </w:rPr>
              <w:t>1.违法行为持续时间较长，或者未设置警示标志或者防护措施的长度、面积较大的，发生在人口密集地区的，系数</w:t>
            </w:r>
            <w:r>
              <w:rPr>
                <w:rFonts w:ascii="仿宋_GB2312" w:eastAsia="仿宋_GB2312"/>
                <w:szCs w:val="21"/>
              </w:rPr>
              <w:t>5-9</w:t>
            </w:r>
            <w:r>
              <w:rPr>
                <w:rFonts w:hint="eastAsia" w:ascii="仿宋_GB2312" w:eastAsia="仿宋_GB2312"/>
                <w:szCs w:val="21"/>
              </w:rPr>
              <w:t>；2.期间发生危害公共安全行为的，系数9。</w:t>
            </w:r>
          </w:p>
        </w:tc>
        <w:tc>
          <w:tcPr>
            <w:tcW w:w="1740" w:type="dxa"/>
            <w:gridSpan w:val="2"/>
            <w:shd w:val="clear" w:color="auto" w:fill="auto"/>
            <w:vAlign w:val="center"/>
          </w:tcPr>
          <w:p>
            <w:pPr>
              <w:rPr>
                <w:rFonts w:ascii="仿宋_GB2312" w:hAnsi="宋体" w:eastAsia="仿宋_GB2312"/>
                <w:szCs w:val="21"/>
              </w:rPr>
            </w:pPr>
            <w:r>
              <w:rPr>
                <w:rFonts w:hint="eastAsia" w:ascii="仿宋_GB2312" w:hAnsi="宋体" w:eastAsia="仿宋_GB2312"/>
                <w:szCs w:val="21"/>
              </w:rPr>
              <w:t>罚款数额</w:t>
            </w:r>
            <w:r>
              <w:rPr>
                <w:rFonts w:hint="eastAsia" w:ascii="仿宋_GB2312" w:eastAsia="仿宋_GB2312"/>
                <w:szCs w:val="21"/>
              </w:rPr>
              <w:t>＝</w:t>
            </w:r>
            <w:r>
              <w:rPr>
                <w:rFonts w:ascii="仿宋_GB2312" w:hAnsi="宋体" w:eastAsia="仿宋_GB2312"/>
                <w:szCs w:val="21"/>
              </w:rPr>
              <w:t>10</w:t>
            </w:r>
            <w:r>
              <w:rPr>
                <w:rFonts w:hint="eastAsia" w:ascii="仿宋_GB2312" w:hAnsi="宋体" w:eastAsia="仿宋_GB2312"/>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需要作出其它罚款额度的，说明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eastAsia="仿宋_GB2312"/>
              </w:rPr>
            </w:pPr>
            <w:r>
              <w:rPr>
                <w:rFonts w:hint="eastAsia" w:ascii="仿宋_GB2312" w:eastAsia="仿宋_GB2312"/>
              </w:rPr>
              <w:t>未按规定对施工现场道路、场地进行硬化、覆盖或者绿化</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三条第（二）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hAnsi="宋体" w:eastAsia="仿宋_GB2312" w:cs="宋体"/>
                <w:kern w:val="0"/>
                <w:szCs w:val="21"/>
              </w:rPr>
            </w:pPr>
            <w:r>
              <w:rPr>
                <w:rFonts w:ascii="仿宋_GB2312" w:hAnsi="宋体" w:eastAsia="仿宋_GB2312" w:cs="宋体"/>
                <w:kern w:val="0"/>
                <w:szCs w:val="21"/>
              </w:rPr>
              <w:t>10000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未硬化、覆盖或者绿化面积</w:t>
            </w:r>
            <w:r>
              <w:rPr>
                <w:rFonts w:ascii="仿宋_GB2312" w:hAnsi="宋体" w:eastAsia="仿宋_GB2312" w:cs="宋体"/>
                <w:kern w:val="0"/>
                <w:szCs w:val="21"/>
              </w:rPr>
              <w:t>10</w:t>
            </w:r>
            <w:r>
              <w:rPr>
                <w:rFonts w:hint="eastAsia" w:ascii="Batang" w:hAnsi="Batang" w:eastAsia="Batang" w:cs="Batang"/>
                <w:kern w:val="0"/>
                <w:szCs w:val="21"/>
              </w:rPr>
              <w:t>㎡</w:t>
            </w:r>
            <w:r>
              <w:rPr>
                <w:rFonts w:hint="eastAsia" w:ascii="仿宋_GB2312" w:hAnsi="仿宋_GB2312" w:eastAsia="仿宋_GB2312" w:cs="仿宋_GB2312"/>
                <w:kern w:val="0"/>
                <w:szCs w:val="21"/>
              </w:rPr>
              <w:t>以下的，系数</w:t>
            </w:r>
            <w:r>
              <w:rPr>
                <w:rFonts w:hint="eastAsia" w:ascii="仿宋_GB2312" w:hAnsi="宋体" w:eastAsia="仿宋_GB2312" w:cs="宋体"/>
                <w:kern w:val="0"/>
                <w:szCs w:val="21"/>
              </w:rPr>
              <w:t>0；</w:t>
            </w:r>
            <w:r>
              <w:rPr>
                <w:rFonts w:ascii="仿宋_GB2312" w:hAnsi="宋体" w:eastAsia="仿宋_GB2312" w:cs="宋体"/>
                <w:kern w:val="0"/>
                <w:szCs w:val="21"/>
              </w:rPr>
              <w:t>11</w:t>
            </w:r>
            <w:r>
              <w:rPr>
                <w:rFonts w:hint="eastAsia" w:ascii="仿宋_GB2312" w:hAnsi="宋体" w:eastAsia="仿宋_GB2312" w:cs="宋体"/>
                <w:kern w:val="0"/>
                <w:szCs w:val="21"/>
              </w:rPr>
              <w:t>－</w:t>
            </w:r>
            <w:r>
              <w:rPr>
                <w:rFonts w:ascii="仿宋_GB2312" w:hAnsi="宋体" w:eastAsia="仿宋_GB2312" w:cs="宋体"/>
                <w:kern w:val="0"/>
                <w:szCs w:val="21"/>
              </w:rPr>
              <w:t>25</w:t>
            </w:r>
            <w:r>
              <w:rPr>
                <w:rFonts w:hint="eastAsia" w:ascii="Batang" w:hAnsi="Batang" w:eastAsia="Batang" w:cs="Batang"/>
                <w:kern w:val="0"/>
                <w:szCs w:val="21"/>
              </w:rPr>
              <w:t>㎡</w:t>
            </w:r>
            <w:r>
              <w:rPr>
                <w:rFonts w:hint="eastAsia" w:ascii="仿宋_GB2312" w:hAnsi="仿宋_GB2312" w:eastAsia="仿宋_GB2312" w:cs="仿宋_GB2312"/>
                <w:kern w:val="0"/>
                <w:szCs w:val="21"/>
              </w:rPr>
              <w:t>的，系数</w:t>
            </w:r>
            <w:r>
              <w:rPr>
                <w:rFonts w:hint="eastAsia" w:ascii="仿宋_GB2312" w:hAnsi="宋体" w:eastAsia="仿宋_GB2312" w:cs="宋体"/>
                <w:kern w:val="0"/>
                <w:szCs w:val="21"/>
              </w:rPr>
              <w:t>1；</w:t>
            </w:r>
            <w:r>
              <w:rPr>
                <w:rFonts w:ascii="仿宋_GB2312" w:hAnsi="宋体" w:eastAsia="仿宋_GB2312" w:cs="宋体"/>
                <w:kern w:val="0"/>
                <w:szCs w:val="21"/>
              </w:rPr>
              <w:t>26</w:t>
            </w:r>
            <w:r>
              <w:rPr>
                <w:rFonts w:hint="eastAsia" w:ascii="仿宋_GB2312" w:hAnsi="宋体" w:eastAsia="仿宋_GB2312" w:cs="宋体"/>
                <w:kern w:val="0"/>
                <w:szCs w:val="21"/>
              </w:rPr>
              <w:t>－</w:t>
            </w:r>
            <w:r>
              <w:rPr>
                <w:rFonts w:ascii="仿宋_GB2312" w:hAnsi="宋体" w:eastAsia="仿宋_GB2312" w:cs="宋体"/>
                <w:kern w:val="0"/>
                <w:szCs w:val="21"/>
              </w:rPr>
              <w:t>40</w:t>
            </w:r>
            <w:r>
              <w:rPr>
                <w:rFonts w:hint="eastAsia" w:ascii="Batang" w:hAnsi="Batang" w:eastAsia="Batang" w:cs="Batang"/>
                <w:kern w:val="0"/>
                <w:szCs w:val="21"/>
              </w:rPr>
              <w:t>㎡</w:t>
            </w:r>
            <w:r>
              <w:rPr>
                <w:rFonts w:hint="eastAsia" w:ascii="仿宋_GB2312" w:hAnsi="仿宋_GB2312" w:eastAsia="仿宋_GB2312" w:cs="仿宋_GB2312"/>
                <w:kern w:val="0"/>
                <w:szCs w:val="21"/>
              </w:rPr>
              <w:t>系数</w:t>
            </w:r>
            <w:r>
              <w:rPr>
                <w:rFonts w:hint="eastAsia" w:ascii="仿宋_GB2312" w:hAnsi="宋体" w:eastAsia="仿宋_GB2312" w:cs="宋体"/>
                <w:kern w:val="0"/>
                <w:szCs w:val="21"/>
              </w:rPr>
              <w:t>2，以此类推。</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ascii="仿宋_GB2312" w:hAnsi="宋体" w:eastAsia="仿宋_GB2312" w:cs="宋体"/>
                <w:kern w:val="0"/>
                <w:szCs w:val="21"/>
              </w:rPr>
              <w:t>10</w:t>
            </w:r>
            <w:r>
              <w:rPr>
                <w:rFonts w:hint="eastAsia" w:ascii="仿宋_GB2312" w:hAnsi="宋体" w:eastAsia="仿宋_GB2312" w:cs="宋体"/>
                <w:kern w:val="0"/>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eastAsia="仿宋_GB2312"/>
              </w:rPr>
            </w:pPr>
            <w:r>
              <w:rPr>
                <w:rFonts w:hint="eastAsia" w:ascii="仿宋_GB2312" w:eastAsia="仿宋_GB2312"/>
              </w:rPr>
              <w:t>施工现场</w:t>
            </w:r>
            <w:r>
              <w:rPr>
                <w:rFonts w:ascii="仿宋_GB2312" w:eastAsia="仿宋_GB2312"/>
              </w:rPr>
              <w:t>土方</w:t>
            </w:r>
            <w:r>
              <w:rPr>
                <w:rFonts w:hint="eastAsia" w:ascii="仿宋_GB2312" w:eastAsia="仿宋_GB2312"/>
              </w:rPr>
              <w:t>未</w:t>
            </w:r>
            <w:r>
              <w:rPr>
                <w:rFonts w:ascii="仿宋_GB2312" w:eastAsia="仿宋_GB2312"/>
              </w:rPr>
              <w:t>集中堆放</w:t>
            </w:r>
            <w:r>
              <w:rPr>
                <w:rFonts w:hint="eastAsia" w:ascii="仿宋_GB2312" w:eastAsia="仿宋_GB2312"/>
              </w:rPr>
              <w:t>或者未</w:t>
            </w:r>
            <w:r>
              <w:rPr>
                <w:rFonts w:ascii="仿宋_GB2312" w:eastAsia="仿宋_GB2312"/>
              </w:rPr>
              <w:t>采取覆盖</w:t>
            </w:r>
            <w:r>
              <w:rPr>
                <w:rFonts w:hint="eastAsia" w:ascii="仿宋_GB2312" w:eastAsia="仿宋_GB2312"/>
              </w:rPr>
              <w:t>、</w:t>
            </w:r>
            <w:r>
              <w:rPr>
                <w:rFonts w:ascii="仿宋_GB2312" w:eastAsia="仿宋_GB2312"/>
              </w:rPr>
              <w:t>固化等措施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三条第（二）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hAnsi="宋体" w:eastAsia="仿宋_GB2312"/>
                <w:szCs w:val="21"/>
              </w:rPr>
            </w:pPr>
            <w:r>
              <w:rPr>
                <w:rFonts w:hint="eastAsia" w:ascii="仿宋_GB2312" w:hAnsi="宋体"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hAnsi="宋体" w:eastAsia="仿宋_GB2312"/>
                <w:szCs w:val="21"/>
              </w:rPr>
              <w:t>0；11－</w:t>
            </w:r>
            <w:r>
              <w:rPr>
                <w:rFonts w:ascii="仿宋_GB2312" w:hAnsi="宋体" w:eastAsia="仿宋_GB2312"/>
                <w:szCs w:val="21"/>
              </w:rPr>
              <w:t>2</w:t>
            </w:r>
            <w:r>
              <w:rPr>
                <w:rFonts w:hint="eastAsia" w:ascii="仿宋_GB2312" w:hAnsi="宋体" w:eastAsia="仿宋_GB2312"/>
                <w:szCs w:val="21"/>
              </w:rPr>
              <w:t>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hAnsi="宋体" w:eastAsia="仿宋_GB2312"/>
                <w:szCs w:val="21"/>
              </w:rPr>
              <w:t>1；</w:t>
            </w:r>
            <w:r>
              <w:rPr>
                <w:rFonts w:ascii="仿宋_GB2312" w:hAnsi="宋体" w:eastAsia="仿宋_GB2312"/>
                <w:szCs w:val="21"/>
              </w:rPr>
              <w:t>26</w:t>
            </w:r>
            <w:r>
              <w:rPr>
                <w:rFonts w:hint="eastAsia" w:ascii="仿宋_GB2312" w:hAnsi="宋体" w:eastAsia="仿宋_GB2312"/>
                <w:szCs w:val="21"/>
              </w:rPr>
              <w:t>－</w:t>
            </w:r>
            <w:r>
              <w:rPr>
                <w:rFonts w:ascii="仿宋_GB2312" w:hAnsi="宋体" w:eastAsia="仿宋_GB2312"/>
                <w:szCs w:val="21"/>
              </w:rPr>
              <w:t>4</w:t>
            </w:r>
            <w:r>
              <w:rPr>
                <w:rFonts w:hint="eastAsia" w:ascii="仿宋_GB2312" w:hAnsi="宋体" w:eastAsia="仿宋_GB2312"/>
                <w:szCs w:val="21"/>
              </w:rPr>
              <w:t>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hAnsi="宋体" w:eastAsia="仿宋_GB2312"/>
                <w:szCs w:val="21"/>
              </w:rPr>
              <w:t>2，以此类推。2.造成尘土飞扬，严重污染环境的，系数为9。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hint="eastAsia" w:ascii="仿宋_GB2312" w:hAnsi="宋体" w:eastAsia="仿宋_GB2312" w:cs="宋体"/>
                <w:kern w:val="0"/>
                <w:szCs w:val="21"/>
              </w:rPr>
              <w:t>10000×（1+区域系数+情节系数+变量系数）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hAnsi="宋体" w:eastAsia="仿宋_GB2312" w:cs="宋体"/>
                <w:kern w:val="0"/>
                <w:szCs w:val="21"/>
              </w:rPr>
            </w:pPr>
            <w:r>
              <w:rPr>
                <w:rFonts w:ascii="仿宋_GB2312" w:hAnsi="宋体" w:eastAsia="仿宋_GB2312" w:cs="宋体"/>
                <w:kern w:val="0"/>
                <w:szCs w:val="21"/>
              </w:rPr>
              <w:t>建设单位</w:t>
            </w:r>
            <w:r>
              <w:rPr>
                <w:rFonts w:hint="eastAsia" w:ascii="仿宋_GB2312" w:hAnsi="宋体" w:eastAsia="仿宋_GB2312" w:cs="宋体"/>
                <w:kern w:val="0"/>
                <w:szCs w:val="21"/>
              </w:rPr>
              <w:t>未对暂时不开发的空地进行绿化</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第（二）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1.面积1000</w:t>
            </w:r>
            <w:r>
              <w:rPr>
                <w:rFonts w:hint="eastAsia" w:ascii="Batang" w:hAnsi="Batang" w:eastAsia="Batang" w:cs="Batang"/>
                <w:kern w:val="0"/>
                <w:szCs w:val="21"/>
              </w:rPr>
              <w:t>㎡</w:t>
            </w:r>
            <w:r>
              <w:rPr>
                <w:rFonts w:hint="eastAsia" w:ascii="仿宋_GB2312" w:hAnsi="仿宋_GB2312" w:eastAsia="仿宋_GB2312" w:cs="仿宋_GB2312"/>
                <w:kern w:val="0"/>
                <w:szCs w:val="21"/>
              </w:rPr>
              <w:t>以内，变量系数为</w:t>
            </w:r>
            <w:r>
              <w:rPr>
                <w:rFonts w:hint="eastAsia" w:ascii="仿宋_GB2312" w:hAnsi="宋体" w:eastAsia="仿宋_GB2312" w:cs="宋体"/>
                <w:kern w:val="0"/>
                <w:szCs w:val="21"/>
              </w:rPr>
              <w:t>0，</w:t>
            </w:r>
            <w:r>
              <w:rPr>
                <w:rFonts w:ascii="仿宋_GB2312" w:hAnsi="宋体" w:eastAsia="仿宋_GB2312"/>
                <w:szCs w:val="21"/>
              </w:rPr>
              <w:t>1000</w:t>
            </w:r>
            <w:r>
              <w:rPr>
                <w:rFonts w:hint="eastAsia" w:ascii="仿宋_GB2312" w:hAnsi="宋体" w:eastAsia="仿宋_GB2312"/>
                <w:szCs w:val="21"/>
              </w:rPr>
              <w:t>－15</w:t>
            </w:r>
            <w:r>
              <w:rPr>
                <w:rFonts w:ascii="仿宋_GB2312" w:hAnsi="宋体" w:eastAsia="仿宋_GB2312"/>
                <w:szCs w:val="21"/>
              </w:rPr>
              <w:t>00</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hAnsi="宋体" w:eastAsia="仿宋_GB2312"/>
                <w:szCs w:val="21"/>
              </w:rPr>
              <w:t>1；1</w:t>
            </w:r>
            <w:r>
              <w:rPr>
                <w:rFonts w:ascii="仿宋_GB2312" w:hAnsi="宋体" w:eastAsia="仿宋_GB2312"/>
                <w:szCs w:val="21"/>
              </w:rPr>
              <w:t>500</w:t>
            </w:r>
            <w:r>
              <w:rPr>
                <w:rFonts w:hint="eastAsia" w:ascii="仿宋_GB2312" w:hAnsi="宋体" w:eastAsia="仿宋_GB2312"/>
                <w:szCs w:val="21"/>
              </w:rPr>
              <w:t>－2000</w:t>
            </w:r>
            <w:r>
              <w:rPr>
                <w:rFonts w:hint="eastAsia" w:ascii="Batang" w:hAnsi="Batang" w:eastAsia="Batang" w:cs="Batang"/>
                <w:szCs w:val="21"/>
              </w:rPr>
              <w:t>㎡</w:t>
            </w:r>
            <w:r>
              <w:rPr>
                <w:rFonts w:hint="eastAsia" w:ascii="Batang" w:hAnsi="Batang" w:cs="Batang"/>
                <w:szCs w:val="21"/>
              </w:rPr>
              <w:t>，</w:t>
            </w:r>
            <w:r>
              <w:rPr>
                <w:rFonts w:hint="eastAsia" w:ascii="仿宋_GB2312" w:hAnsi="仿宋_GB2312" w:eastAsia="仿宋_GB2312" w:cs="仿宋_GB2312"/>
                <w:szCs w:val="21"/>
              </w:rPr>
              <w:t>系数</w:t>
            </w:r>
            <w:r>
              <w:rPr>
                <w:rFonts w:hint="eastAsia" w:ascii="仿宋_GB2312" w:hAnsi="宋体" w:eastAsia="仿宋_GB2312"/>
                <w:szCs w:val="21"/>
              </w:rPr>
              <w:t>2，以此类推</w:t>
            </w:r>
            <w:r>
              <w:rPr>
                <w:rFonts w:hint="eastAsia" w:ascii="仿宋_GB2312" w:hAnsi="宋体" w:eastAsia="仿宋_GB2312" w:cs="宋体"/>
                <w:kern w:val="0"/>
                <w:szCs w:val="21"/>
              </w:rPr>
              <w:t>；2.尘土飞扬，对环境造成严重影响的，系数9</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ascii="仿宋_GB2312" w:hAnsi="宋体" w:eastAsia="仿宋_GB2312" w:cs="宋体"/>
                <w:kern w:val="0"/>
                <w:szCs w:val="21"/>
              </w:rPr>
              <w:t>10</w:t>
            </w:r>
            <w:r>
              <w:rPr>
                <w:rFonts w:hint="eastAsia" w:ascii="仿宋_GB2312" w:hAnsi="宋体" w:eastAsia="仿宋_GB2312" w:cs="宋体"/>
                <w:kern w:val="0"/>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auto"/>
            <w:vAlign w:val="center"/>
          </w:tcPr>
          <w:p>
            <w:pPr>
              <w:rPr>
                <w:rFonts w:ascii="仿宋_GB2312" w:hAnsi="宋体" w:eastAsia="仿宋_GB2312" w:cs="宋体"/>
                <w:dstrike/>
                <w:sz w:val="24"/>
              </w:rPr>
            </w:pPr>
            <w:r>
              <w:rPr>
                <w:rFonts w:hint="eastAsia" w:ascii="仿宋_GB2312" w:eastAsia="仿宋_GB2312"/>
              </w:rPr>
              <w:t>施工现场未采取洒水措施防止扬尘</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三条第（三）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hAnsi="宋体" w:eastAsia="仿宋_GB2312" w:cs="宋体"/>
                <w:kern w:val="0"/>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w:t>
            </w:r>
            <w:r>
              <w:rPr>
                <w:rFonts w:hint="eastAsia" w:ascii="仿宋_GB2312" w:eastAsia="仿宋_GB2312"/>
                <w:szCs w:val="21"/>
              </w:rPr>
              <w:t>＝</w:t>
            </w:r>
            <w:r>
              <w:rPr>
                <w:rFonts w:ascii="仿宋_GB2312" w:hAnsi="宋体" w:eastAsia="仿宋_GB2312" w:cs="宋体"/>
                <w:kern w:val="0"/>
                <w:szCs w:val="21"/>
              </w:rPr>
              <w:t>10</w:t>
            </w:r>
            <w:r>
              <w:rPr>
                <w:rFonts w:hint="eastAsia" w:ascii="仿宋_GB2312" w:hAnsi="宋体" w:eastAsia="仿宋_GB2312" w:cs="宋体"/>
                <w:kern w:val="0"/>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eastAsia="仿宋_GB2312"/>
              </w:rPr>
            </w:pPr>
            <w:r>
              <w:rPr>
                <w:rFonts w:hint="eastAsia" w:ascii="仿宋_GB2312" w:eastAsia="仿宋_GB2312"/>
              </w:rPr>
              <w:t>拆除作业时未采取洒水措施防止扬尘</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第（三）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hAnsi="宋体" w:eastAsia="仿宋_GB2312"/>
                <w:szCs w:val="21"/>
              </w:rPr>
            </w:pPr>
            <w:r>
              <w:rPr>
                <w:rFonts w:ascii="仿宋_GB2312" w:hAnsi="宋体" w:eastAsia="仿宋_GB2312"/>
                <w:szCs w:val="21"/>
              </w:rPr>
              <w:t>10000</w:t>
            </w:r>
          </w:p>
        </w:tc>
        <w:tc>
          <w:tcPr>
            <w:tcW w:w="720" w:type="dxa"/>
            <w:gridSpan w:val="2"/>
            <w:shd w:val="clear" w:color="auto" w:fill="auto"/>
            <w:noWrap/>
            <w:vAlign w:val="center"/>
          </w:tcPr>
          <w:p>
            <w:pPr>
              <w:rPr>
                <w:rFonts w:ascii="仿宋_GB2312" w:hAnsi="宋体" w:eastAsia="仿宋_GB2312"/>
                <w:szCs w:val="21"/>
              </w:rPr>
            </w:pPr>
            <w:r>
              <w:rPr>
                <w:rFonts w:hint="eastAsia" w:ascii="仿宋_GB2312" w:hAnsi="宋体" w:eastAsia="仿宋_GB2312"/>
                <w:szCs w:val="21"/>
              </w:rPr>
              <w:t>1</w:t>
            </w:r>
          </w:p>
        </w:tc>
        <w:tc>
          <w:tcPr>
            <w:tcW w:w="3600" w:type="dxa"/>
            <w:gridSpan w:val="7"/>
            <w:shd w:val="clear" w:color="auto" w:fill="auto"/>
            <w:vAlign w:val="center"/>
          </w:tcPr>
          <w:p>
            <w:pPr>
              <w:spacing w:line="280" w:lineRule="exact"/>
              <w:rPr>
                <w:rFonts w:ascii="仿宋_GB2312" w:eastAsia="仿宋_GB2312"/>
                <w:szCs w:val="21"/>
              </w:rPr>
            </w:pPr>
            <w:r>
              <w:rPr>
                <w:rFonts w:hint="eastAsia" w:ascii="仿宋_GB2312" w:eastAsia="仿宋_GB2312"/>
                <w:szCs w:val="21"/>
              </w:rPr>
              <w:t>1.面积10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w:t>
            </w:r>
            <w:r>
              <w:rPr>
                <w:rFonts w:ascii="仿宋_GB2312" w:eastAsia="仿宋_GB2312"/>
                <w:szCs w:val="21"/>
              </w:rPr>
              <w:t>9</w:t>
            </w:r>
            <w:r>
              <w:rPr>
                <w:rFonts w:hint="eastAsia" w:ascii="仿宋_GB2312" w:eastAsia="仿宋_GB2312"/>
                <w:szCs w:val="21"/>
              </w:rPr>
              <w:t>。</w:t>
            </w:r>
          </w:p>
        </w:tc>
        <w:tc>
          <w:tcPr>
            <w:tcW w:w="1740" w:type="dxa"/>
            <w:gridSpan w:val="2"/>
            <w:shd w:val="clear" w:color="auto" w:fill="auto"/>
            <w:vAlign w:val="center"/>
          </w:tcPr>
          <w:p>
            <w:pPr>
              <w:rPr>
                <w:rFonts w:ascii="仿宋_GB2312" w:hAnsi="宋体" w:eastAsia="仿宋_GB2312"/>
                <w:szCs w:val="21"/>
              </w:rPr>
            </w:pPr>
            <w:r>
              <w:rPr>
                <w:rFonts w:hint="eastAsia" w:ascii="仿宋_GB2312" w:hAnsi="宋体" w:eastAsia="仿宋_GB2312"/>
                <w:szCs w:val="21"/>
              </w:rPr>
              <w:t>罚款数额</w:t>
            </w:r>
            <w:r>
              <w:rPr>
                <w:rFonts w:hint="eastAsia" w:ascii="仿宋_GB2312" w:eastAsia="仿宋_GB2312"/>
                <w:szCs w:val="21"/>
              </w:rPr>
              <w:t>＝</w:t>
            </w:r>
            <w:r>
              <w:rPr>
                <w:rFonts w:ascii="仿宋_GB2312" w:hAnsi="宋体" w:eastAsia="仿宋_GB2312"/>
                <w:szCs w:val="21"/>
              </w:rPr>
              <w:t>10000</w:t>
            </w:r>
            <w:r>
              <w:rPr>
                <w:rFonts w:hint="eastAsia" w:ascii="仿宋_GB2312" w:hAnsi="宋体" w:eastAsia="仿宋_GB2312"/>
                <w:szCs w:val="21"/>
              </w:rPr>
              <w:t>×（1+区域系数+情节系数</w:t>
            </w:r>
            <w:r>
              <w:rPr>
                <w:rFonts w:hint="eastAsia" w:ascii="仿宋_GB2312" w:hAnsi="宋体" w:eastAsia="仿宋_GB2312" w:cs="宋体"/>
                <w:kern w:val="0"/>
                <w:szCs w:val="21"/>
              </w:rPr>
              <w:t>+变量系数</w:t>
            </w:r>
            <w:r>
              <w:rPr>
                <w:rFonts w:hint="eastAsia" w:ascii="仿宋_GB2312" w:hAnsi="宋体" w:eastAsia="仿宋_GB2312"/>
                <w:szCs w:val="21"/>
              </w:rPr>
              <w:t>）</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eastAsia="仿宋_GB2312"/>
              </w:rPr>
            </w:pPr>
            <w:r>
              <w:rPr>
                <w:rFonts w:hint="eastAsia" w:ascii="仿宋_GB2312" w:eastAsia="仿宋_GB2312"/>
              </w:rPr>
              <w:t>可能产生扬尘污染的建筑材料未在库房存放或者未严密遮盖</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第（四）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面积</w:t>
            </w:r>
            <w:r>
              <w:rPr>
                <w:rFonts w:ascii="仿宋_GB2312" w:eastAsia="仿宋_GB2312"/>
                <w:szCs w:val="21"/>
              </w:rPr>
              <w:t>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w:t>
            </w:r>
            <w:r>
              <w:rPr>
                <w:rFonts w:ascii="仿宋_GB2312" w:eastAsia="仿宋_GB2312"/>
                <w:szCs w:val="21"/>
              </w:rPr>
              <w:t>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w:t>
            </w:r>
            <w:r>
              <w:rPr>
                <w:rFonts w:ascii="仿宋_GB2312" w:eastAsia="仿宋_GB2312"/>
                <w:szCs w:val="21"/>
              </w:rPr>
              <w:t>2</w:t>
            </w:r>
            <w:r>
              <w:rPr>
                <w:rFonts w:hint="eastAsia" w:ascii="仿宋_GB2312" w:eastAsia="仿宋_GB2312"/>
                <w:szCs w:val="21"/>
              </w:rPr>
              <w:t>6－</w:t>
            </w:r>
            <w:r>
              <w:rPr>
                <w:rFonts w:ascii="仿宋_GB2312" w:eastAsia="仿宋_GB2312"/>
                <w:szCs w:val="21"/>
              </w:rPr>
              <w:t>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2，以此类推。2.造成尘土飞扬，严重污染环境的，系数为9。</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ascii="仿宋_GB2312" w:eastAsia="仿宋_GB2312"/>
                <w:szCs w:val="21"/>
              </w:rPr>
              <w:t>10</w:t>
            </w:r>
            <w:r>
              <w:rPr>
                <w:rFonts w:hint="eastAsia" w:ascii="仿宋_GB2312" w:eastAsia="仿宋_GB2312"/>
                <w:szCs w:val="21"/>
              </w:rPr>
              <w:t>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p>
            <w:pPr>
              <w:widowControl/>
              <w:jc w:val="left"/>
            </w:pPr>
          </w:p>
          <w:p>
            <w:pPr>
              <w:widowControl/>
              <w:jc w:val="left"/>
            </w:pPr>
            <w:r>
              <w:rPr>
                <w:rFonts w:hint="eastAsia" w:ascii="仿宋_GB2312" w:eastAsia="仿宋_GB2312"/>
                <w:szCs w:val="21"/>
              </w:rPr>
              <w:t>适用于施工现场相关违法行为的查处。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施工现场存放油料未采取防止泄漏和污染措施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三条第（四）项；处罚条款：第三十六条：违反本办法第二十三条规定，未按照规定采取措施或者采取措施不当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eastAsia="仿宋_GB2312"/>
                <w:szCs w:val="21"/>
              </w:rPr>
              <w:t>10000</w:t>
            </w:r>
          </w:p>
          <w:p>
            <w:pPr>
              <w:rPr>
                <w:rFonts w:ascii="仿宋_GB2312" w:eastAsia="仿宋_GB2312"/>
                <w:szCs w:val="21"/>
              </w:rPr>
            </w:pP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p>
            <w:pPr>
              <w:rPr>
                <w:rFonts w:ascii="仿宋_GB2312" w:eastAsia="仿宋_GB2312"/>
                <w:szCs w:val="21"/>
              </w:rPr>
            </w:pP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面积10</w:t>
            </w:r>
            <w:r>
              <w:rPr>
                <w:rFonts w:hint="eastAsia" w:ascii="Batang" w:hAnsi="Batang" w:eastAsia="Batang" w:cs="Batang"/>
                <w:szCs w:val="21"/>
              </w:rPr>
              <w:t>㎡</w:t>
            </w:r>
            <w:r>
              <w:rPr>
                <w:rFonts w:hint="eastAsia" w:ascii="仿宋_GB2312" w:hAnsi="仿宋_GB2312" w:eastAsia="仿宋_GB2312" w:cs="仿宋_GB2312"/>
                <w:szCs w:val="21"/>
              </w:rPr>
              <w:t>以下的，系数</w:t>
            </w:r>
            <w:r>
              <w:rPr>
                <w:rFonts w:hint="eastAsia" w:ascii="仿宋_GB2312" w:eastAsia="仿宋_GB2312"/>
                <w:szCs w:val="21"/>
              </w:rPr>
              <w:t>0；11－25</w:t>
            </w:r>
            <w:r>
              <w:rPr>
                <w:rFonts w:hint="eastAsia" w:ascii="Batang" w:hAnsi="Batang" w:eastAsia="Batang" w:cs="Batang"/>
                <w:szCs w:val="21"/>
              </w:rPr>
              <w:t>㎡</w:t>
            </w:r>
            <w:r>
              <w:rPr>
                <w:rFonts w:hint="eastAsia" w:ascii="仿宋_GB2312" w:hAnsi="仿宋_GB2312" w:eastAsia="仿宋_GB2312" w:cs="仿宋_GB2312"/>
                <w:szCs w:val="21"/>
              </w:rPr>
              <w:t>的，系数</w:t>
            </w:r>
            <w:r>
              <w:rPr>
                <w:rFonts w:hint="eastAsia" w:ascii="仿宋_GB2312" w:eastAsia="仿宋_GB2312"/>
                <w:szCs w:val="21"/>
              </w:rPr>
              <w:t>1；26－40</w:t>
            </w:r>
            <w:r>
              <w:rPr>
                <w:rFonts w:hint="eastAsia" w:ascii="Batang" w:hAnsi="Batang" w:eastAsia="Batang" w:cs="Batang"/>
                <w:szCs w:val="21"/>
              </w:rPr>
              <w:t>㎡</w:t>
            </w:r>
            <w:r>
              <w:rPr>
                <w:rFonts w:hint="eastAsia" w:ascii="仿宋_GB2312" w:hAnsi="仿宋_GB2312" w:eastAsia="仿宋_GB2312" w:cs="仿宋_GB2312"/>
                <w:szCs w:val="21"/>
              </w:rPr>
              <w:t>系数</w:t>
            </w:r>
            <w:r>
              <w:rPr>
                <w:rFonts w:hint="eastAsia" w:ascii="仿宋_GB2312" w:eastAsia="仿宋_GB2312"/>
                <w:szCs w:val="21"/>
              </w:rPr>
              <w:t>2，以此类推。2.其他严重污染环境情形的，系数为9。</w:t>
            </w:r>
          </w:p>
        </w:tc>
        <w:tc>
          <w:tcPr>
            <w:tcW w:w="1740" w:type="dxa"/>
            <w:gridSpan w:val="2"/>
            <w:shd w:val="clear" w:color="auto" w:fill="auto"/>
            <w:vAlign w:val="center"/>
          </w:tcPr>
          <w:p>
            <w:pPr>
              <w:rPr>
                <w:rFonts w:ascii="仿宋_GB2312" w:hAnsi="宋体" w:eastAsia="仿宋_GB2312"/>
                <w:szCs w:val="21"/>
              </w:rPr>
            </w:pPr>
            <w:r>
              <w:rPr>
                <w:rFonts w:hint="eastAsia" w:ascii="仿宋_GB2312" w:eastAsia="仿宋_GB2312"/>
                <w:szCs w:val="21"/>
              </w:rPr>
              <w:t>罚款数额＝</w:t>
            </w:r>
            <w:r>
              <w:rPr>
                <w:rFonts w:ascii="仿宋_GB2312" w:eastAsia="仿宋_GB2312"/>
                <w:szCs w:val="21"/>
              </w:rPr>
              <w:t>10</w:t>
            </w:r>
            <w:r>
              <w:rPr>
                <w:rFonts w:hint="eastAsia" w:ascii="仿宋_GB2312" w:eastAsia="仿宋_GB2312"/>
                <w:szCs w:val="21"/>
              </w:rPr>
              <w:t>000</w:t>
            </w:r>
            <w:r>
              <w:rPr>
                <w:rFonts w:hint="eastAsia" w:ascii="仿宋_GB2312" w:hAnsi="宋体" w:eastAsia="仿宋_GB2312"/>
                <w:szCs w:val="21"/>
              </w:rPr>
              <w:t>×（1+区域系数+情节系数+变量系数）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施工现场出口处未设置冲洗车辆设施</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违反条款：第二十四条；处罚条款：第</w:t>
            </w:r>
            <w:r>
              <w:rPr>
                <w:rFonts w:ascii="仿宋_GB2312" w:eastAsia="仿宋_GB2312"/>
              </w:rPr>
              <w:t>三十七条，</w:t>
            </w:r>
            <w:r>
              <w:rPr>
                <w:rFonts w:hint="eastAsia" w:ascii="仿宋_GB2312" w:eastAsia="仿宋_GB2312"/>
              </w:rPr>
              <w:t>违反本办法第二十四条规定，未设置冲洗车辆设施的，由城市管理综合执法部门责令限期改正，处1万元以上10万元以下罚款；逾期未改正的，责令停工整治。</w:t>
            </w:r>
          </w:p>
        </w:tc>
        <w:tc>
          <w:tcPr>
            <w:tcW w:w="961" w:type="dxa"/>
            <w:gridSpan w:val="4"/>
            <w:shd w:val="clear" w:color="auto" w:fill="auto"/>
            <w:noWrap/>
            <w:vAlign w:val="center"/>
          </w:tcPr>
          <w:p>
            <w:pPr>
              <w:rPr>
                <w:rFonts w:ascii="仿宋_GB2312" w:eastAsia="仿宋_GB2312"/>
                <w:szCs w:val="21"/>
              </w:rPr>
            </w:pPr>
            <w:r>
              <w:rPr>
                <w:rFonts w:ascii="仿宋_GB2312" w:hAnsi="宋体" w:eastAsia="仿宋_GB2312" w:cs="宋体"/>
                <w:kern w:val="0"/>
                <w:szCs w:val="21"/>
              </w:rPr>
              <w:t>20000</w:t>
            </w:r>
          </w:p>
        </w:tc>
        <w:tc>
          <w:tcPr>
            <w:tcW w:w="720" w:type="dxa"/>
            <w:gridSpan w:val="2"/>
            <w:shd w:val="clear" w:color="auto" w:fill="auto"/>
            <w:noWrap/>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rPr>
            </w:pPr>
          </w:p>
        </w:tc>
        <w:tc>
          <w:tcPr>
            <w:tcW w:w="1740" w:type="dxa"/>
            <w:gridSpan w:val="2"/>
            <w:shd w:val="clear" w:color="auto" w:fill="auto"/>
            <w:vAlign w:val="center"/>
          </w:tcPr>
          <w:p>
            <w:pPr>
              <w:rPr>
                <w:rFonts w:ascii="仿宋_GB2312" w:eastAsia="仿宋_GB2312"/>
              </w:rPr>
            </w:pPr>
            <w:r>
              <w:rPr>
                <w:rFonts w:hint="eastAsia" w:ascii="仿宋_GB2312" w:eastAsia="仿宋_GB2312"/>
                <w:szCs w:val="21"/>
              </w:rPr>
              <w:t>罚款数额＝</w:t>
            </w:r>
            <w:r>
              <w:rPr>
                <w:rFonts w:ascii="仿宋_GB2312" w:eastAsia="仿宋_GB2312"/>
                <w:szCs w:val="21"/>
              </w:rPr>
              <w:t>20</w:t>
            </w:r>
            <w:r>
              <w:rPr>
                <w:rFonts w:hint="eastAsia" w:ascii="仿宋_GB2312" w:eastAsia="仿宋_GB2312"/>
                <w:szCs w:val="21"/>
              </w:rPr>
              <w:t>000×（1+区域系数+情节系数）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eastAsia="仿宋_GB2312"/>
              </w:rPr>
            </w:pPr>
            <w:r>
              <w:rPr>
                <w:rFonts w:hint="eastAsia" w:ascii="仿宋_GB2312" w:eastAsia="仿宋_GB2312"/>
              </w:rPr>
              <w:t>未设密闭式垃圾站</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违反条款：第二十五条；处罚条款：第三十八条：责令改正，处1000元以上1万元以下罚款。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5000</w:t>
            </w:r>
          </w:p>
        </w:tc>
        <w:tc>
          <w:tcPr>
            <w:tcW w:w="720" w:type="dxa"/>
            <w:gridSpan w:val="2"/>
            <w:shd w:val="clear" w:color="auto" w:fill="auto"/>
            <w:noWrap/>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未设置时间持续较长、垃圾堆放量较大，垃圾飘洒、恶臭等环境脏乱严重等情形，系数为1。</w:t>
            </w:r>
          </w:p>
        </w:tc>
        <w:tc>
          <w:tcPr>
            <w:tcW w:w="1740" w:type="dxa"/>
            <w:gridSpan w:val="2"/>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罚款数额</w:t>
            </w:r>
            <w:r>
              <w:rPr>
                <w:rFonts w:hint="eastAsia" w:ascii="仿宋_GB2312" w:eastAsia="仿宋_GB2312"/>
                <w:szCs w:val="21"/>
              </w:rPr>
              <w:t>＝</w:t>
            </w:r>
            <w:r>
              <w:rPr>
                <w:rFonts w:hint="eastAsia" w:ascii="仿宋_GB2312" w:eastAsia="仿宋_GB2312"/>
              </w:rPr>
              <w:t>5000×（1+区域系数+情节系数+变量系数）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503" w:type="dxa"/>
            <w:gridSpan w:val="2"/>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eastAsia="仿宋_GB2312"/>
              </w:rPr>
            </w:pPr>
            <w:r>
              <w:rPr>
                <w:rFonts w:hint="eastAsia" w:ascii="仿宋_GB2312" w:eastAsia="仿宋_GB2312"/>
              </w:rPr>
              <w:t>未搭设密闭式专用垃圾通道或者未采用容器吊运的</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违反条款：第二十五条；处罚条款：第三十八条：责令改正，处1000元以上1万元以下罚款。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5000</w:t>
            </w:r>
          </w:p>
        </w:tc>
        <w:tc>
          <w:tcPr>
            <w:tcW w:w="720" w:type="dxa"/>
            <w:gridSpan w:val="2"/>
            <w:shd w:val="clear" w:color="auto" w:fill="auto"/>
            <w:noWrap/>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1</w:t>
            </w:r>
          </w:p>
        </w:tc>
        <w:tc>
          <w:tcPr>
            <w:tcW w:w="3600" w:type="dxa"/>
            <w:gridSpan w:val="7"/>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未搭设密闭式专用垃圾通道时间持续较长或不采用容器吊运时间较长的，系数为1。</w:t>
            </w:r>
          </w:p>
        </w:tc>
        <w:tc>
          <w:tcPr>
            <w:tcW w:w="1740" w:type="dxa"/>
            <w:gridSpan w:val="2"/>
            <w:shd w:val="clear" w:color="auto" w:fill="auto"/>
            <w:vAlign w:val="center"/>
          </w:tcPr>
          <w:p>
            <w:pPr>
              <w:widowControl/>
              <w:spacing w:line="0" w:lineRule="atLeast"/>
              <w:rPr>
                <w:rFonts w:ascii="仿宋_GB2312" w:hAnsi="宋体" w:eastAsia="仿宋_GB2312" w:cs="宋体"/>
                <w:dstrike/>
                <w:kern w:val="0"/>
                <w:szCs w:val="21"/>
              </w:rPr>
            </w:pPr>
            <w:r>
              <w:rPr>
                <w:rFonts w:hint="eastAsia" w:ascii="仿宋_GB2312" w:eastAsia="仿宋_GB2312"/>
              </w:rPr>
              <w:t>罚款数额</w:t>
            </w:r>
            <w:r>
              <w:rPr>
                <w:rFonts w:hint="eastAsia" w:ascii="仿宋_GB2312" w:eastAsia="仿宋_GB2312"/>
                <w:szCs w:val="21"/>
              </w:rPr>
              <w:t>＝</w:t>
            </w:r>
            <w:r>
              <w:rPr>
                <w:rFonts w:hint="eastAsia" w:ascii="仿宋_GB2312" w:eastAsia="仿宋_GB2312"/>
              </w:rPr>
              <w:t>5000×（1+区域系数+情节系数+变量系数）</w:t>
            </w:r>
          </w:p>
        </w:tc>
        <w:tc>
          <w:tcPr>
            <w:tcW w:w="2415" w:type="dxa"/>
            <w:gridSpan w:val="7"/>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w:t>
            </w:r>
            <w:r>
              <w:rPr>
                <w:rFonts w:hint="eastAsia" w:ascii="仿宋_GB2312" w:hAnsi="宋体" w:eastAsia="仿宋_GB2312" w:cs="宋体"/>
                <w:kern w:val="0"/>
                <w:szCs w:val="21"/>
              </w:rPr>
              <w:t>罚款额度的，说明</w:t>
            </w:r>
            <w:r>
              <w:rPr>
                <w:rFonts w:ascii="仿宋_GB2312" w:hAnsi="宋体" w:eastAsia="仿宋_GB2312" w:cs="宋体"/>
                <w:kern w:val="0"/>
                <w:szCs w:val="21"/>
              </w:rPr>
              <w:t>理由，报</w:t>
            </w:r>
            <w:r>
              <w:rPr>
                <w:rFonts w:hint="eastAsia" w:ascii="仿宋_GB2312" w:hAnsi="宋体" w:eastAsia="仿宋_GB2312" w:cs="宋体"/>
                <w:kern w:val="0"/>
                <w:szCs w:val="21"/>
              </w:rPr>
              <w:t>案</w:t>
            </w:r>
            <w:r>
              <w:rPr>
                <w:rFonts w:ascii="仿宋_GB2312" w:hAnsi="宋体" w:eastAsia="仿宋_GB2312" w:cs="宋体"/>
                <w:kern w:val="0"/>
                <w:szCs w:val="21"/>
              </w:rPr>
              <w:t>审会决定</w:t>
            </w:r>
            <w:r>
              <w:rPr>
                <w:rFonts w:hint="eastAsia" w:ascii="仿宋_GB2312" w:hAnsi="宋体" w:eastAsia="仿宋_GB2312"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未经批准进行夜间施工</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违反条款：第二十七条；处罚条款：第四十条：责令改正，处1万元以上3万元以下罚款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施工噪声较大或者持续时间较长，或者造成其它社会恶劣影响等情形，系数为1。</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罚款数额＝10000×（1＋区域系数＋情节系数＋变量系数）</w:t>
            </w:r>
          </w:p>
        </w:tc>
        <w:tc>
          <w:tcPr>
            <w:tcW w:w="2415" w:type="dxa"/>
            <w:gridSpan w:val="7"/>
            <w:vMerge w:val="restart"/>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超过批准期限夜间施工</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违反条款：第二十七条；处罚条款：第四十条：责令改正，处1万元以上3万元以下罚款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continue"/>
            <w:shd w:val="clear" w:color="auto" w:fill="auto"/>
            <w:vAlign w:val="center"/>
          </w:tcPr>
          <w:p>
            <w:pPr>
              <w:widowControl/>
              <w:spacing w:line="0" w:lineRule="atLeast"/>
              <w:rPr>
                <w:rFonts w:ascii="仿宋_GB2312" w:hAnsi="宋体" w:eastAsia="仿宋_GB2312" w:cs="宋体"/>
                <w:kern w:val="0"/>
                <w:sz w:val="24"/>
              </w:rPr>
            </w:pPr>
          </w:p>
        </w:tc>
        <w:tc>
          <w:tcPr>
            <w:tcW w:w="1740" w:type="dxa"/>
            <w:gridSpan w:val="2"/>
            <w:shd w:val="clear" w:color="auto" w:fill="auto"/>
            <w:vAlign w:val="center"/>
          </w:tcPr>
          <w:p>
            <w:pPr>
              <w:spacing w:line="0" w:lineRule="atLeast"/>
              <w:rPr>
                <w:rFonts w:ascii="仿宋_GB2312" w:hAnsi="宋体" w:eastAsia="仿宋_GB2312" w:cs="宋体"/>
                <w:kern w:val="0"/>
                <w:sz w:val="24"/>
              </w:rPr>
            </w:pPr>
            <w:r>
              <w:rPr>
                <w:rFonts w:hint="eastAsia" w:ascii="仿宋_GB2312" w:hAnsi="宋体" w:eastAsia="仿宋_GB2312" w:cs="宋体"/>
                <w:kern w:val="0"/>
                <w:szCs w:val="21"/>
              </w:rPr>
              <w:t>罚款数额＝10000×（1＋区域系数＋情节系数＋变量系数）</w:t>
            </w:r>
          </w:p>
        </w:tc>
        <w:tc>
          <w:tcPr>
            <w:tcW w:w="2415" w:type="dxa"/>
            <w:gridSpan w:val="7"/>
            <w:vMerge w:val="continue"/>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458" w:type="dxa"/>
            <w:gridSpan w:val="34"/>
            <w:shd w:val="clear" w:color="auto" w:fill="auto"/>
            <w:noWrap/>
            <w:vAlign w:val="center"/>
          </w:tcPr>
          <w:p>
            <w:pPr>
              <w:pStyle w:val="2"/>
              <w:rPr>
                <w:rFonts w:ascii="仿宋_GB2312" w:eastAsia="仿宋_GB2312"/>
                <w:sz w:val="28"/>
                <w:szCs w:val="28"/>
              </w:rPr>
            </w:pPr>
            <w:bookmarkStart w:id="54" w:name="_Toc39911707"/>
            <w:r>
              <w:rPr>
                <w:rFonts w:hint="eastAsia"/>
              </w:rPr>
              <w:t>停车场管理方面案由</w:t>
            </w:r>
            <w:r>
              <w:t>26</w:t>
            </w:r>
            <w:r>
              <w:rPr>
                <w:rFonts w:hint="eastAsia"/>
              </w:rPr>
              <w:t>项</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458" w:type="dxa"/>
            <w:gridSpan w:val="34"/>
            <w:shd w:val="clear" w:color="auto" w:fill="auto"/>
            <w:noWrap/>
            <w:vAlign w:val="center"/>
          </w:tcPr>
          <w:p>
            <w:pPr>
              <w:pStyle w:val="3"/>
              <w:rPr>
                <w:rFonts w:ascii="仿宋_GB2312" w:eastAsia="仿宋_GB2312"/>
                <w:sz w:val="32"/>
                <w:szCs w:val="32"/>
              </w:rPr>
            </w:pPr>
            <w:bookmarkStart w:id="55" w:name="_Toc39911708"/>
            <w:r>
              <w:rPr>
                <w:rFonts w:hint="eastAsia"/>
              </w:rPr>
              <w:t>《北京市机动车停车管理办法》案由13项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擅自停止使用机动车停车场</w:t>
            </w:r>
          </w:p>
        </w:tc>
        <w:tc>
          <w:tcPr>
            <w:tcW w:w="4325" w:type="dxa"/>
            <w:gridSpan w:val="9"/>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违反条款第十四条第一款；处罚条款：第三十一条：责令限期改正，恢复原状。</w:t>
            </w:r>
          </w:p>
        </w:tc>
        <w:tc>
          <w:tcPr>
            <w:tcW w:w="954" w:type="dxa"/>
            <w:gridSpan w:val="3"/>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擅自将机动车停车场改作他用</w:t>
            </w:r>
          </w:p>
        </w:tc>
        <w:tc>
          <w:tcPr>
            <w:tcW w:w="4325" w:type="dxa"/>
            <w:gridSpan w:val="9"/>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违反条款第十四条第一款；处罚条款;第三十一条:责令限期改正，恢复原状。</w:t>
            </w:r>
          </w:p>
        </w:tc>
        <w:tc>
          <w:tcPr>
            <w:tcW w:w="954" w:type="dxa"/>
            <w:gridSpan w:val="3"/>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3" w:type="dxa"/>
            <w:gridSpan w:val="2"/>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擅自将机动车临时停车场停止使用</w:t>
            </w:r>
          </w:p>
        </w:tc>
        <w:tc>
          <w:tcPr>
            <w:tcW w:w="4325" w:type="dxa"/>
            <w:gridSpan w:val="9"/>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违反条款第十四条第二款；处罚条款；第三十一条：责令限期改正，恢复原状。</w:t>
            </w:r>
          </w:p>
        </w:tc>
        <w:tc>
          <w:tcPr>
            <w:tcW w:w="954" w:type="dxa"/>
            <w:gridSpan w:val="3"/>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eastAsia="仿宋_GB2312"/>
              </w:rPr>
            </w:pPr>
            <w:r>
              <w:rPr>
                <w:rFonts w:hint="eastAsia" w:ascii="仿宋_GB2312" w:eastAsia="仿宋_GB2312"/>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无照经营（机动车停车场）</w:t>
            </w:r>
          </w:p>
        </w:tc>
        <w:tc>
          <w:tcPr>
            <w:tcW w:w="4318" w:type="dxa"/>
            <w:gridSpan w:val="8"/>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违反条款：《北京市机动车停车管理办法》第二十条第一款、《无证无照经营查处办法》第二条；</w:t>
            </w:r>
          </w:p>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处罚条款：《北京市机动车停车管理办法》第三十二条第一款、《无证无照经营查处办法》第十三条，责令停止违法行为，没收违法所得，并处1万元以下的罚款。</w:t>
            </w:r>
          </w:p>
        </w:tc>
        <w:tc>
          <w:tcPr>
            <w:tcW w:w="961" w:type="dxa"/>
            <w:gridSpan w:val="4"/>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3000</w:t>
            </w:r>
          </w:p>
        </w:tc>
        <w:tc>
          <w:tcPr>
            <w:tcW w:w="720" w:type="dxa"/>
            <w:gridSpan w:val="2"/>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1</w:t>
            </w:r>
          </w:p>
        </w:tc>
        <w:tc>
          <w:tcPr>
            <w:tcW w:w="3600" w:type="dxa"/>
            <w:gridSpan w:val="7"/>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按照《基准》的规定执行</w:t>
            </w:r>
          </w:p>
        </w:tc>
        <w:tc>
          <w:tcPr>
            <w:tcW w:w="1740" w:type="dxa"/>
            <w:gridSpan w:val="2"/>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罚款数额＝3000×（1＋区域系数＋情节系数）</w:t>
            </w:r>
          </w:p>
        </w:tc>
        <w:tc>
          <w:tcPr>
            <w:tcW w:w="2415" w:type="dxa"/>
            <w:gridSpan w:val="7"/>
            <w:shd w:val="clear" w:color="auto" w:fill="auto"/>
            <w:noWrap/>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对于首次违法，并出具保证书，提出从轻处罚申请的，报案审会审议，可以在3000元以下进行处罚。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未按规定对停车泊位备案</w:t>
            </w:r>
          </w:p>
        </w:tc>
        <w:tc>
          <w:tcPr>
            <w:tcW w:w="4318" w:type="dxa"/>
            <w:gridSpan w:val="8"/>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违反条款：第二十条第一款；处罚条款：第三十二条第二款:处1万元罚款.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停车场管理单位未配置完备的停车设施标志标识（或未为停车人进出提供明确的引导或未为残疾人提供必要服务）</w:t>
            </w:r>
          </w:p>
        </w:tc>
        <w:tc>
          <w:tcPr>
            <w:tcW w:w="4318" w:type="dxa"/>
            <w:gridSpan w:val="8"/>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违反条款：第二十一条第一款第（三）项；处罚条款：第三十三条第二款：给予警告，并责令限期改正；逾期未改正的，处1000元罚款；造成严重后果的，处5000元以上1万元以下罚款。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同时存在设施标志标识不“完备”、“未提供明确引导”、“未残疾人提供必要服务”等2个以上（含2个）违法行为的（认定可参照国家GB11/T-596-2008标准），系数0.5；同时存在本款2个以上（含2个）违法形态的，系数1。</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构成变量系数规定的情形之一，或者一年内2次以上同类违法行为受到告诫或处罚的，视为情节严重。</w:t>
            </w:r>
          </w:p>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停车场管理单位未指挥车辆按序进出和停放，维护停车秩序</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违反条款：第二十一条第一款第（四）项；处罚条款：第三十三条第二款：给予警告，并责令限期改正；逾期未改正的，处1000元罚款；造成严重后果的，处5000元以上1万元以下罚款。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hAnsi="宋体" w:eastAsia="仿宋_GB2312" w:cs="宋体"/>
                <w:sz w:val="24"/>
              </w:rPr>
            </w:pPr>
          </w:p>
        </w:tc>
        <w:tc>
          <w:tcPr>
            <w:tcW w:w="4318" w:type="dxa"/>
            <w:gridSpan w:val="8"/>
            <w:vMerge w:val="continue"/>
            <w:shd w:val="clear" w:color="auto" w:fill="auto"/>
            <w:vAlign w:val="center"/>
          </w:tcPr>
          <w:p>
            <w:pPr>
              <w:spacing w:line="240" w:lineRule="exact"/>
              <w:rPr>
                <w:rFonts w:ascii="仿宋_GB2312" w:hAnsi="宋体" w:eastAsia="仿宋_GB2312" w:cs="宋体"/>
                <w:sz w:val="24"/>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因未有效指挥和维护停车秩序，致使周边交通拥堵2小时以上的，或者因上述原因诱发停车事故或者交通事故的，系数1；同时存在本款2个以上（含2个）违法形态的，系数1。</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因未有效指挥和维护停车秩序，致使周边交通拥堵或者诱发其它停车事故、交通事故的，或者一年内2次以上同类违法行为受到告诫或处罚的，视为情节严重。</w:t>
            </w:r>
          </w:p>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3" w:type="dxa"/>
            <w:gridSpan w:val="2"/>
            <w:vMerge w:val="restart"/>
            <w:shd w:val="clear" w:color="auto" w:fill="auto"/>
            <w:noWrap/>
            <w:vAlign w:val="center"/>
          </w:tcPr>
          <w:p>
            <w:pPr>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vMerge w:val="restart"/>
            <w:shd w:val="clear" w:color="auto" w:fill="auto"/>
            <w:vAlign w:val="center"/>
          </w:tcPr>
          <w:p>
            <w:pPr>
              <w:spacing w:line="240" w:lineRule="exact"/>
              <w:rPr>
                <w:rFonts w:ascii="仿宋_GB2312" w:eastAsia="仿宋_GB2312"/>
              </w:rPr>
            </w:pPr>
            <w:r>
              <w:rPr>
                <w:rFonts w:hint="eastAsia" w:ascii="仿宋_GB2312" w:eastAsia="仿宋_GB2312"/>
              </w:rPr>
              <w:t>停车场管理单位未对停车管理员进行专业培训、考核</w:t>
            </w:r>
          </w:p>
        </w:tc>
        <w:tc>
          <w:tcPr>
            <w:tcW w:w="4318" w:type="dxa"/>
            <w:gridSpan w:val="8"/>
            <w:vMerge w:val="restart"/>
            <w:shd w:val="clear" w:color="auto" w:fill="auto"/>
            <w:vAlign w:val="center"/>
          </w:tcPr>
          <w:p>
            <w:pPr>
              <w:spacing w:line="240" w:lineRule="exact"/>
              <w:rPr>
                <w:rFonts w:ascii="仿宋_GB2312" w:eastAsia="仿宋_GB2312"/>
              </w:rPr>
            </w:pPr>
            <w:r>
              <w:rPr>
                <w:rFonts w:hint="eastAsia" w:ascii="仿宋_GB2312" w:eastAsia="仿宋_GB2312"/>
              </w:rPr>
              <w:t>违反条款：第二十一条第一款第（六）项；处罚条款：第三十三条第二款：给予警告，并责令限期改正；逾期未改正的，处1000元罚款；造成严重后果的，处5000元以上1万元以下罚款。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240" w:lineRule="exac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hAnsi="宋体" w:eastAsia="仿宋_GB2312" w:cs="宋体"/>
                <w:sz w:val="24"/>
              </w:rPr>
            </w:pPr>
          </w:p>
        </w:tc>
        <w:tc>
          <w:tcPr>
            <w:tcW w:w="4318" w:type="dxa"/>
            <w:gridSpan w:val="8"/>
            <w:vMerge w:val="continue"/>
            <w:shd w:val="clear" w:color="auto" w:fill="auto"/>
            <w:vAlign w:val="center"/>
          </w:tcPr>
          <w:p>
            <w:pPr>
              <w:spacing w:line="240" w:lineRule="exact"/>
              <w:rPr>
                <w:rFonts w:ascii="仿宋_GB2312" w:hAnsi="宋体" w:eastAsia="仿宋_GB2312" w:cs="宋体"/>
                <w:sz w:val="24"/>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经核实，管理单位长达半年以上未对管理员进行培训考核，或者存在3名以上管理员同时未参与培训、考核的情形，系数1。</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构成变量系数规定的情形之一，或者一年内2次以上同类违法行为受到告诫或处罚的，视为情节严重。</w:t>
            </w:r>
          </w:p>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3" w:type="dxa"/>
            <w:gridSpan w:val="2"/>
            <w:vMerge w:val="restart"/>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停车场管理单位在停车区域从事影响车辆安全停放的其它经营活动</w:t>
            </w:r>
          </w:p>
        </w:tc>
        <w:tc>
          <w:tcPr>
            <w:tcW w:w="4318" w:type="dxa"/>
            <w:gridSpan w:val="8"/>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违反条款：第二十一条第一款第（七）项；处罚条款：第三十三条第二款，给予警告，并责令限期改正；逾期未改正的，处1000元罚款；造成严重后果的，处5000元以上1万元以下罚款。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240" w:lineRule="exac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一年内群众投诉3次以上，或者致使周边交通拥堵的，或者因上述原因诱发停车事故或者交通事故的，系数1。</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致使周边交通拥堵或者诱发其它停车事故、交通事故的，或者一年内2次以上同类违法行为受到告诫或处罚的，视为情节严重。</w:t>
            </w:r>
          </w:p>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03" w:type="dxa"/>
            <w:gridSpan w:val="2"/>
            <w:vMerge w:val="restart"/>
            <w:shd w:val="clear" w:color="auto" w:fill="auto"/>
            <w:noWrap/>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停车场管理单位未建立投诉处理制度</w:t>
            </w:r>
          </w:p>
        </w:tc>
        <w:tc>
          <w:tcPr>
            <w:tcW w:w="4318" w:type="dxa"/>
            <w:gridSpan w:val="8"/>
            <w:vMerge w:val="restart"/>
            <w:shd w:val="clear" w:color="auto" w:fill="auto"/>
            <w:vAlign w:val="center"/>
          </w:tcPr>
          <w:p>
            <w:pPr>
              <w:spacing w:line="240" w:lineRule="exact"/>
              <w:rPr>
                <w:rFonts w:ascii="仿宋_GB2312" w:hAnsi="宋体" w:eastAsia="仿宋_GB2312" w:cs="宋体"/>
                <w:sz w:val="24"/>
              </w:rPr>
            </w:pPr>
            <w:r>
              <w:rPr>
                <w:rFonts w:hint="eastAsia" w:ascii="仿宋_GB2312" w:eastAsia="仿宋_GB2312"/>
              </w:rPr>
              <w:t>违反条款：第二十一条第一款第（八）项；处罚条款：第三十三条第二款：给予警告，并责令限期改正；逾期未改正的，处1000元罚款；造成严重后果的，处5000元以上1万元以下罚款。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240" w:lineRule="exact"/>
              <w:jc w:val="center"/>
              <w:rPr>
                <w:rFonts w:ascii="仿宋_GB2312" w:hAnsi="宋体" w:eastAsia="仿宋_GB2312" w:cs="宋体"/>
                <w:kern w:val="0"/>
                <w:szCs w:val="21"/>
              </w:rPr>
            </w:pPr>
          </w:p>
        </w:tc>
        <w:tc>
          <w:tcPr>
            <w:tcW w:w="1201" w:type="dxa"/>
            <w:gridSpan w:val="2"/>
            <w:vMerge w:val="continue"/>
            <w:shd w:val="clear" w:color="auto" w:fill="auto"/>
            <w:vAlign w:val="center"/>
          </w:tcPr>
          <w:p>
            <w:pPr>
              <w:spacing w:line="240" w:lineRule="exact"/>
              <w:rPr>
                <w:rFonts w:ascii="仿宋_GB2312" w:eastAsia="仿宋_GB2312"/>
              </w:rPr>
            </w:pPr>
          </w:p>
        </w:tc>
        <w:tc>
          <w:tcPr>
            <w:tcW w:w="4318" w:type="dxa"/>
            <w:gridSpan w:val="8"/>
            <w:vMerge w:val="continue"/>
            <w:shd w:val="clear" w:color="auto" w:fill="auto"/>
            <w:vAlign w:val="center"/>
          </w:tcPr>
          <w:p>
            <w:pPr>
              <w:spacing w:line="240" w:lineRule="exact"/>
              <w:rPr>
                <w:rFonts w:ascii="仿宋_GB2312" w:eastAsia="仿宋_GB2312"/>
              </w:rPr>
            </w:pPr>
          </w:p>
        </w:tc>
        <w:tc>
          <w:tcPr>
            <w:tcW w:w="961" w:type="dxa"/>
            <w:gridSpan w:val="4"/>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一年内群众投诉3次以上，或者诱发其它停车事故、交通事故、治安事件的，系数1。</w:t>
            </w:r>
          </w:p>
        </w:tc>
        <w:tc>
          <w:tcPr>
            <w:tcW w:w="1740" w:type="dxa"/>
            <w:gridSpan w:val="2"/>
            <w:shd w:val="clear" w:color="auto" w:fill="auto"/>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群众3次以上投诉，或者诱发其它停车事故、交通事故、治安事件的，或者一年内2次以上同类违法行为受到告诫或处罚的，视为情节严重。</w:t>
            </w:r>
          </w:p>
          <w:p>
            <w:pPr>
              <w:widowControl/>
              <w:spacing w:line="240" w:lineRule="exac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vMerge w:val="restart"/>
            <w:shd w:val="clear" w:color="auto" w:fill="auto"/>
            <w:vAlign w:val="center"/>
          </w:tcPr>
          <w:p>
            <w:pPr>
              <w:rPr>
                <w:rFonts w:ascii="仿宋_GB2312" w:hAnsi="宋体" w:eastAsia="仿宋_GB2312" w:cs="宋体"/>
                <w:sz w:val="24"/>
              </w:rPr>
            </w:pPr>
            <w:r>
              <w:rPr>
                <w:rFonts w:hint="eastAsia" w:ascii="仿宋_GB2312" w:eastAsia="仿宋_GB2312"/>
              </w:rPr>
              <w:t>停车场管理单位未遵守国家和本市其它相关停车管理服务规范和标准</w:t>
            </w:r>
          </w:p>
        </w:tc>
        <w:tc>
          <w:tcPr>
            <w:tcW w:w="4318" w:type="dxa"/>
            <w:gridSpan w:val="8"/>
            <w:vMerge w:val="restart"/>
            <w:shd w:val="clear" w:color="auto" w:fill="auto"/>
            <w:vAlign w:val="center"/>
          </w:tcPr>
          <w:p>
            <w:pPr>
              <w:rPr>
                <w:rFonts w:ascii="仿宋_GB2312" w:hAnsi="宋体" w:eastAsia="仿宋_GB2312" w:cs="宋体"/>
                <w:sz w:val="24"/>
              </w:rPr>
            </w:pPr>
            <w:r>
              <w:rPr>
                <w:rFonts w:hint="eastAsia" w:ascii="仿宋_GB2312" w:eastAsia="仿宋_GB2312"/>
              </w:rPr>
              <w:t>违反条款：第二十一条第一款第（九）项；处罚条款：第三十三条第二款：给予警告，并责令限期改正；逾期未改正的，处1000元罚款；造成严重后果的，处5000元以上1万元以下罚款。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一年内群众投诉3次以上，或者诱发其它停车事故、交通事故、治安事件的，系数1。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群众3次以上投诉，或者诱发其它停车事故、交通事故、治安事件的，或者一年内2次以上同类违法行为受到告诫或处罚的，视为情节严重。</w:t>
            </w:r>
          </w:p>
          <w:p>
            <w:pPr>
              <w:widowControl/>
              <w:spacing w:line="0" w:lineRule="atLeast"/>
              <w:rPr>
                <w:rFonts w:ascii="仿宋_GB2312" w:hAnsi="宋体" w:eastAsia="仿宋_GB2312" w:cs="宋体"/>
                <w:kern w:val="0"/>
                <w:szCs w:val="21"/>
              </w:rPr>
            </w:pPr>
            <w:r>
              <w:rPr>
                <w:rFonts w:hint="eastAsia" w:ascii="仿宋_GB2312" w:eastAsia="仿宋_GB2312"/>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停车场未按规定24小时开放</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违反条款：第二十一条第二款；处罚条款：第三十四条，责令限期改正，并处5000元以上1万元以下罚款。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一年内群众投诉3次以上的，系数1。</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hAnsi="宋体" w:eastAsia="仿宋_GB2312" w:cs="宋体"/>
                <w:sz w:val="24"/>
              </w:rPr>
            </w:pPr>
            <w:r>
              <w:rPr>
                <w:rFonts w:hint="eastAsia" w:ascii="仿宋_GB2312" w:eastAsia="仿宋_GB2312"/>
              </w:rPr>
              <w:t>擅自设置地桩、地锁等障碍物</w:t>
            </w:r>
          </w:p>
        </w:tc>
        <w:tc>
          <w:tcPr>
            <w:tcW w:w="4318" w:type="dxa"/>
            <w:gridSpan w:val="8"/>
            <w:shd w:val="clear" w:color="auto" w:fill="auto"/>
            <w:vAlign w:val="center"/>
          </w:tcPr>
          <w:p>
            <w:pPr>
              <w:rPr>
                <w:rFonts w:ascii="仿宋_GB2312" w:hAnsi="宋体" w:eastAsia="仿宋_GB2312" w:cs="宋体"/>
                <w:sz w:val="24"/>
              </w:rPr>
            </w:pPr>
            <w:r>
              <w:rPr>
                <w:rFonts w:hint="eastAsia" w:ascii="仿宋_GB2312" w:eastAsia="仿宋_GB2312"/>
              </w:rPr>
              <w:t>违反条款：第二十七条第一款；处罚条款：第三十七条，责令停止违法行为，恢复原状，并处500元以上5000元以下罚款。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 一年内群众投诉3次以上的，系数1；2.设置地桩、地锁等障碍物数量2个，系数1；3个，系数2，此次累加；3.存在其它严重影响通行和市容秩序、致使公共安全等事件的，系数9。</w:t>
            </w: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罚款数额＝500×（1＋区域系数＋情节系数＋变量系数）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优先适用《北京市机动车停车条例》“擅自设置固定或者可移动障碍物”。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58" w:type="dxa"/>
            <w:gridSpan w:val="34"/>
            <w:shd w:val="clear" w:color="auto" w:fill="auto"/>
            <w:noWrap/>
            <w:vAlign w:val="center"/>
          </w:tcPr>
          <w:p>
            <w:pPr>
              <w:pStyle w:val="3"/>
            </w:pPr>
            <w:bookmarkStart w:id="56" w:name="_Toc39911709"/>
            <w:r>
              <w:rPr>
                <w:rFonts w:hint="eastAsia"/>
              </w:rPr>
              <w:t>《北京市</w:t>
            </w:r>
            <w:r>
              <w:t>机动车停车条例</w:t>
            </w:r>
            <w:r>
              <w:rPr>
                <w:rFonts w:hint="eastAsia"/>
              </w:rPr>
              <w:t>》案由6项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557" w:type="dxa"/>
            <w:gridSpan w:val="4"/>
            <w:shd w:val="clear" w:color="auto" w:fill="auto"/>
            <w:vAlign w:val="center"/>
          </w:tcPr>
          <w:p>
            <w:pPr>
              <w:widowControl/>
              <w:jc w:val="left"/>
              <w:rPr>
                <w:rFonts w:ascii="仿宋_GB2312" w:eastAsia="仿宋_GB2312"/>
                <w:kern w:val="0"/>
                <w:szCs w:val="21"/>
              </w:rPr>
            </w:pPr>
            <w:r>
              <w:rPr>
                <w:rFonts w:hint="eastAsia" w:ascii="仿宋_GB2312" w:eastAsia="仿宋_GB2312"/>
                <w:szCs w:val="21"/>
              </w:rPr>
              <w:t>未如实报送停车设施设置情况</w:t>
            </w:r>
          </w:p>
        </w:tc>
        <w:tc>
          <w:tcPr>
            <w:tcW w:w="3962" w:type="dxa"/>
            <w:gridSpan w:val="6"/>
            <w:shd w:val="clear" w:color="auto" w:fill="auto"/>
            <w:vAlign w:val="center"/>
          </w:tcPr>
          <w:p>
            <w:pPr>
              <w:rPr>
                <w:rFonts w:ascii="仿宋_GB2312" w:eastAsia="仿宋_GB2312"/>
              </w:rPr>
            </w:pPr>
            <w:r>
              <w:rPr>
                <w:rFonts w:hint="eastAsia" w:ascii="仿宋_GB2312" w:eastAsia="仿宋_GB2312"/>
              </w:rPr>
              <w:t>违反条款：第二十一条第一款。</w:t>
            </w:r>
          </w:p>
          <w:p>
            <w:pPr>
              <w:rPr>
                <w:rFonts w:ascii="仿宋_GB2312" w:eastAsia="仿宋_GB2312"/>
              </w:rPr>
            </w:pPr>
            <w:r>
              <w:rPr>
                <w:rFonts w:hint="eastAsia" w:ascii="仿宋_GB2312" w:eastAsia="仿宋_GB2312"/>
              </w:rPr>
              <w:t>处罚条款：第二十一条第三款，责令限期改正；逾期未改正的，处1万元罚款。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557" w:type="dxa"/>
            <w:gridSpan w:val="4"/>
            <w:shd w:val="clear" w:color="auto" w:fill="auto"/>
            <w:vAlign w:val="center"/>
          </w:tcPr>
          <w:p>
            <w:pPr>
              <w:rPr>
                <w:rFonts w:ascii="仿宋_GB2312" w:eastAsia="仿宋_GB2312"/>
                <w:szCs w:val="21"/>
              </w:rPr>
            </w:pPr>
            <w:r>
              <w:rPr>
                <w:rFonts w:hint="eastAsia" w:ascii="仿宋_GB2312" w:eastAsia="仿宋_GB2312"/>
                <w:szCs w:val="21"/>
              </w:rPr>
              <w:t>未按照规定时限（或未如实）报送停车设施设置情况</w:t>
            </w:r>
          </w:p>
        </w:tc>
        <w:tc>
          <w:tcPr>
            <w:tcW w:w="3962" w:type="dxa"/>
            <w:gridSpan w:val="6"/>
            <w:shd w:val="clear" w:color="auto" w:fill="auto"/>
            <w:vAlign w:val="center"/>
          </w:tcPr>
          <w:p>
            <w:pPr>
              <w:rPr>
                <w:rFonts w:ascii="仿宋_GB2312" w:eastAsia="仿宋_GB2312"/>
              </w:rPr>
            </w:pPr>
            <w:r>
              <w:rPr>
                <w:rFonts w:hint="eastAsia" w:ascii="仿宋_GB2312" w:eastAsia="仿宋_GB2312"/>
              </w:rPr>
              <w:t>违反条款：第二十二条第一款。</w:t>
            </w:r>
          </w:p>
          <w:p>
            <w:pPr>
              <w:rPr>
                <w:rFonts w:ascii="仿宋_GB2312" w:eastAsia="仿宋_GB2312"/>
              </w:rPr>
            </w:pPr>
            <w:r>
              <w:rPr>
                <w:rFonts w:hint="eastAsia" w:ascii="仿宋_GB2312" w:eastAsia="仿宋_GB2312"/>
              </w:rPr>
              <w:t>处罚条款：第二十二条第二款，责令限期改正；逾期未改正的，处2000元罚款。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557" w:type="dxa"/>
            <w:gridSpan w:val="4"/>
            <w:shd w:val="clear" w:color="auto" w:fill="auto"/>
            <w:vAlign w:val="center"/>
          </w:tcPr>
          <w:p>
            <w:pPr>
              <w:rPr>
                <w:rFonts w:ascii="仿宋_GB2312" w:eastAsia="仿宋_GB2312"/>
                <w:szCs w:val="21"/>
              </w:rPr>
            </w:pPr>
            <w:r>
              <w:rPr>
                <w:rFonts w:hint="eastAsia" w:ascii="仿宋_GB2312" w:eastAsia="仿宋_GB2312"/>
                <w:szCs w:val="21"/>
              </w:rPr>
              <w:t>公共停车设施未按照标准配建停车诱导设施（进出车辆信息采集及号牌系统、与所在区域停车诱导系统实时对接）</w:t>
            </w:r>
          </w:p>
        </w:tc>
        <w:tc>
          <w:tcPr>
            <w:tcW w:w="3962" w:type="dxa"/>
            <w:gridSpan w:val="6"/>
            <w:shd w:val="clear" w:color="auto" w:fill="auto"/>
            <w:vAlign w:val="center"/>
          </w:tcPr>
          <w:p>
            <w:pPr>
              <w:rPr>
                <w:rFonts w:ascii="仿宋_GB2312" w:eastAsia="仿宋_GB2312"/>
              </w:rPr>
            </w:pPr>
            <w:r>
              <w:rPr>
                <w:rFonts w:hint="eastAsia" w:ascii="仿宋_GB2312" w:eastAsia="仿宋_GB2312"/>
              </w:rPr>
              <w:t>违反条款：第二十四条第二款。</w:t>
            </w:r>
          </w:p>
          <w:p>
            <w:pPr>
              <w:rPr>
                <w:rFonts w:ascii="仿宋_GB2312" w:eastAsia="仿宋_GB2312"/>
              </w:rPr>
            </w:pPr>
            <w:r>
              <w:rPr>
                <w:rFonts w:hint="eastAsia" w:ascii="仿宋_GB2312" w:eastAsia="仿宋_GB2312"/>
              </w:rPr>
              <w:t>处罚条款：第二十四条第三款，责令限期改正；逾期未改正的，处1万元罚款。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擅自设置固定或者可移动障碍物</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违反条款：第二十六条第一款。</w:t>
            </w:r>
          </w:p>
          <w:p>
            <w:pPr>
              <w:rPr>
                <w:rFonts w:ascii="仿宋_GB2312" w:eastAsia="仿宋_GB2312"/>
              </w:rPr>
            </w:pPr>
            <w:r>
              <w:rPr>
                <w:rFonts w:hint="eastAsia" w:ascii="仿宋_GB2312" w:eastAsia="仿宋_GB2312"/>
              </w:rPr>
              <w:t>处罚条款：第二十六条第二款，责令停止违法行为，恢复原状，并处500元以上1000元以下罚款。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eastAsia="仿宋_GB2312"/>
              </w:rPr>
              <w:t>罚款数额＝500×（1＋情节系数）</w:t>
            </w:r>
          </w:p>
        </w:tc>
        <w:tc>
          <w:tcPr>
            <w:tcW w:w="2415" w:type="dxa"/>
            <w:gridSpan w:val="7"/>
            <w:shd w:val="clear" w:color="auto" w:fill="auto"/>
            <w:noWrap/>
            <w:vAlign w:val="center"/>
          </w:tcPr>
          <w:p>
            <w:pPr>
              <w:widowControl/>
              <w:spacing w:line="0" w:lineRule="atLeast"/>
              <w:rPr>
                <w:rFonts w:ascii="仿宋_GB2312" w:eastAsia="仿宋_GB2312"/>
              </w:rPr>
            </w:pPr>
            <w:r>
              <w:rPr>
                <w:rFonts w:ascii="仿宋_GB2312" w:eastAsia="仿宋_GB2312"/>
              </w:rPr>
              <w:t>1.</w:t>
            </w:r>
            <w:r>
              <w:rPr>
                <w:rFonts w:hint="eastAsia" w:ascii="仿宋_GB2312" w:eastAsia="仿宋_GB2312"/>
              </w:rPr>
              <w:t>该条规定的障碍物包括地桩、地锁等固定式障碍物和废旧桌椅、自行车等可移动障碍物，和《办法》规定的“地桩、地锁等障碍物”有所区别。2.交管部门负责“道路”范围内违法行为；住建部门负责“实行物业管理的居住小区”内违法行为；城管执法机关负责“其它公共场所内”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停车场未按规定24小时开放</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违反条款：第三十二条第二款。</w:t>
            </w:r>
          </w:p>
          <w:p>
            <w:pPr>
              <w:rPr>
                <w:rFonts w:ascii="仿宋_GB2312" w:eastAsia="仿宋_GB2312"/>
              </w:rPr>
            </w:pPr>
            <w:r>
              <w:rPr>
                <w:rFonts w:hint="eastAsia" w:ascii="仿宋_GB2312" w:eastAsia="仿宋_GB2312"/>
              </w:rPr>
              <w:t>处罚条款：第三十二条第二款，责令限期改正，并处5000元以上1万元以下罚款。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eastAsia="仿宋_GB2312"/>
              </w:rPr>
              <w:t>罚款数额＝5000×（1＋情节系数＋变量系数）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楷体_GB2312" w:eastAsia="楷体_GB2312"/>
              </w:rPr>
              <w:t>1</w:t>
            </w:r>
            <w:r>
              <w:rPr>
                <w:rFonts w:ascii="楷体_GB2312" w:eastAsia="楷体_GB2312"/>
              </w:rPr>
              <w:t>.</w:t>
            </w:r>
            <w:r>
              <w:rPr>
                <w:rFonts w:hint="eastAsia" w:ascii="楷体_GB2312" w:eastAsia="楷体_GB2312"/>
              </w:rPr>
              <w:t>仅限于中心城区范围内经营性停车设施；2</w:t>
            </w:r>
            <w:r>
              <w:rPr>
                <w:rFonts w:ascii="楷体_GB2312" w:eastAsia="楷体_GB2312"/>
              </w:rPr>
              <w:t>.</w:t>
            </w:r>
            <w:r>
              <w:rPr>
                <w:rFonts w:hint="eastAsia" w:ascii="楷体_GB2312" w:eastAsia="楷体_GB2312"/>
              </w:rPr>
              <w:t>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违反规划将停车设施改作他用</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违反条款：第三十三条第一款。</w:t>
            </w:r>
          </w:p>
          <w:p>
            <w:pPr>
              <w:rPr>
                <w:rFonts w:ascii="仿宋_GB2312" w:eastAsia="仿宋_GB2312"/>
              </w:rPr>
            </w:pPr>
            <w:r>
              <w:rPr>
                <w:rFonts w:hint="eastAsia" w:ascii="仿宋_GB2312" w:eastAsia="仿宋_GB2312"/>
              </w:rPr>
              <w:t>处罚条款：第三十三条第四款，责令限期改正、恢复原状，并处每个泊位1万元罚款。</w:t>
            </w:r>
          </w:p>
        </w:tc>
        <w:tc>
          <w:tcPr>
            <w:tcW w:w="961" w:type="dxa"/>
            <w:gridSpan w:val="4"/>
            <w:shd w:val="clear" w:color="auto" w:fill="auto"/>
            <w:noWrap/>
            <w:vAlign w:val="center"/>
          </w:tcPr>
          <w:p>
            <w:pPr>
              <w:widowControl/>
              <w:spacing w:line="0" w:lineRule="atLeast"/>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rPr>
                <w:rFonts w:ascii="仿宋_GB2312" w:hAnsi="宋体" w:eastAsia="仿宋_GB2312" w:cs="宋体"/>
                <w:kern w:val="0"/>
                <w:szCs w:val="21"/>
              </w:rPr>
            </w:pP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p>
        </w:tc>
        <w:tc>
          <w:tcPr>
            <w:tcW w:w="1740" w:type="dxa"/>
            <w:gridSpan w:val="2"/>
            <w:shd w:val="clear" w:color="auto" w:fill="auto"/>
            <w:vAlign w:val="center"/>
          </w:tcPr>
          <w:p>
            <w:pPr>
              <w:widowControl/>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eastAsia="仿宋_GB2312"/>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5458" w:type="dxa"/>
            <w:gridSpan w:val="34"/>
            <w:shd w:val="clear" w:color="auto" w:fill="auto"/>
            <w:noWrap/>
            <w:vAlign w:val="center"/>
          </w:tcPr>
          <w:p>
            <w:pPr>
              <w:pStyle w:val="3"/>
            </w:pPr>
            <w:bookmarkStart w:id="57" w:name="_Toc39911710"/>
            <w:r>
              <w:rPr>
                <w:rFonts w:hint="eastAsia"/>
              </w:rPr>
              <w:t>《北京市非机动车停车管理办法》《北京市</w:t>
            </w:r>
            <w:r>
              <w:t>非机动车</w:t>
            </w:r>
            <w:r>
              <w:rPr>
                <w:rFonts w:hint="eastAsia"/>
              </w:rPr>
              <w:t>管理</w:t>
            </w:r>
            <w:r>
              <w:t>条例</w:t>
            </w:r>
            <w:r>
              <w:rPr>
                <w:rFonts w:hint="eastAsia"/>
              </w:rPr>
              <w:t>》案由</w:t>
            </w:r>
            <w:r>
              <w:t>6</w:t>
            </w:r>
            <w:r>
              <w:rPr>
                <w:rFonts w:hint="eastAsia"/>
              </w:rPr>
              <w:t>项</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tcBorders>
              <w:top w:val="single" w:color="000000" w:sz="4" w:space="0"/>
              <w:left w:val="single" w:color="000000" w:sz="4" w:space="0"/>
              <w:bottom w:val="single" w:color="000000" w:sz="4" w:space="0"/>
              <w:right w:val="single" w:color="000000" w:sz="4" w:space="0"/>
            </w:tcBorders>
            <w:noWrap/>
            <w:vAlign w:val="center"/>
          </w:tcPr>
          <w:p>
            <w:pPr>
              <w:ind w:firstLine="105" w:firstLineChars="50"/>
              <w:rPr>
                <w:rFonts w:ascii="仿宋_GB2312" w:eastAsia="仿宋_GB2312"/>
                <w:b/>
                <w:szCs w:val="21"/>
              </w:rPr>
            </w:pPr>
            <w:r>
              <w:rPr>
                <w:rFonts w:hint="eastAsia" w:ascii="仿宋_GB2312" w:eastAsia="仿宋_GB2312"/>
                <w:b/>
                <w:szCs w:val="21"/>
              </w:rPr>
              <w:t>1</w:t>
            </w: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非机动车公共停车场未对公众开放</w:t>
            </w:r>
          </w:p>
        </w:tc>
        <w:tc>
          <w:tcPr>
            <w:tcW w:w="4318" w:type="dxa"/>
            <w:gridSpan w:val="8"/>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违反条款：《北京市非机动车停车管理办法》第九条第一款；</w:t>
            </w:r>
          </w:p>
          <w:p>
            <w:pPr>
              <w:rPr>
                <w:rFonts w:ascii="仿宋_GB2312" w:eastAsia="仿宋_GB2312"/>
                <w:szCs w:val="21"/>
              </w:rPr>
            </w:pPr>
            <w:r>
              <w:rPr>
                <w:rFonts w:hint="eastAsia" w:ascii="仿宋_GB2312" w:eastAsia="仿宋_GB2312"/>
                <w:szCs w:val="21"/>
              </w:rPr>
              <w:t>处罚条款：《北京市非机动车停车管理办法》第十五条 责令限期改正，处500元以上1000元以下罚款。</w:t>
            </w:r>
          </w:p>
        </w:tc>
        <w:tc>
          <w:tcPr>
            <w:tcW w:w="961" w:type="dxa"/>
            <w:gridSpan w:val="4"/>
            <w:tcBorders>
              <w:top w:val="single" w:color="000000" w:sz="4" w:space="0"/>
              <w:left w:val="single" w:color="000000" w:sz="4" w:space="0"/>
              <w:bottom w:val="single" w:color="000000" w:sz="4" w:space="0"/>
              <w:right w:val="single" w:color="000000" w:sz="4" w:space="0"/>
            </w:tcBorders>
            <w:noWrap/>
            <w:vAlign w:val="center"/>
          </w:tcPr>
          <w:p>
            <w:pPr>
              <w:ind w:firstLine="105" w:firstLineChars="50"/>
              <w:rPr>
                <w:rFonts w:ascii="仿宋_GB2312" w:eastAsia="仿宋_GB2312"/>
                <w:szCs w:val="21"/>
              </w:rPr>
            </w:pPr>
            <w:r>
              <w:rPr>
                <w:rFonts w:hint="eastAsia" w:ascii="仿宋_GB2312" w:eastAsia="仿宋_GB2312"/>
                <w:szCs w:val="21"/>
              </w:rPr>
              <w:t>500</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仿宋_GB2312" w:eastAsia="仿宋_GB2312"/>
                <w:szCs w:val="21"/>
              </w:rPr>
            </w:pPr>
            <w:r>
              <w:rPr>
                <w:rFonts w:hint="eastAsia" w:ascii="仿宋_GB2312" w:eastAsia="仿宋_GB2312"/>
                <w:szCs w:val="21"/>
              </w:rPr>
              <w:t xml:space="preserve">  1</w:t>
            </w:r>
          </w:p>
        </w:tc>
        <w:tc>
          <w:tcPr>
            <w:tcW w:w="3600" w:type="dxa"/>
            <w:gridSpan w:val="7"/>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按照《基准》的规定执行</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罚款数额=500×（1+区域系数+情节系数）</w:t>
            </w:r>
          </w:p>
        </w:tc>
        <w:tc>
          <w:tcPr>
            <w:tcW w:w="2415" w:type="dxa"/>
            <w:gridSpan w:val="7"/>
            <w:tcBorders>
              <w:top w:val="single" w:color="000000" w:sz="4" w:space="0"/>
              <w:left w:val="single" w:color="000000" w:sz="4" w:space="0"/>
              <w:bottom w:val="single" w:color="000000" w:sz="4" w:space="0"/>
              <w:right w:val="single" w:color="000000" w:sz="4" w:space="0"/>
            </w:tcBorders>
            <w:noWrap/>
            <w:vAlign w:val="center"/>
          </w:tcPr>
          <w:p>
            <w:pPr>
              <w:jc w:val="center"/>
              <w:rPr>
                <w:rFonts w:ascii="仿宋_GB2312" w:eastAsia="仿宋_GB2312"/>
                <w:szCs w:val="21"/>
              </w:rPr>
            </w:pPr>
            <w:r>
              <w:rPr>
                <w:rFonts w:hint="eastAsia" w:ascii="仿宋_GB2312" w:eastAsia="仿宋_GB2312"/>
                <w:szCs w:val="21"/>
              </w:rPr>
              <w:t>增加区域系数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before="100" w:beforeAutospacing="1" w:after="100" w:afterAutospacing="1"/>
              <w:jc w:val="center"/>
              <w:rPr>
                <w:rFonts w:ascii="仿宋_GB2312" w:hAnsi="Arial" w:eastAsia="仿宋_GB2312" w:cs="Arial"/>
                <w:b/>
                <w:kern w:val="0"/>
                <w:szCs w:val="21"/>
              </w:rPr>
            </w:pPr>
            <w:r>
              <w:rPr>
                <w:rFonts w:hint="eastAsia" w:ascii="仿宋_GB2312" w:hAnsi="Arial" w:eastAsia="仿宋_GB2312" w:cs="Arial"/>
                <w:b/>
                <w:kern w:val="0"/>
                <w:szCs w:val="21"/>
              </w:rPr>
              <w:t>2</w:t>
            </w:r>
          </w:p>
        </w:tc>
        <w:tc>
          <w:tcPr>
            <w:tcW w:w="1201"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擅自侵占、停止使用非机动车公共停车场或者将其挪作他用</w:t>
            </w:r>
          </w:p>
        </w:tc>
        <w:tc>
          <w:tcPr>
            <w:tcW w:w="4318" w:type="dxa"/>
            <w:gridSpan w:val="8"/>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违反条款：《北京市非机动车停车管理办法》第九条第一款；</w:t>
            </w:r>
          </w:p>
          <w:p>
            <w:pPr>
              <w:rPr>
                <w:rFonts w:ascii="仿宋_GB2312" w:eastAsia="仿宋_GB2312"/>
                <w:szCs w:val="21"/>
              </w:rPr>
            </w:pPr>
            <w:r>
              <w:rPr>
                <w:rFonts w:hint="eastAsia" w:ascii="仿宋_GB2312" w:eastAsia="仿宋_GB2312"/>
                <w:szCs w:val="21"/>
              </w:rPr>
              <w:t>处罚条款：《北京市非机动车停车管理办法》第十五条 责令限期改正，处500元以上1000元以下罚款。</w:t>
            </w:r>
          </w:p>
        </w:tc>
        <w:tc>
          <w:tcPr>
            <w:tcW w:w="961" w:type="dxa"/>
            <w:gridSpan w:val="4"/>
            <w:tcBorders>
              <w:top w:val="single" w:color="000000" w:sz="4" w:space="0"/>
              <w:left w:val="single" w:color="000000" w:sz="4" w:space="0"/>
              <w:bottom w:val="single" w:color="000000" w:sz="4" w:space="0"/>
              <w:right w:val="single" w:color="000000" w:sz="4" w:space="0"/>
            </w:tcBorders>
            <w:noWrap/>
            <w:vAlign w:val="center"/>
          </w:tcPr>
          <w:p>
            <w:pPr>
              <w:ind w:firstLine="105" w:firstLineChars="50"/>
              <w:rPr>
                <w:rFonts w:ascii="仿宋_GB2312" w:eastAsia="仿宋_GB2312"/>
                <w:szCs w:val="21"/>
              </w:rPr>
            </w:pPr>
            <w:r>
              <w:rPr>
                <w:rFonts w:hint="eastAsia" w:ascii="仿宋_GB2312" w:eastAsia="仿宋_GB2312"/>
                <w:szCs w:val="21"/>
              </w:rPr>
              <w:t>500</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ind w:firstLine="105" w:firstLineChars="50"/>
              <w:rPr>
                <w:rFonts w:ascii="仿宋_GB2312" w:eastAsia="仿宋_GB2312"/>
                <w:szCs w:val="21"/>
              </w:rPr>
            </w:pPr>
            <w:r>
              <w:rPr>
                <w:rFonts w:hint="eastAsia" w:ascii="仿宋_GB2312" w:eastAsia="仿宋_GB2312"/>
                <w:szCs w:val="21"/>
              </w:rPr>
              <w:t>1</w:t>
            </w:r>
          </w:p>
        </w:tc>
        <w:tc>
          <w:tcPr>
            <w:tcW w:w="3600" w:type="dxa"/>
            <w:gridSpan w:val="7"/>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按照《基准》的规定执行</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Cs w:val="21"/>
              </w:rPr>
            </w:pPr>
            <w:r>
              <w:rPr>
                <w:rFonts w:hint="eastAsia" w:ascii="仿宋_GB2312" w:eastAsia="仿宋_GB2312"/>
                <w:szCs w:val="21"/>
              </w:rPr>
              <w:t>罚款数额=500×（1+区域系数+情节系数）</w:t>
            </w:r>
          </w:p>
        </w:tc>
        <w:tc>
          <w:tcPr>
            <w:tcW w:w="2415" w:type="dxa"/>
            <w:gridSpan w:val="7"/>
            <w:tcBorders>
              <w:top w:val="single" w:color="000000" w:sz="4" w:space="0"/>
              <w:left w:val="single" w:color="000000" w:sz="4" w:space="0"/>
              <w:bottom w:val="single" w:color="000000" w:sz="4" w:space="0"/>
              <w:right w:val="single" w:color="000000" w:sz="4" w:space="0"/>
            </w:tcBorders>
            <w:noWrap/>
            <w:vAlign w:val="center"/>
          </w:tcPr>
          <w:p>
            <w:pPr>
              <w:ind w:firstLine="210" w:firstLineChars="100"/>
              <w:rPr>
                <w:rFonts w:ascii="仿宋_GB2312" w:eastAsia="仿宋_GB2312"/>
                <w:szCs w:val="21"/>
              </w:rPr>
            </w:pPr>
            <w:r>
              <w:rPr>
                <w:rFonts w:hint="eastAsia" w:ascii="仿宋_GB2312" w:eastAsia="仿宋_GB2312"/>
                <w:szCs w:val="21"/>
              </w:rPr>
              <w:t>增加区域系数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tcBorders>
              <w:top w:val="single" w:color="000000" w:sz="4" w:space="0"/>
              <w:left w:val="single" w:color="000000" w:sz="4" w:space="0"/>
              <w:right w:val="single" w:color="000000" w:sz="4" w:space="0"/>
            </w:tcBorders>
            <w:noWrap/>
            <w:vAlign w:val="center"/>
          </w:tcPr>
          <w:p>
            <w:pPr>
              <w:spacing w:before="100" w:beforeAutospacing="1" w:after="100" w:afterAutospacing="1"/>
              <w:jc w:val="center"/>
              <w:rPr>
                <w:rFonts w:ascii="仿宋_GB2312" w:hAnsi="Arial" w:eastAsia="仿宋_GB2312" w:cs="Arial"/>
                <w:b/>
                <w:kern w:val="0"/>
                <w:szCs w:val="21"/>
              </w:rPr>
            </w:pPr>
            <w:r>
              <w:rPr>
                <w:rFonts w:ascii="仿宋_GB2312" w:hAnsi="Arial" w:eastAsia="仿宋_GB2312" w:cs="Arial"/>
                <w:b/>
                <w:kern w:val="0"/>
                <w:szCs w:val="21"/>
              </w:rPr>
              <w:t>3</w:t>
            </w:r>
          </w:p>
        </w:tc>
        <w:tc>
          <w:tcPr>
            <w:tcW w:w="1201"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ascii="仿宋_GB2312" w:eastAsia="仿宋_GB2312"/>
                <w:szCs w:val="21"/>
              </w:rPr>
            </w:pPr>
            <w:r>
              <w:rPr>
                <w:rFonts w:hint="eastAsia" w:ascii="仿宋_GB2312" w:eastAsia="仿宋_GB2312"/>
                <w:szCs w:val="21"/>
              </w:rPr>
              <w:t>非机动车公共停车场未按规范设置</w:t>
            </w:r>
          </w:p>
        </w:tc>
        <w:tc>
          <w:tcPr>
            <w:tcW w:w="4318" w:type="dxa"/>
            <w:gridSpan w:val="8"/>
            <w:shd w:val="clear" w:color="auto" w:fill="auto"/>
            <w:vAlign w:val="center"/>
          </w:tcPr>
          <w:p>
            <w:pPr>
              <w:spacing w:line="240" w:lineRule="exact"/>
              <w:rPr>
                <w:rFonts w:ascii="仿宋_GB2312" w:eastAsia="仿宋_GB2312"/>
                <w:szCs w:val="21"/>
              </w:rPr>
            </w:pPr>
            <w:r>
              <w:rPr>
                <w:rFonts w:hint="eastAsia" w:ascii="仿宋_GB2312" w:eastAsia="仿宋_GB2312"/>
                <w:szCs w:val="21"/>
              </w:rPr>
              <w:t>违反条款：《北京市非机动车管理条例》第二十二条第一款；处罚条款：《北京市非机动车管理条例》第三十二条第一款 责令改正，处1000元以上5000元以下罚款。</w:t>
            </w:r>
          </w:p>
        </w:tc>
        <w:tc>
          <w:tcPr>
            <w:tcW w:w="961"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1000</w:t>
            </w:r>
          </w:p>
        </w:tc>
        <w:tc>
          <w:tcPr>
            <w:tcW w:w="72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vMerge w:val="restart"/>
            <w:tcBorders>
              <w:top w:val="single" w:color="000000" w:sz="4" w:space="0"/>
              <w:left w:val="single" w:color="000000" w:sz="4" w:space="0"/>
              <w:right w:val="single" w:color="000000" w:sz="4" w:space="0"/>
            </w:tcBorders>
            <w:shd w:val="clear" w:color="auto" w:fill="auto"/>
            <w:vAlign w:val="center"/>
          </w:tcPr>
          <w:p>
            <w:pPr>
              <w:rPr>
                <w:rFonts w:ascii="仿宋_GB2312" w:eastAsia="仿宋_GB2312"/>
                <w:szCs w:val="21"/>
              </w:rPr>
            </w:pPr>
            <w:r>
              <w:rPr>
                <w:rFonts w:hint="eastAsia" w:ascii="仿宋_GB2312" w:eastAsia="仿宋_GB2312"/>
                <w:szCs w:val="21"/>
              </w:rPr>
              <w:t>按照《基准》的规定执行</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罚款数额＝1000×（1+区域系数+情节系数）</w:t>
            </w:r>
          </w:p>
        </w:tc>
        <w:tc>
          <w:tcPr>
            <w:tcW w:w="2415"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eastAsia="仿宋_GB2312"/>
                <w:szCs w:val="21"/>
              </w:rPr>
            </w:pPr>
            <w:r>
              <w:rPr>
                <w:rFonts w:hint="eastAsia" w:ascii="仿宋_GB2312" w:eastAsia="仿宋_GB2312"/>
                <w:szCs w:val="21"/>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tcBorders>
              <w:left w:val="single" w:color="000000" w:sz="4" w:space="0"/>
              <w:right w:val="single" w:color="000000" w:sz="4" w:space="0"/>
            </w:tcBorders>
            <w:noWrap/>
            <w:vAlign w:val="center"/>
          </w:tcPr>
          <w:p>
            <w:pPr>
              <w:spacing w:before="100" w:beforeAutospacing="1" w:after="100" w:afterAutospacing="1"/>
              <w:jc w:val="center"/>
              <w:rPr>
                <w:rFonts w:ascii="仿宋_GB2312" w:hAnsi="Arial" w:eastAsia="仿宋_GB2312" w:cs="Arial"/>
                <w:b/>
                <w:kern w:val="0"/>
                <w:szCs w:val="21"/>
              </w:rPr>
            </w:pPr>
          </w:p>
        </w:tc>
        <w:tc>
          <w:tcPr>
            <w:tcW w:w="1201" w:type="dxa"/>
            <w:gridSpan w:val="2"/>
            <w:vMerge w:val="continue"/>
            <w:tcBorders>
              <w:left w:val="single" w:color="000000" w:sz="4" w:space="0"/>
              <w:right w:val="single" w:color="000000" w:sz="4" w:space="0"/>
            </w:tcBorders>
            <w:shd w:val="clear" w:color="auto" w:fill="auto"/>
            <w:vAlign w:val="center"/>
          </w:tcPr>
          <w:p>
            <w:pPr>
              <w:rPr>
                <w:rFonts w:ascii="仿宋_GB2312" w:eastAsia="仿宋_GB2312"/>
                <w:szCs w:val="21"/>
              </w:rPr>
            </w:pPr>
          </w:p>
        </w:tc>
        <w:tc>
          <w:tcPr>
            <w:tcW w:w="4318" w:type="dxa"/>
            <w:gridSpan w:val="8"/>
            <w:shd w:val="clear" w:color="auto" w:fill="auto"/>
            <w:vAlign w:val="center"/>
          </w:tcPr>
          <w:p>
            <w:pPr>
              <w:spacing w:line="240" w:lineRule="exact"/>
              <w:rPr>
                <w:rFonts w:ascii="仿宋_GB2312" w:eastAsia="仿宋_GB2312"/>
                <w:szCs w:val="21"/>
              </w:rPr>
            </w:pPr>
            <w:r>
              <w:rPr>
                <w:rFonts w:hint="eastAsia" w:ascii="仿宋_GB2312" w:eastAsia="仿宋_GB2312"/>
                <w:szCs w:val="21"/>
              </w:rPr>
              <w:t>违反条款：《北京市非机动车管理条例》第二十二条第一款；处罚条款：《北京市非机动车管理条例》第三十二条第一款 责令改正，处1000元以上5000元以下罚款。</w:t>
            </w:r>
          </w:p>
        </w:tc>
        <w:tc>
          <w:tcPr>
            <w:tcW w:w="961"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2000</w:t>
            </w:r>
          </w:p>
        </w:tc>
        <w:tc>
          <w:tcPr>
            <w:tcW w:w="72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vMerge w:val="continue"/>
            <w:tcBorders>
              <w:left w:val="single" w:color="000000" w:sz="4" w:space="0"/>
              <w:right w:val="single" w:color="000000" w:sz="4" w:space="0"/>
            </w:tcBorders>
            <w:shd w:val="clear" w:color="auto" w:fill="auto"/>
            <w:vAlign w:val="center"/>
          </w:tcPr>
          <w:p>
            <w:pPr>
              <w:rPr>
                <w:rFonts w:ascii="仿宋_GB2312" w:eastAsia="仿宋_GB2312"/>
                <w:szCs w:val="21"/>
              </w:rPr>
            </w:pP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ascii="仿宋_GB2312" w:eastAsia="仿宋_GB2312"/>
                <w:szCs w:val="21"/>
              </w:rPr>
              <w:t>2</w:t>
            </w:r>
            <w:r>
              <w:rPr>
                <w:rFonts w:hint="eastAsia" w:ascii="仿宋_GB2312" w:eastAsia="仿宋_GB2312"/>
                <w:szCs w:val="21"/>
              </w:rPr>
              <w:t>000×（1+区域系数+情节系数）</w:t>
            </w:r>
          </w:p>
        </w:tc>
        <w:tc>
          <w:tcPr>
            <w:tcW w:w="2415"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eastAsia="仿宋_GB2312"/>
                <w:szCs w:val="21"/>
              </w:rPr>
            </w:pPr>
            <w:r>
              <w:rPr>
                <w:rFonts w:hint="eastAsia" w:ascii="仿宋_GB2312" w:eastAsia="仿宋_GB2312"/>
                <w:szCs w:val="21"/>
              </w:rPr>
              <w:t>适用于经营性停车场。</w:t>
            </w:r>
          </w:p>
          <w:p>
            <w:pPr>
              <w:rPr>
                <w:rFonts w:ascii="仿宋_GB2312" w:eastAsia="仿宋_GB2312"/>
                <w:szCs w:val="21"/>
              </w:rPr>
            </w:pPr>
            <w:r>
              <w:rPr>
                <w:rFonts w:hint="eastAsia" w:ascii="仿宋_GB2312" w:eastAsia="仿宋_GB2312"/>
                <w:szCs w:val="21"/>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tcBorders>
              <w:left w:val="single" w:color="000000" w:sz="4" w:space="0"/>
              <w:bottom w:val="single" w:color="auto" w:sz="4" w:space="0"/>
              <w:right w:val="single" w:color="000000" w:sz="4" w:space="0"/>
            </w:tcBorders>
            <w:noWrap/>
            <w:vAlign w:val="center"/>
          </w:tcPr>
          <w:p>
            <w:pPr>
              <w:widowControl/>
              <w:spacing w:before="100" w:beforeAutospacing="1" w:after="100" w:afterAutospacing="1"/>
              <w:jc w:val="center"/>
              <w:rPr>
                <w:rFonts w:ascii="仿宋_GB2312" w:hAnsi="Arial" w:eastAsia="仿宋_GB2312" w:cs="Arial"/>
                <w:b/>
                <w:kern w:val="0"/>
                <w:szCs w:val="21"/>
              </w:rPr>
            </w:pPr>
          </w:p>
        </w:tc>
        <w:tc>
          <w:tcPr>
            <w:tcW w:w="1201" w:type="dxa"/>
            <w:gridSpan w:val="2"/>
            <w:vMerge w:val="continue"/>
            <w:tcBorders>
              <w:left w:val="single" w:color="000000" w:sz="4" w:space="0"/>
              <w:bottom w:val="single" w:color="auto" w:sz="4" w:space="0"/>
              <w:right w:val="single" w:color="000000" w:sz="4" w:space="0"/>
            </w:tcBorders>
            <w:shd w:val="clear" w:color="auto" w:fill="auto"/>
            <w:vAlign w:val="center"/>
          </w:tcPr>
          <w:p>
            <w:pPr>
              <w:rPr>
                <w:rFonts w:ascii="仿宋_GB2312" w:hAnsi="Arial" w:eastAsia="仿宋_GB2312" w:cs="Arial"/>
                <w:kern w:val="0"/>
                <w:szCs w:val="21"/>
              </w:rPr>
            </w:pPr>
          </w:p>
        </w:tc>
        <w:tc>
          <w:tcPr>
            <w:tcW w:w="4318" w:type="dxa"/>
            <w:gridSpan w:val="8"/>
            <w:shd w:val="clear" w:color="auto" w:fill="auto"/>
            <w:vAlign w:val="center"/>
          </w:tcPr>
          <w:p>
            <w:pPr>
              <w:spacing w:line="240" w:lineRule="exact"/>
              <w:rPr>
                <w:rFonts w:ascii="仿宋_GB2312" w:eastAsia="仿宋_GB2312"/>
                <w:szCs w:val="21"/>
              </w:rPr>
            </w:pPr>
            <w:r>
              <w:rPr>
                <w:rFonts w:hint="eastAsia" w:ascii="仿宋_GB2312" w:eastAsia="仿宋_GB2312"/>
                <w:szCs w:val="21"/>
              </w:rPr>
              <w:t>违反条款：《北京市非机动车管理条例》第二十二条第二款；处罚条款：《北京市非机动车管理条例》第三十二条第一款 责令改正，处1000元以上5000元以下罚款。</w:t>
            </w:r>
          </w:p>
        </w:tc>
        <w:tc>
          <w:tcPr>
            <w:tcW w:w="961"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ascii="仿宋_GB2312" w:hAnsi="Arial" w:eastAsia="仿宋_GB2312" w:cs="Arial"/>
                <w:kern w:val="0"/>
                <w:szCs w:val="21"/>
              </w:rPr>
              <w:t>2</w:t>
            </w:r>
            <w:r>
              <w:rPr>
                <w:rFonts w:hint="eastAsia" w:ascii="仿宋_GB2312" w:hAnsi="Arial" w:eastAsia="仿宋_GB2312" w:cs="Arial"/>
                <w:kern w:val="0"/>
                <w:szCs w:val="21"/>
              </w:rPr>
              <w:t>000</w:t>
            </w:r>
          </w:p>
        </w:tc>
        <w:tc>
          <w:tcPr>
            <w:tcW w:w="72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vMerge w:val="continue"/>
            <w:tcBorders>
              <w:left w:val="single" w:color="000000" w:sz="4" w:space="0"/>
              <w:bottom w:val="single" w:color="auto" w:sz="4" w:space="0"/>
              <w:right w:val="single" w:color="000000" w:sz="4" w:space="0"/>
            </w:tcBorders>
            <w:shd w:val="clear" w:color="auto" w:fill="auto"/>
            <w:vAlign w:val="center"/>
          </w:tcPr>
          <w:p>
            <w:pPr>
              <w:rPr>
                <w:rFonts w:ascii="仿宋_GB2312" w:eastAsia="仿宋_GB2312"/>
                <w:szCs w:val="21"/>
              </w:rPr>
            </w:pP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w:t>
            </w:r>
            <w:r>
              <w:rPr>
                <w:rFonts w:ascii="仿宋_GB2312" w:eastAsia="仿宋_GB2312"/>
                <w:szCs w:val="21"/>
              </w:rPr>
              <w:t>2</w:t>
            </w:r>
            <w:r>
              <w:rPr>
                <w:rFonts w:hint="eastAsia" w:ascii="仿宋_GB2312" w:eastAsia="仿宋_GB2312"/>
                <w:szCs w:val="21"/>
              </w:rPr>
              <w:t>000×（1+区域系数+情节系数）</w:t>
            </w:r>
          </w:p>
        </w:tc>
        <w:tc>
          <w:tcPr>
            <w:tcW w:w="2415"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ascii="仿宋_GB2312" w:eastAsia="仿宋_GB2312"/>
                <w:szCs w:val="21"/>
              </w:rPr>
            </w:pPr>
            <w:r>
              <w:rPr>
                <w:rFonts w:hint="eastAsia" w:ascii="仿宋_GB2312" w:eastAsia="仿宋_GB2312"/>
                <w:szCs w:val="21"/>
              </w:rPr>
              <w:t>适用于经营性停车场。</w:t>
            </w:r>
          </w:p>
          <w:p>
            <w:pPr>
              <w:rPr>
                <w:rFonts w:ascii="仿宋_GB2312" w:eastAsia="仿宋_GB2312"/>
                <w:szCs w:val="21"/>
              </w:rPr>
            </w:pPr>
            <w:r>
              <w:rPr>
                <w:rFonts w:hint="eastAsia" w:ascii="仿宋_GB2312" w:eastAsia="仿宋_GB2312"/>
                <w:szCs w:val="21"/>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before="100" w:beforeAutospacing="1" w:after="100" w:afterAutospacing="1"/>
              <w:jc w:val="center"/>
              <w:rPr>
                <w:rFonts w:ascii="仿宋_GB2312" w:hAnsi="Arial" w:eastAsia="仿宋_GB2312" w:cs="Arial"/>
                <w:b/>
                <w:kern w:val="0"/>
                <w:szCs w:val="21"/>
              </w:rPr>
            </w:pPr>
            <w:r>
              <w:rPr>
                <w:rFonts w:hint="eastAsia" w:ascii="仿宋_GB2312" w:hAnsi="Arial" w:eastAsia="仿宋_GB2312" w:cs="Arial"/>
                <w:b/>
                <w:kern w:val="0"/>
                <w:szCs w:val="21"/>
              </w:rPr>
              <w:t>4</w:t>
            </w:r>
          </w:p>
        </w:tc>
        <w:tc>
          <w:tcPr>
            <w:tcW w:w="1201" w:type="dxa"/>
            <w:gridSpan w:val="2"/>
            <w:vMerge w:val="restart"/>
            <w:shd w:val="clear" w:color="auto" w:fill="auto"/>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非机动车公共停车场未建立并落实各项管理和服务制度</w:t>
            </w: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违反条款：《北京市非机动车停车管理办法》第十一条第一款第（二）项；</w:t>
            </w:r>
          </w:p>
          <w:p>
            <w:pPr>
              <w:rPr>
                <w:rFonts w:ascii="仿宋_GB2312" w:eastAsia="仿宋_GB2312"/>
                <w:szCs w:val="21"/>
              </w:rPr>
            </w:pPr>
            <w:r>
              <w:rPr>
                <w:rFonts w:hint="eastAsia" w:ascii="仿宋_GB2312" w:eastAsia="仿宋_GB2312"/>
                <w:szCs w:val="21"/>
              </w:rPr>
              <w:t>处罚条款：《北京市非机动车停车管理办法》第十五条 责令限期改正，处500元以上1000元以下罚款。</w:t>
            </w:r>
          </w:p>
        </w:tc>
        <w:tc>
          <w:tcPr>
            <w:tcW w:w="961" w:type="dxa"/>
            <w:gridSpan w:val="4"/>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500</w:t>
            </w:r>
          </w:p>
        </w:tc>
        <w:tc>
          <w:tcPr>
            <w:tcW w:w="720" w:type="dxa"/>
            <w:gridSpan w:val="2"/>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shd w:val="clear" w:color="auto" w:fill="auto"/>
            <w:vAlign w:val="center"/>
          </w:tcPr>
          <w:p>
            <w:pPr>
              <w:rPr>
                <w:rFonts w:ascii="仿宋_GB2312" w:hAnsi="Arial" w:eastAsia="仿宋_GB2312" w:cs="Arial"/>
                <w:kern w:val="0"/>
                <w:szCs w:val="21"/>
              </w:rPr>
            </w:pPr>
            <w:r>
              <w:rPr>
                <w:rFonts w:hint="eastAsia" w:ascii="仿宋_GB2312" w:eastAsia="仿宋_GB2312"/>
                <w:szCs w:val="21"/>
              </w:rPr>
              <w:t>按照《基准》的规定执行</w:t>
            </w:r>
          </w:p>
        </w:tc>
        <w:tc>
          <w:tcPr>
            <w:tcW w:w="1740" w:type="dxa"/>
            <w:gridSpan w:val="2"/>
            <w:vMerge w:val="restart"/>
            <w:shd w:val="clear" w:color="auto" w:fill="auto"/>
            <w:vAlign w:val="center"/>
          </w:tcPr>
          <w:p>
            <w:pPr>
              <w:spacing w:before="100" w:beforeAutospacing="1" w:after="100" w:afterAutospacing="1"/>
              <w:jc w:val="center"/>
              <w:rPr>
                <w:rFonts w:ascii="仿宋_GB2312" w:hAnsi="Arial" w:eastAsia="仿宋_GB2312" w:cs="Arial"/>
                <w:kern w:val="0"/>
                <w:szCs w:val="21"/>
              </w:rPr>
            </w:pPr>
            <w:r>
              <w:rPr>
                <w:rFonts w:hint="eastAsia" w:ascii="仿宋_GB2312" w:eastAsia="仿宋_GB2312"/>
                <w:szCs w:val="21"/>
              </w:rPr>
              <w:t>罚款数额＝1000×（1+区域系数+情节系数）</w:t>
            </w:r>
          </w:p>
        </w:tc>
        <w:tc>
          <w:tcPr>
            <w:tcW w:w="2415" w:type="dxa"/>
            <w:gridSpan w:val="7"/>
            <w:vMerge w:val="restart"/>
            <w:shd w:val="clear" w:color="auto" w:fill="auto"/>
            <w:noWrap/>
            <w:vAlign w:val="center"/>
          </w:tcPr>
          <w:p>
            <w:pPr>
              <w:rPr>
                <w:rFonts w:ascii="仿宋_GB2312" w:eastAsia="仿宋_GB2312"/>
                <w:szCs w:val="21"/>
              </w:rPr>
            </w:pPr>
            <w:r>
              <w:rPr>
                <w:rFonts w:hint="eastAsia" w:ascii="仿宋_GB2312" w:eastAsia="仿宋_GB2312"/>
                <w:szCs w:val="21"/>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p>
        </w:tc>
        <w:tc>
          <w:tcPr>
            <w:tcW w:w="1201" w:type="dxa"/>
            <w:gridSpan w:val="2"/>
            <w:vMerge w:val="continue"/>
            <w:shd w:val="clear" w:color="auto" w:fill="auto"/>
            <w:vAlign w:val="center"/>
          </w:tcPr>
          <w:p>
            <w:pPr>
              <w:widowControl/>
              <w:spacing w:before="100" w:beforeAutospacing="1" w:after="100" w:afterAutospacing="1"/>
              <w:jc w:val="center"/>
              <w:rPr>
                <w:rFonts w:ascii="仿宋_GB2312" w:hAnsi="Arial" w:eastAsia="仿宋_GB2312" w:cs="Arial"/>
                <w:kern w:val="0"/>
                <w:szCs w:val="21"/>
              </w:rPr>
            </w:pPr>
          </w:p>
        </w:tc>
        <w:tc>
          <w:tcPr>
            <w:tcW w:w="4318" w:type="dxa"/>
            <w:gridSpan w:val="8"/>
            <w:shd w:val="clear" w:color="auto" w:fill="auto"/>
            <w:vAlign w:val="center"/>
          </w:tcPr>
          <w:p>
            <w:pPr>
              <w:rPr>
                <w:rFonts w:ascii="仿宋_GB2312" w:eastAsia="仿宋_GB2312"/>
                <w:szCs w:val="21"/>
              </w:rPr>
            </w:pPr>
            <w:r>
              <w:rPr>
                <w:rFonts w:hint="eastAsia" w:ascii="仿宋_GB2312" w:eastAsia="仿宋_GB2312"/>
                <w:szCs w:val="21"/>
              </w:rPr>
              <w:t>违反条款：《北京市非机动车管理条例》第二十三条第（一）项；处罚条款：《北京市非机动车管理条例》第三十二条第一款 责令改正，处1000元以上5000元以下罚款。</w:t>
            </w:r>
          </w:p>
        </w:tc>
        <w:tc>
          <w:tcPr>
            <w:tcW w:w="961" w:type="dxa"/>
            <w:gridSpan w:val="4"/>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1000</w:t>
            </w:r>
          </w:p>
        </w:tc>
        <w:tc>
          <w:tcPr>
            <w:tcW w:w="720" w:type="dxa"/>
            <w:gridSpan w:val="2"/>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shd w:val="clear" w:color="auto" w:fill="auto"/>
            <w:vAlign w:val="center"/>
          </w:tcPr>
          <w:p>
            <w:pPr>
              <w:rPr>
                <w:rFonts w:ascii="仿宋_GB2312" w:hAnsi="Arial" w:eastAsia="仿宋_GB2312" w:cs="Arial"/>
                <w:kern w:val="0"/>
                <w:szCs w:val="21"/>
              </w:rPr>
            </w:pPr>
            <w:r>
              <w:rPr>
                <w:rFonts w:hint="eastAsia" w:ascii="仿宋_GB2312" w:eastAsia="仿宋_GB2312"/>
                <w:szCs w:val="21"/>
              </w:rPr>
              <w:t>按照《基准》的规定执行</w:t>
            </w:r>
          </w:p>
        </w:tc>
        <w:tc>
          <w:tcPr>
            <w:tcW w:w="1740" w:type="dxa"/>
            <w:gridSpan w:val="2"/>
            <w:vMerge w:val="continue"/>
            <w:shd w:val="clear" w:color="auto" w:fill="auto"/>
            <w:vAlign w:val="center"/>
          </w:tcPr>
          <w:p>
            <w:pPr>
              <w:widowControl/>
              <w:spacing w:before="100" w:beforeAutospacing="1" w:after="100" w:afterAutospacing="1"/>
              <w:jc w:val="center"/>
              <w:rPr>
                <w:rFonts w:ascii="仿宋_GB2312" w:hAnsi="Arial" w:eastAsia="仿宋_GB2312" w:cs="Arial"/>
                <w:kern w:val="0"/>
                <w:szCs w:val="21"/>
              </w:rPr>
            </w:pPr>
          </w:p>
        </w:tc>
        <w:tc>
          <w:tcPr>
            <w:tcW w:w="2415" w:type="dxa"/>
            <w:gridSpan w:val="7"/>
            <w:vMerge w:val="continue"/>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503" w:type="dxa"/>
            <w:gridSpan w:val="2"/>
            <w:shd w:val="clear" w:color="auto" w:fill="auto"/>
            <w:noWrap/>
            <w:vAlign w:val="center"/>
          </w:tcPr>
          <w:p>
            <w:pPr>
              <w:ind w:firstLine="105" w:firstLineChars="50"/>
              <w:rPr>
                <w:rFonts w:ascii="仿宋_GB2312" w:eastAsia="仿宋_GB2312"/>
                <w:b/>
                <w:szCs w:val="21"/>
              </w:rPr>
            </w:pPr>
            <w:r>
              <w:rPr>
                <w:rFonts w:hint="eastAsia" w:ascii="仿宋_GB2312" w:eastAsia="仿宋_GB2312"/>
                <w:b/>
                <w:szCs w:val="21"/>
              </w:rPr>
              <w:t>5</w:t>
            </w:r>
          </w:p>
        </w:tc>
        <w:tc>
          <w:tcPr>
            <w:tcW w:w="1557" w:type="dxa"/>
            <w:gridSpan w:val="4"/>
            <w:shd w:val="clear" w:color="auto" w:fill="auto"/>
            <w:vAlign w:val="center"/>
          </w:tcPr>
          <w:p>
            <w:pPr>
              <w:rPr>
                <w:rFonts w:ascii="仿宋_GB2312" w:eastAsia="仿宋_GB2312"/>
                <w:szCs w:val="21"/>
              </w:rPr>
            </w:pPr>
            <w:r>
              <w:rPr>
                <w:rFonts w:hint="eastAsia" w:ascii="仿宋_GB2312" w:eastAsia="仿宋_GB2312"/>
                <w:szCs w:val="21"/>
              </w:rPr>
              <w:t>非机动车公共停车场的经营、管理单位拒绝接受指导和监督检查</w:t>
            </w:r>
          </w:p>
        </w:tc>
        <w:tc>
          <w:tcPr>
            <w:tcW w:w="3962" w:type="dxa"/>
            <w:gridSpan w:val="6"/>
            <w:shd w:val="clear" w:color="auto" w:fill="auto"/>
            <w:vAlign w:val="center"/>
          </w:tcPr>
          <w:p>
            <w:pPr>
              <w:rPr>
                <w:rFonts w:ascii="仿宋_GB2312" w:eastAsia="仿宋_GB2312"/>
                <w:szCs w:val="21"/>
              </w:rPr>
            </w:pPr>
            <w:r>
              <w:rPr>
                <w:rFonts w:hint="eastAsia" w:ascii="仿宋_GB2312" w:eastAsia="仿宋_GB2312"/>
                <w:szCs w:val="21"/>
              </w:rPr>
              <w:t>违反条款：《北京市非机动车停车管理办法》第十一条第一款第（三）项；</w:t>
            </w:r>
          </w:p>
          <w:p>
            <w:pPr>
              <w:rPr>
                <w:rFonts w:ascii="仿宋_GB2312" w:eastAsia="仿宋_GB2312"/>
                <w:szCs w:val="21"/>
              </w:rPr>
            </w:pPr>
            <w:r>
              <w:rPr>
                <w:rFonts w:hint="eastAsia" w:ascii="仿宋_GB2312" w:eastAsia="仿宋_GB2312"/>
                <w:szCs w:val="21"/>
              </w:rPr>
              <w:t>处罚条款：《北京市非机动车停车管理办法》第十五条 责令限期改正，处500元以上1000元以下罚款。</w:t>
            </w:r>
          </w:p>
        </w:tc>
        <w:tc>
          <w:tcPr>
            <w:tcW w:w="961" w:type="dxa"/>
            <w:gridSpan w:val="4"/>
            <w:shd w:val="clear" w:color="auto" w:fill="auto"/>
            <w:noWrap/>
            <w:vAlign w:val="center"/>
          </w:tcPr>
          <w:p>
            <w:pPr>
              <w:ind w:firstLine="105" w:firstLineChars="50"/>
              <w:rPr>
                <w:rFonts w:ascii="仿宋_GB2312" w:eastAsia="仿宋_GB2312"/>
                <w:szCs w:val="21"/>
              </w:rPr>
            </w:pPr>
            <w:r>
              <w:rPr>
                <w:rFonts w:hint="eastAsia" w:ascii="仿宋_GB2312" w:eastAsia="仿宋_GB2312"/>
                <w:szCs w:val="21"/>
              </w:rPr>
              <w:t>500</w:t>
            </w:r>
          </w:p>
        </w:tc>
        <w:tc>
          <w:tcPr>
            <w:tcW w:w="720" w:type="dxa"/>
            <w:gridSpan w:val="2"/>
            <w:shd w:val="clear" w:color="auto" w:fill="auto"/>
            <w:noWrap/>
            <w:vAlign w:val="center"/>
          </w:tcPr>
          <w:p>
            <w:pPr>
              <w:ind w:firstLine="105" w:firstLineChars="50"/>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按照《基准》的规定执行</w:t>
            </w:r>
          </w:p>
        </w:tc>
        <w:tc>
          <w:tcPr>
            <w:tcW w:w="1740" w:type="dxa"/>
            <w:gridSpan w:val="2"/>
            <w:shd w:val="clear" w:color="auto" w:fill="auto"/>
            <w:vAlign w:val="center"/>
          </w:tcPr>
          <w:p>
            <w:pPr>
              <w:rPr>
                <w:rFonts w:ascii="仿宋_GB2312" w:eastAsia="仿宋_GB2312"/>
                <w:szCs w:val="21"/>
              </w:rPr>
            </w:pPr>
            <w:r>
              <w:rPr>
                <w:rFonts w:hint="eastAsia" w:ascii="仿宋_GB2312" w:eastAsia="仿宋_GB2312"/>
                <w:szCs w:val="21"/>
              </w:rPr>
              <w:t>罚款数额＝500×（1+区域系数+情节系数）</w:t>
            </w:r>
          </w:p>
        </w:tc>
        <w:tc>
          <w:tcPr>
            <w:tcW w:w="2415" w:type="dxa"/>
            <w:gridSpan w:val="7"/>
            <w:shd w:val="clear" w:color="auto" w:fill="auto"/>
            <w:noWrap/>
            <w:vAlign w:val="center"/>
          </w:tcPr>
          <w:p>
            <w:pPr>
              <w:jc w:val="center"/>
              <w:rPr>
                <w:rFonts w:ascii="仿宋_GB2312" w:eastAsia="仿宋_GB2312"/>
                <w:szCs w:val="21"/>
              </w:rPr>
            </w:pPr>
            <w:r>
              <w:rPr>
                <w:rFonts w:hint="eastAsia" w:ascii="仿宋_GB2312" w:eastAsia="仿宋_GB2312"/>
                <w:szCs w:val="21"/>
              </w:rPr>
              <w:t>增加区域系数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widowControl/>
              <w:spacing w:before="100" w:beforeAutospacing="1" w:after="100" w:afterAutospacing="1"/>
              <w:jc w:val="center"/>
              <w:rPr>
                <w:rFonts w:ascii="仿宋_GB2312" w:hAnsi="Arial" w:eastAsia="仿宋_GB2312" w:cs="Arial"/>
                <w:b/>
                <w:kern w:val="0"/>
                <w:szCs w:val="21"/>
              </w:rPr>
            </w:pPr>
            <w:r>
              <w:rPr>
                <w:rFonts w:hint="eastAsia" w:ascii="仿宋_GB2312" w:hAnsi="Arial" w:eastAsia="仿宋_GB2312" w:cs="Arial"/>
                <w:b/>
                <w:kern w:val="0"/>
                <w:szCs w:val="21"/>
              </w:rPr>
              <w:t>6</w:t>
            </w:r>
          </w:p>
        </w:tc>
        <w:tc>
          <w:tcPr>
            <w:tcW w:w="1557" w:type="dxa"/>
            <w:gridSpan w:val="4"/>
            <w:vMerge w:val="restart"/>
            <w:shd w:val="clear" w:color="auto" w:fill="auto"/>
            <w:vAlign w:val="center"/>
          </w:tcPr>
          <w:p>
            <w:pPr>
              <w:rPr>
                <w:rFonts w:ascii="仿宋_GB2312" w:eastAsia="仿宋_GB2312"/>
                <w:szCs w:val="21"/>
              </w:rPr>
            </w:pPr>
            <w:r>
              <w:rPr>
                <w:rFonts w:hint="eastAsia" w:ascii="仿宋_GB2312" w:eastAsia="仿宋_GB2312"/>
                <w:szCs w:val="21"/>
              </w:rPr>
              <w:t>未保证非机动车公共停车场内的停车秩序（环境卫生、停车安全）</w:t>
            </w:r>
          </w:p>
          <w:p>
            <w:pPr>
              <w:rPr>
                <w:rFonts w:ascii="仿宋_GB2312" w:eastAsia="仿宋_GB2312"/>
                <w:szCs w:val="21"/>
              </w:rPr>
            </w:pPr>
          </w:p>
          <w:p>
            <w:pPr>
              <w:rPr>
                <w:rFonts w:ascii="仿宋_GB2312" w:eastAsia="仿宋_GB2312"/>
                <w:szCs w:val="21"/>
              </w:rPr>
            </w:pPr>
            <w:r>
              <w:rPr>
                <w:rFonts w:hint="eastAsia" w:ascii="仿宋_GB2312" w:eastAsia="仿宋_GB2312"/>
                <w:szCs w:val="21"/>
              </w:rPr>
              <w:t>案由名称根据所违反“停车秩序、环境卫生、停车安全”的实际情形，选择表述即可。</w:t>
            </w:r>
          </w:p>
        </w:tc>
        <w:tc>
          <w:tcPr>
            <w:tcW w:w="3962" w:type="dxa"/>
            <w:gridSpan w:val="6"/>
            <w:shd w:val="clear" w:color="auto" w:fill="auto"/>
            <w:vAlign w:val="center"/>
          </w:tcPr>
          <w:p>
            <w:pPr>
              <w:rPr>
                <w:rFonts w:ascii="仿宋_GB2312" w:eastAsia="仿宋_GB2312"/>
                <w:szCs w:val="21"/>
              </w:rPr>
            </w:pPr>
            <w:r>
              <w:rPr>
                <w:rFonts w:hint="eastAsia" w:ascii="仿宋_GB2312" w:eastAsia="仿宋_GB2312"/>
                <w:szCs w:val="21"/>
              </w:rPr>
              <w:t>违反条款：《北京市非机动车停车管理办法》第十一条第一款第（五）项；</w:t>
            </w:r>
          </w:p>
          <w:p>
            <w:pPr>
              <w:rPr>
                <w:rFonts w:ascii="仿宋_GB2312" w:eastAsia="仿宋_GB2312"/>
                <w:szCs w:val="21"/>
              </w:rPr>
            </w:pPr>
            <w:r>
              <w:rPr>
                <w:rFonts w:hint="eastAsia" w:ascii="仿宋_GB2312" w:eastAsia="仿宋_GB2312"/>
                <w:szCs w:val="21"/>
              </w:rPr>
              <w:t>处罚条款：《北京市非机动车停车管理办法》第十五条 责令限期改正，处500元以上1000元以下罚款。</w:t>
            </w:r>
          </w:p>
        </w:tc>
        <w:tc>
          <w:tcPr>
            <w:tcW w:w="961" w:type="dxa"/>
            <w:gridSpan w:val="4"/>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500</w:t>
            </w:r>
          </w:p>
        </w:tc>
        <w:tc>
          <w:tcPr>
            <w:tcW w:w="720" w:type="dxa"/>
            <w:gridSpan w:val="2"/>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按照《基准》的规定执行</w:t>
            </w:r>
          </w:p>
        </w:tc>
        <w:tc>
          <w:tcPr>
            <w:tcW w:w="1740" w:type="dxa"/>
            <w:gridSpan w:val="2"/>
            <w:shd w:val="clear" w:color="auto" w:fill="auto"/>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eastAsia="仿宋_GB2312"/>
                <w:szCs w:val="21"/>
              </w:rPr>
              <w:t>罚款数额＝500×（1+区域系数+情节系数）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before="100" w:beforeAutospacing="1" w:after="100" w:afterAutospacing="1"/>
              <w:jc w:val="center"/>
              <w:rPr>
                <w:rFonts w:ascii="仿宋_GB2312" w:hAnsi="Arial" w:eastAsia="仿宋_GB2312" w:cs="Arial"/>
                <w:b/>
                <w:kern w:val="0"/>
                <w:szCs w:val="21"/>
              </w:rPr>
            </w:pPr>
          </w:p>
        </w:tc>
        <w:tc>
          <w:tcPr>
            <w:tcW w:w="1557" w:type="dxa"/>
            <w:gridSpan w:val="4"/>
            <w:vMerge w:val="continue"/>
            <w:shd w:val="clear" w:color="auto" w:fill="auto"/>
            <w:vAlign w:val="center"/>
          </w:tcPr>
          <w:p>
            <w:pPr>
              <w:rPr>
                <w:rFonts w:ascii="仿宋_GB2312" w:eastAsia="仿宋_GB2312"/>
                <w:szCs w:val="21"/>
              </w:rPr>
            </w:pPr>
          </w:p>
        </w:tc>
        <w:tc>
          <w:tcPr>
            <w:tcW w:w="3962" w:type="dxa"/>
            <w:gridSpan w:val="6"/>
            <w:shd w:val="clear" w:color="auto" w:fill="auto"/>
            <w:vAlign w:val="center"/>
          </w:tcPr>
          <w:p>
            <w:pPr>
              <w:rPr>
                <w:rFonts w:ascii="仿宋_GB2312" w:eastAsia="仿宋_GB2312"/>
                <w:szCs w:val="21"/>
              </w:rPr>
            </w:pPr>
            <w:r>
              <w:rPr>
                <w:rFonts w:hint="eastAsia" w:ascii="仿宋_GB2312" w:eastAsia="仿宋_GB2312"/>
                <w:szCs w:val="21"/>
              </w:rPr>
              <w:t>违反条款：《北京市非机动车管理条例》第二十三条第（二）项。处罚条款：《北京市非机动车管理条例》第三十二条第一款 责令改正，处1000元以上5000元以下罚款。</w:t>
            </w:r>
          </w:p>
        </w:tc>
        <w:tc>
          <w:tcPr>
            <w:tcW w:w="961" w:type="dxa"/>
            <w:gridSpan w:val="4"/>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r>
              <w:rPr>
                <w:rFonts w:ascii="仿宋_GB2312" w:hAnsi="Arial" w:eastAsia="仿宋_GB2312" w:cs="Arial"/>
                <w:kern w:val="0"/>
                <w:szCs w:val="21"/>
              </w:rPr>
              <w:t>000</w:t>
            </w:r>
          </w:p>
        </w:tc>
        <w:tc>
          <w:tcPr>
            <w:tcW w:w="720" w:type="dxa"/>
            <w:gridSpan w:val="2"/>
            <w:shd w:val="clear" w:color="auto" w:fill="auto"/>
            <w:noWrap/>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1</w:t>
            </w:r>
          </w:p>
        </w:tc>
        <w:tc>
          <w:tcPr>
            <w:tcW w:w="3600" w:type="dxa"/>
            <w:gridSpan w:val="7"/>
            <w:shd w:val="clear" w:color="auto" w:fill="auto"/>
            <w:vAlign w:val="center"/>
          </w:tcPr>
          <w:p>
            <w:pPr>
              <w:rPr>
                <w:rFonts w:ascii="仿宋_GB2312" w:hAnsi="Arial" w:eastAsia="仿宋_GB2312" w:cs="Arial"/>
                <w:kern w:val="0"/>
                <w:szCs w:val="21"/>
              </w:rPr>
            </w:pPr>
            <w:r>
              <w:rPr>
                <w:rFonts w:hint="eastAsia" w:ascii="仿宋_GB2312" w:eastAsia="仿宋_GB2312"/>
                <w:szCs w:val="21"/>
              </w:rPr>
              <w:t>按照《基准》的规定执行</w:t>
            </w:r>
          </w:p>
        </w:tc>
        <w:tc>
          <w:tcPr>
            <w:tcW w:w="1740" w:type="dxa"/>
            <w:gridSpan w:val="2"/>
            <w:shd w:val="clear" w:color="auto" w:fill="auto"/>
            <w:vAlign w:val="center"/>
          </w:tcPr>
          <w:p>
            <w:pPr>
              <w:widowControl/>
              <w:spacing w:before="100" w:beforeAutospacing="1" w:after="100" w:afterAutospacing="1"/>
              <w:jc w:val="center"/>
              <w:rPr>
                <w:rFonts w:ascii="仿宋_GB2312" w:hAnsi="Arial" w:eastAsia="仿宋_GB2312" w:cs="Arial"/>
                <w:kern w:val="0"/>
                <w:szCs w:val="21"/>
              </w:rPr>
            </w:pPr>
            <w:r>
              <w:rPr>
                <w:rFonts w:hint="eastAsia" w:ascii="仿宋_GB2312" w:eastAsia="仿宋_GB2312"/>
                <w:szCs w:val="21"/>
              </w:rPr>
              <w:t>罚款数额＝1000×（1+区域系数+情节系数）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2"/>
              <w:rPr>
                <w:rFonts w:ascii="仿宋_GB2312" w:eastAsia="仿宋_GB2312"/>
                <w:szCs w:val="21"/>
              </w:rPr>
            </w:pPr>
            <w:bookmarkStart w:id="58" w:name="_Toc39911711"/>
            <w:r>
              <w:rPr>
                <w:rFonts w:hint="eastAsia"/>
              </w:rPr>
              <w:t>交通运输管理方面</w:t>
            </w:r>
            <w:r>
              <w:rPr>
                <w:rFonts w:ascii="方正小标宋简体"/>
              </w:rPr>
              <w:t>案由</w:t>
            </w:r>
            <w:r>
              <w:rPr>
                <w:rFonts w:hint="eastAsia" w:ascii="方正小标宋简体"/>
              </w:rPr>
              <w:t>3</w:t>
            </w:r>
            <w:r>
              <w:rPr>
                <w:rFonts w:ascii="方正小标宋简体"/>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58" w:type="dxa"/>
            <w:gridSpan w:val="34"/>
            <w:shd w:val="clear" w:color="auto" w:fill="auto"/>
            <w:noWrap/>
            <w:vAlign w:val="center"/>
          </w:tcPr>
          <w:p>
            <w:pPr>
              <w:pStyle w:val="3"/>
            </w:pPr>
            <w:bookmarkStart w:id="59" w:name="_Toc39911712"/>
            <w:r>
              <w:rPr>
                <w:rFonts w:hint="eastAsia"/>
              </w:rPr>
              <w:t>《巡游出租汽车经营服务管理规定》案由1项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szCs w:val="21"/>
              </w:rPr>
            </w:pPr>
            <w:r>
              <w:rPr>
                <w:rFonts w:hint="eastAsia" w:ascii="仿宋_GB2312" w:eastAsia="仿宋_GB2312"/>
                <w:szCs w:val="21"/>
              </w:rPr>
              <w:t>无证经营出租汽车</w:t>
            </w:r>
          </w:p>
        </w:tc>
        <w:tc>
          <w:tcPr>
            <w:tcW w:w="4318" w:type="dxa"/>
            <w:gridSpan w:val="8"/>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违反条款：第八条；</w:t>
            </w:r>
          </w:p>
          <w:p>
            <w:pPr>
              <w:widowControl/>
              <w:rPr>
                <w:rFonts w:ascii="仿宋_GB2312" w:hAnsi="宋体" w:eastAsia="仿宋_GB2312" w:cs="宋体"/>
                <w:kern w:val="0"/>
                <w:szCs w:val="21"/>
              </w:rPr>
            </w:pPr>
            <w:r>
              <w:rPr>
                <w:rFonts w:hint="eastAsia" w:ascii="仿宋_GB2312" w:hAnsi="宋体" w:eastAsia="仿宋_GB2312" w:cs="宋体"/>
                <w:kern w:val="0"/>
                <w:szCs w:val="21"/>
              </w:rPr>
              <w:t>处罚条款：第四十五条第（一）项，未取得巡游出租汽车经营许可，擅自从事巡游出租汽车经营活动的，由县级以上地方人民政府出租汽车行政主管部门责令改正，并处以5000元以上20000元以下罚款。构成犯罪的，依法追究刑事责任。</w:t>
            </w:r>
          </w:p>
        </w:tc>
        <w:tc>
          <w:tcPr>
            <w:tcW w:w="961" w:type="dxa"/>
            <w:gridSpan w:val="4"/>
            <w:shd w:val="clear" w:color="auto" w:fill="auto"/>
            <w:noWrap/>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40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eastAsia="仿宋_GB2312"/>
                <w:szCs w:val="21"/>
              </w:rPr>
            </w:pPr>
            <w:r>
              <w:rPr>
                <w:rFonts w:hint="eastAsia" w:ascii="仿宋_GB2312" w:eastAsia="仿宋_GB2312"/>
                <w:szCs w:val="21"/>
              </w:rPr>
              <w:t>造成秩序混乱或者较大社会影响的，系数1-3。</w:t>
            </w:r>
          </w:p>
        </w:tc>
        <w:tc>
          <w:tcPr>
            <w:tcW w:w="1740" w:type="dxa"/>
            <w:gridSpan w:val="2"/>
            <w:shd w:val="clear" w:color="auto" w:fill="auto"/>
            <w:vAlign w:val="center"/>
          </w:tcPr>
          <w:p>
            <w:pPr>
              <w:widowControl/>
              <w:jc w:val="left"/>
            </w:pPr>
            <w:r>
              <w:rPr>
                <w:rFonts w:hint="eastAsia" w:ascii="仿宋_GB2312" w:hAnsi="宋体" w:eastAsia="仿宋_GB2312" w:cs="宋体"/>
                <w:szCs w:val="21"/>
              </w:rPr>
              <w:t>罚款数额＝5000×</w:t>
            </w:r>
            <w:r>
              <w:rPr>
                <w:rFonts w:hint="eastAsia" w:ascii="仿宋_GB2312" w:hAnsi="宋体" w:eastAsia="仿宋_GB2312" w:cs="宋体"/>
                <w:bCs/>
                <w:szCs w:val="21"/>
              </w:rPr>
              <w:t>（1＋区域系数＋情节系数+变量系数）</w:t>
            </w:r>
          </w:p>
        </w:tc>
        <w:tc>
          <w:tcPr>
            <w:tcW w:w="2415" w:type="dxa"/>
            <w:gridSpan w:val="7"/>
            <w:shd w:val="clear" w:color="auto" w:fill="auto"/>
            <w:noWrap/>
            <w:vAlign w:val="center"/>
          </w:tcPr>
          <w:p>
            <w:pPr>
              <w:widowControl/>
              <w:rPr>
                <w:rFonts w:ascii="仿宋_GB2312" w:eastAsia="仿宋_GB2312"/>
                <w:szCs w:val="21"/>
              </w:rPr>
            </w:pPr>
            <w:r>
              <w:rPr>
                <w:rFonts w:hint="eastAsia" w:ascii="仿宋_GB2312" w:eastAsia="仿宋_GB2312"/>
                <w:szCs w:val="21"/>
              </w:rPr>
              <w:t>核心区、一类严格控制地区应当适用《北京市查处非法客运若干规定》查处。</w:t>
            </w:r>
          </w:p>
          <w:p>
            <w:pPr>
              <w:widowControl/>
              <w:rPr>
                <w:rFonts w:ascii="仿宋_GB2312" w:hAnsi="宋体" w:eastAsia="仿宋_GB2312" w:cs="宋体"/>
                <w:szCs w:val="21"/>
              </w:rPr>
            </w:pPr>
            <w:r>
              <w:rPr>
                <w:rFonts w:hint="eastAsia" w:ascii="仿宋_GB2312" w:eastAsia="仿宋_GB2312"/>
                <w:szCs w:val="21"/>
              </w:rPr>
              <w:t>其他区域优先适用《北京市查处非法客运若干规定》查处。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458" w:type="dxa"/>
            <w:gridSpan w:val="34"/>
            <w:shd w:val="clear" w:color="auto" w:fill="auto"/>
            <w:noWrap/>
            <w:vAlign w:val="center"/>
          </w:tcPr>
          <w:p>
            <w:pPr>
              <w:pStyle w:val="3"/>
            </w:pPr>
            <w:bookmarkStart w:id="60" w:name="_Toc39911713"/>
            <w:r>
              <w:rPr>
                <w:rFonts w:hint="eastAsia"/>
              </w:rPr>
              <w:t>《北京市查处非法客运若干规定》案由2项</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jc w:val="center"/>
              <w:rPr>
                <w:rFonts w:ascii="仿宋_GB2312" w:eastAsia="仿宋_GB2312"/>
                <w:szCs w:val="21"/>
              </w:rPr>
            </w:pPr>
            <w:r>
              <w:rPr>
                <w:rFonts w:hint="eastAsia" w:ascii="仿宋_GB2312" w:eastAsia="仿宋_GB2312"/>
                <w:szCs w:val="21"/>
              </w:rPr>
              <w:t>1</w:t>
            </w:r>
          </w:p>
        </w:tc>
        <w:tc>
          <w:tcPr>
            <w:tcW w:w="1201" w:type="dxa"/>
            <w:gridSpan w:val="2"/>
            <w:vMerge w:val="restart"/>
            <w:shd w:val="clear" w:color="auto" w:fill="auto"/>
            <w:vAlign w:val="center"/>
          </w:tcPr>
          <w:p>
            <w:pPr>
              <w:rPr>
                <w:rFonts w:ascii="仿宋_GB2312" w:eastAsia="仿宋_GB2312"/>
                <w:szCs w:val="21"/>
              </w:rPr>
            </w:pPr>
          </w:p>
          <w:p>
            <w:pPr>
              <w:rPr>
                <w:rFonts w:ascii="仿宋_GB2312" w:eastAsia="仿宋_GB2312"/>
                <w:szCs w:val="21"/>
              </w:rPr>
            </w:pPr>
            <w:r>
              <w:rPr>
                <w:rFonts w:hint="eastAsia" w:ascii="仿宋_GB2312" w:eastAsia="仿宋_GB2312"/>
                <w:szCs w:val="21"/>
              </w:rPr>
              <w:t>未经许可擅自（或组织）从事巡游出租汽车客运经营</w:t>
            </w:r>
          </w:p>
        </w:tc>
        <w:tc>
          <w:tcPr>
            <w:tcW w:w="3900" w:type="dxa"/>
            <w:gridSpan w:val="7"/>
            <w:vMerge w:val="restart"/>
            <w:shd w:val="clear" w:color="auto" w:fill="auto"/>
            <w:vAlign w:val="center"/>
          </w:tcPr>
          <w:p>
            <w:pPr>
              <w:rPr>
                <w:rFonts w:ascii="仿宋_GB2312" w:eastAsia="仿宋_GB2312"/>
                <w:szCs w:val="21"/>
              </w:rPr>
            </w:pPr>
            <w:r>
              <w:rPr>
                <w:rFonts w:hint="eastAsia" w:ascii="仿宋_GB2312" w:eastAsia="仿宋_GB2312"/>
                <w:szCs w:val="21"/>
              </w:rPr>
              <w:t>违反条款：第四条；</w:t>
            </w:r>
          </w:p>
          <w:p>
            <w:pPr>
              <w:rPr>
                <w:rFonts w:ascii="仿宋_GB2312" w:eastAsia="仿宋_GB2312"/>
                <w:szCs w:val="21"/>
              </w:rPr>
            </w:pPr>
            <w:r>
              <w:rPr>
                <w:rFonts w:hint="eastAsia" w:ascii="仿宋_GB2312" w:eastAsia="仿宋_GB2312"/>
                <w:szCs w:val="21"/>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1379" w:type="dxa"/>
            <w:gridSpan w:val="5"/>
            <w:shd w:val="clear" w:color="auto" w:fill="auto"/>
            <w:noWrap/>
            <w:vAlign w:val="center"/>
          </w:tcPr>
          <w:p>
            <w:pPr>
              <w:rPr>
                <w:rFonts w:ascii="仿宋_GB2312" w:eastAsia="仿宋_GB2312"/>
                <w:szCs w:val="21"/>
              </w:rPr>
            </w:pPr>
            <w:r>
              <w:rPr>
                <w:rFonts w:hint="eastAsia" w:ascii="仿宋_GB2312" w:eastAsia="仿宋_GB2312"/>
                <w:szCs w:val="21"/>
              </w:rPr>
              <w:t>没有违法所得或者违法所得不足2万元的，基数为10000</w:t>
            </w:r>
          </w:p>
        </w:tc>
        <w:tc>
          <w:tcPr>
            <w:tcW w:w="720"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spacing w:line="0" w:lineRule="atLeast"/>
            </w:pPr>
            <w:r>
              <w:rPr>
                <w:rFonts w:hint="eastAsia" w:ascii="仿宋_GB2312" w:eastAsia="仿宋_GB2312"/>
                <w:szCs w:val="21"/>
              </w:rPr>
              <w:t>造成秩序混乱或者较大社会影响的，系数2-4；对组织行为，系数为2-4。</w:t>
            </w:r>
          </w:p>
        </w:tc>
        <w:tc>
          <w:tcPr>
            <w:tcW w:w="1740" w:type="dxa"/>
            <w:gridSpan w:val="2"/>
            <w:shd w:val="clear" w:color="auto" w:fill="auto"/>
            <w:vAlign w:val="center"/>
          </w:tcPr>
          <w:p>
            <w:pPr>
              <w:rPr>
                <w:rFonts w:ascii="仿宋_GB2312" w:hAnsi="宋体" w:eastAsia="仿宋_GB2312" w:cs="宋体"/>
                <w:bCs/>
                <w:kern w:val="0"/>
                <w:szCs w:val="21"/>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hAnsi="宋体" w:eastAsia="仿宋_GB2312" w:cs="宋体"/>
                <w:bCs/>
                <w:kern w:val="0"/>
                <w:szCs w:val="21"/>
              </w:rPr>
              <w:t>10000×（1＋区域系数＋情节系数</w:t>
            </w:r>
            <w:r>
              <w:rPr>
                <w:rFonts w:hint="eastAsia" w:ascii="仿宋_GB2312" w:hAnsi="宋体" w:eastAsia="仿宋_GB2312" w:cs="宋体"/>
                <w:bCs/>
                <w:szCs w:val="21"/>
              </w:rPr>
              <w:t>+变量系数</w:t>
            </w:r>
            <w:r>
              <w:rPr>
                <w:rFonts w:hint="eastAsia" w:ascii="仿宋_GB2312" w:hAnsi="宋体" w:eastAsia="仿宋_GB2312" w:cs="宋体"/>
                <w:bCs/>
                <w:kern w:val="0"/>
                <w:szCs w:val="21"/>
              </w:rPr>
              <w:t>）</w:t>
            </w:r>
          </w:p>
        </w:tc>
        <w:tc>
          <w:tcPr>
            <w:tcW w:w="2415" w:type="dxa"/>
            <w:gridSpan w:val="7"/>
            <w:vMerge w:val="restart"/>
            <w:shd w:val="clear" w:color="auto" w:fill="auto"/>
            <w:noWrap/>
            <w:vAlign w:val="center"/>
          </w:tcPr>
          <w:p>
            <w:pPr>
              <w:spacing w:line="0" w:lineRule="atLeast"/>
              <w:rPr>
                <w:rFonts w:ascii="仿宋_GB2312" w:eastAsia="仿宋_GB2312"/>
                <w:szCs w:val="21"/>
              </w:rPr>
            </w:pPr>
            <w:r>
              <w:rPr>
                <w:rFonts w:hint="eastAsia" w:ascii="仿宋_GB2312" w:eastAsia="仿宋_GB2312"/>
                <w:szCs w:val="21"/>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widowControl/>
              <w:spacing w:line="400" w:lineRule="exact"/>
              <w:rPr>
                <w:rFonts w:ascii="仿宋_GB2312" w:hAnsi="宋体" w:eastAsia="仿宋_GB2312" w:cs="宋体"/>
                <w:kern w:val="0"/>
                <w:szCs w:val="21"/>
              </w:rPr>
            </w:pPr>
          </w:p>
        </w:tc>
        <w:tc>
          <w:tcPr>
            <w:tcW w:w="1201" w:type="dxa"/>
            <w:gridSpan w:val="2"/>
            <w:vMerge w:val="continue"/>
            <w:shd w:val="clear" w:color="auto" w:fill="auto"/>
            <w:vAlign w:val="center"/>
          </w:tcPr>
          <w:p>
            <w:pPr>
              <w:widowControl/>
              <w:spacing w:line="400" w:lineRule="exact"/>
              <w:rPr>
                <w:rFonts w:ascii="仿宋_GB2312" w:hAnsi="宋体" w:eastAsia="仿宋_GB2312" w:cs="宋体"/>
                <w:kern w:val="0"/>
                <w:szCs w:val="21"/>
              </w:rPr>
            </w:pPr>
          </w:p>
        </w:tc>
        <w:tc>
          <w:tcPr>
            <w:tcW w:w="3900" w:type="dxa"/>
            <w:gridSpan w:val="7"/>
            <w:vMerge w:val="continue"/>
            <w:shd w:val="clear" w:color="auto" w:fill="auto"/>
            <w:vAlign w:val="center"/>
          </w:tcPr>
          <w:p>
            <w:pPr>
              <w:widowControl/>
              <w:rPr>
                <w:rFonts w:ascii="仿宋_GB2312" w:hAnsi="宋体" w:eastAsia="仿宋_GB2312" w:cs="宋体"/>
                <w:kern w:val="0"/>
                <w:szCs w:val="21"/>
              </w:rPr>
            </w:pPr>
          </w:p>
        </w:tc>
        <w:tc>
          <w:tcPr>
            <w:tcW w:w="1379" w:type="dxa"/>
            <w:gridSpan w:val="5"/>
            <w:shd w:val="clear" w:color="auto" w:fill="auto"/>
            <w:noWrap/>
          </w:tcPr>
          <w:p>
            <w:pPr>
              <w:rPr>
                <w:rFonts w:ascii="仿宋_GB2312" w:eastAsia="仿宋_GB2312"/>
                <w:szCs w:val="21"/>
              </w:rPr>
            </w:pPr>
            <w:r>
              <w:rPr>
                <w:rFonts w:hint="eastAsia" w:ascii="仿宋_GB2312" w:eastAsia="仿宋_GB2312"/>
              </w:rPr>
              <w:t>违法所得2万元以上的，基数为违法所得。</w:t>
            </w:r>
          </w:p>
        </w:tc>
        <w:tc>
          <w:tcPr>
            <w:tcW w:w="720"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rPr>
                <w:rFonts w:ascii="仿宋_GB2312" w:eastAsia="仿宋_GB2312"/>
                <w:szCs w:val="21"/>
              </w:rPr>
            </w:pPr>
            <w:r>
              <w:rPr>
                <w:rFonts w:hint="eastAsia" w:ascii="仿宋_GB2312" w:eastAsia="仿宋_GB2312"/>
                <w:szCs w:val="21"/>
              </w:rPr>
              <w:t>造成秩序混乱或者较大社会影响的，系数2-4；对组织行为，系数为2-4。</w:t>
            </w:r>
          </w:p>
        </w:tc>
        <w:tc>
          <w:tcPr>
            <w:tcW w:w="1740" w:type="dxa"/>
            <w:gridSpan w:val="2"/>
            <w:shd w:val="clear" w:color="auto" w:fill="auto"/>
            <w:vAlign w:val="center"/>
          </w:tcPr>
          <w:p>
            <w:pPr>
              <w:rPr>
                <w:rFonts w:ascii="仿宋_GB2312" w:eastAsia="仿宋_GB2312"/>
              </w:rPr>
            </w:pPr>
            <w:r>
              <w:rPr>
                <w:rFonts w:hint="eastAsia" w:ascii="仿宋_GB2312" w:eastAsia="仿宋_GB2312"/>
                <w:szCs w:val="21"/>
              </w:rPr>
              <w:t>罚款数额</w:t>
            </w:r>
            <w:r>
              <w:rPr>
                <w:rFonts w:hint="eastAsia" w:ascii="仿宋_GB2312" w:hAnsi="宋体" w:eastAsia="仿宋_GB2312" w:cs="宋体"/>
                <w:kern w:val="0"/>
                <w:szCs w:val="21"/>
              </w:rPr>
              <w:t>＝</w:t>
            </w:r>
            <w:r>
              <w:rPr>
                <w:rFonts w:hint="eastAsia" w:ascii="仿宋_GB2312" w:hAnsi="宋体" w:eastAsia="仿宋_GB2312" w:cs="宋体"/>
                <w:bCs/>
                <w:kern w:val="0"/>
                <w:szCs w:val="21"/>
              </w:rPr>
              <w:t>违法所得×2×（1＋区域系数＋情节系数</w:t>
            </w:r>
            <w:r>
              <w:rPr>
                <w:rFonts w:hint="eastAsia" w:ascii="仿宋_GB2312" w:hAnsi="宋体" w:eastAsia="仿宋_GB2312" w:cs="宋体"/>
                <w:bCs/>
                <w:szCs w:val="21"/>
              </w:rPr>
              <w:t>+变量系数</w:t>
            </w:r>
            <w:r>
              <w:rPr>
                <w:rFonts w:hint="eastAsia" w:ascii="仿宋_GB2312" w:hAnsi="宋体" w:eastAsia="仿宋_GB2312" w:cs="宋体"/>
                <w:bCs/>
                <w:kern w:val="0"/>
                <w:szCs w:val="21"/>
              </w:rPr>
              <w:t>）</w:t>
            </w:r>
          </w:p>
        </w:tc>
        <w:tc>
          <w:tcPr>
            <w:tcW w:w="2415" w:type="dxa"/>
            <w:gridSpan w:val="7"/>
            <w:vMerge w:val="continue"/>
            <w:shd w:val="clear" w:color="auto" w:fill="auto"/>
            <w:noWrap/>
            <w:vAlign w:val="center"/>
          </w:tcPr>
          <w:p>
            <w:pPr>
              <w:widowControl/>
              <w:spacing w:line="4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2</w:t>
            </w:r>
          </w:p>
        </w:tc>
        <w:tc>
          <w:tcPr>
            <w:tcW w:w="1201" w:type="dxa"/>
            <w:gridSpan w:val="2"/>
            <w:shd w:val="clear" w:color="auto" w:fill="auto"/>
            <w:vAlign w:val="center"/>
          </w:tcPr>
          <w:p>
            <w:pPr>
              <w:rPr>
                <w:rFonts w:ascii="仿宋_GB2312" w:hAnsi="黑体" w:eastAsia="仿宋_GB2312"/>
              </w:rPr>
            </w:pPr>
            <w:r>
              <w:rPr>
                <w:rFonts w:hint="eastAsia" w:ascii="仿宋_GB2312" w:hAnsi="黑体" w:eastAsia="仿宋_GB2312"/>
              </w:rPr>
              <w:t>利用摩托车、三轮车、残疾人机动轮椅车等车辆从事客运经营</w:t>
            </w:r>
          </w:p>
        </w:tc>
        <w:tc>
          <w:tcPr>
            <w:tcW w:w="3900" w:type="dxa"/>
            <w:gridSpan w:val="7"/>
            <w:shd w:val="clear" w:color="auto" w:fill="auto"/>
            <w:vAlign w:val="center"/>
          </w:tcPr>
          <w:p>
            <w:pPr>
              <w:rPr>
                <w:rFonts w:ascii="仿宋_GB2312" w:eastAsia="仿宋_GB2312"/>
                <w:szCs w:val="21"/>
              </w:rPr>
            </w:pPr>
            <w:r>
              <w:rPr>
                <w:rFonts w:hint="eastAsia" w:ascii="仿宋_GB2312" w:eastAsia="仿宋_GB2312"/>
                <w:szCs w:val="21"/>
              </w:rPr>
              <w:t>违反条款：</w:t>
            </w:r>
            <w:r>
              <w:rPr>
                <w:rFonts w:hint="eastAsia" w:ascii="仿宋_GB2312" w:eastAsia="仿宋_GB2312"/>
              </w:rPr>
              <w:t>第八条第一款。</w:t>
            </w:r>
            <w:r>
              <w:rPr>
                <w:rFonts w:hint="eastAsia" w:ascii="仿宋_GB2312" w:eastAsia="仿宋_GB2312"/>
                <w:szCs w:val="21"/>
              </w:rPr>
              <w:t xml:space="preserve"> </w:t>
            </w:r>
          </w:p>
          <w:p>
            <w:pPr>
              <w:rPr>
                <w:rFonts w:ascii="仿宋_GB2312" w:eastAsia="仿宋_GB2312"/>
              </w:rPr>
            </w:pPr>
            <w:r>
              <w:rPr>
                <w:rFonts w:hint="eastAsia" w:ascii="仿宋_GB2312" w:eastAsia="仿宋_GB2312"/>
                <w:szCs w:val="21"/>
              </w:rPr>
              <w:t>处罚条款：</w:t>
            </w:r>
            <w:r>
              <w:rPr>
                <w:rFonts w:hint="eastAsia" w:ascii="仿宋_GB2312" w:eastAsia="仿宋_GB2312"/>
              </w:rPr>
              <w:t>第八条第二款，没收车辆，没收违法所得，并可处500元以上2000元以下罚款。</w:t>
            </w:r>
          </w:p>
          <w:p>
            <w:pPr>
              <w:rPr>
                <w:rFonts w:ascii="仿宋_GB2312" w:eastAsia="仿宋_GB2312"/>
                <w:szCs w:val="21"/>
              </w:rPr>
            </w:pPr>
            <w:r>
              <w:rPr>
                <w:rFonts w:hint="eastAsia" w:ascii="仿宋_GB2312" w:eastAsia="仿宋_GB2312"/>
                <w:szCs w:val="21"/>
              </w:rPr>
              <w:t xml:space="preserve"> </w:t>
            </w:r>
          </w:p>
        </w:tc>
        <w:tc>
          <w:tcPr>
            <w:tcW w:w="1379" w:type="dxa"/>
            <w:gridSpan w:val="5"/>
            <w:shd w:val="clear" w:color="auto" w:fill="auto"/>
            <w:noWrap/>
            <w:vAlign w:val="center"/>
          </w:tcPr>
          <w:p>
            <w:pPr>
              <w:jc w:val="center"/>
              <w:rPr>
                <w:rFonts w:ascii="仿宋_GB2312" w:eastAsia="仿宋_GB2312"/>
                <w:szCs w:val="21"/>
              </w:rPr>
            </w:pPr>
            <w:r>
              <w:rPr>
                <w:rFonts w:hint="eastAsia" w:ascii="仿宋_GB2312" w:eastAsia="仿宋_GB2312"/>
                <w:szCs w:val="21"/>
              </w:rPr>
              <w:t>500</w:t>
            </w:r>
          </w:p>
        </w:tc>
        <w:tc>
          <w:tcPr>
            <w:tcW w:w="720" w:type="dxa"/>
            <w:gridSpan w:val="2"/>
            <w:shd w:val="clear" w:color="auto" w:fill="auto"/>
            <w:noWrap/>
            <w:vAlign w:val="center"/>
          </w:tcPr>
          <w:p>
            <w:pPr>
              <w:jc w:val="center"/>
              <w:rPr>
                <w:rFonts w:ascii="仿宋_GB2312" w:eastAsia="仿宋_GB2312"/>
                <w:szCs w:val="21"/>
              </w:rPr>
            </w:pPr>
            <w:r>
              <w:rPr>
                <w:rFonts w:hint="eastAsia" w:ascii="仿宋_GB2312" w:eastAsia="仿宋_GB2312"/>
                <w:szCs w:val="21"/>
              </w:rPr>
              <w:t>1</w:t>
            </w:r>
          </w:p>
        </w:tc>
        <w:tc>
          <w:tcPr>
            <w:tcW w:w="3600" w:type="dxa"/>
            <w:gridSpan w:val="7"/>
            <w:shd w:val="clear" w:color="auto" w:fill="auto"/>
            <w:vAlign w:val="center"/>
          </w:tcPr>
          <w:p>
            <w:pPr>
              <w:widowControl/>
              <w:jc w:val="left"/>
            </w:pPr>
            <w:r>
              <w:rPr>
                <w:rFonts w:hint="eastAsia" w:ascii="仿宋_GB2312" w:eastAsia="仿宋_GB2312"/>
                <w:szCs w:val="21"/>
              </w:rPr>
              <w:t>造成秩序混乱或者较大社会影响的，系数1-3。</w:t>
            </w:r>
          </w:p>
        </w:tc>
        <w:tc>
          <w:tcPr>
            <w:tcW w:w="1740" w:type="dxa"/>
            <w:gridSpan w:val="2"/>
            <w:shd w:val="clear" w:color="auto" w:fill="auto"/>
            <w:vAlign w:val="center"/>
          </w:tcPr>
          <w:p>
            <w:pPr>
              <w:widowControl/>
              <w:jc w:val="left"/>
            </w:pPr>
            <w:r>
              <w:rPr>
                <w:rFonts w:hint="eastAsia" w:ascii="仿宋_GB2312" w:eastAsia="仿宋_GB2312"/>
                <w:szCs w:val="21"/>
              </w:rPr>
              <w:t>罚款数额＝500×</w:t>
            </w:r>
            <w:r>
              <w:rPr>
                <w:rFonts w:hint="eastAsia" w:ascii="仿宋_GB2312" w:hAnsi="宋体" w:eastAsia="仿宋_GB2312" w:cs="宋体"/>
                <w:bCs/>
                <w:szCs w:val="21"/>
              </w:rPr>
              <w:t>（1</w:t>
            </w:r>
            <w:r>
              <w:rPr>
                <w:rFonts w:hint="eastAsia" w:ascii="仿宋_GB2312" w:eastAsia="仿宋_GB2312"/>
                <w:szCs w:val="21"/>
              </w:rPr>
              <w:t>＋区域系数</w:t>
            </w:r>
            <w:r>
              <w:rPr>
                <w:rFonts w:hint="eastAsia" w:ascii="仿宋_GB2312" w:hAnsi="宋体" w:eastAsia="仿宋_GB2312" w:cs="宋体"/>
                <w:bCs/>
                <w:szCs w:val="21"/>
              </w:rPr>
              <w:t>＋情节系数+变量系数）</w:t>
            </w:r>
          </w:p>
        </w:tc>
        <w:tc>
          <w:tcPr>
            <w:tcW w:w="2415" w:type="dxa"/>
            <w:gridSpan w:val="7"/>
            <w:shd w:val="clear" w:color="auto" w:fill="auto"/>
            <w:noWrap/>
            <w:vAlign w:val="center"/>
          </w:tcPr>
          <w:p>
            <w:pPr>
              <w:rPr>
                <w:rFonts w:ascii="仿宋_GB2312" w:eastAsia="仿宋_GB2312"/>
                <w:szCs w:val="21"/>
              </w:rPr>
            </w:pPr>
            <w:r>
              <w:rPr>
                <w:rFonts w:hint="eastAsia" w:ascii="仿宋_GB2312" w:eastAsia="仿宋_GB2312"/>
                <w:szCs w:val="21"/>
              </w:rPr>
              <w:t>法律责任为必须没收，选择处罚。</w:t>
            </w:r>
          </w:p>
          <w:p>
            <w:pPr>
              <w:widowControl/>
              <w:jc w:val="left"/>
            </w:pPr>
          </w:p>
          <w:p>
            <w:pPr>
              <w:widowControl/>
              <w:jc w:val="left"/>
            </w:pPr>
            <w:r>
              <w:rPr>
                <w:rFonts w:hint="eastAsia" w:ascii="仿宋_GB2312" w:eastAsia="仿宋_GB2312"/>
                <w:szCs w:val="21"/>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58" w:type="dxa"/>
            <w:gridSpan w:val="34"/>
            <w:shd w:val="clear" w:color="auto" w:fill="auto"/>
            <w:noWrap/>
            <w:vAlign w:val="center"/>
          </w:tcPr>
          <w:p>
            <w:pPr>
              <w:pStyle w:val="2"/>
              <w:rPr>
                <w:rFonts w:ascii="方正小标宋简体"/>
                <w:b w:val="0"/>
                <w:sz w:val="28"/>
                <w:szCs w:val="28"/>
              </w:rPr>
            </w:pPr>
            <w:bookmarkStart w:id="61" w:name="_Toc39911714"/>
            <w:r>
              <w:rPr>
                <w:rFonts w:hint="eastAsia" w:ascii="方正小标宋简体"/>
                <w:b w:val="0"/>
              </w:rPr>
              <w:t>工商行政管理（流动无照经营）方面</w:t>
            </w:r>
            <w:r>
              <w:rPr>
                <w:rFonts w:ascii="方正小标宋简体"/>
                <w:b w:val="0"/>
              </w:rPr>
              <w:t>案由</w:t>
            </w:r>
            <w:r>
              <w:rPr>
                <w:rFonts w:hint="eastAsia" w:ascii="方正小标宋简体"/>
                <w:b w:val="0"/>
              </w:rPr>
              <w:t>3</w:t>
            </w:r>
            <w:r>
              <w:rPr>
                <w:rFonts w:ascii="方正小标宋简体"/>
                <w:b w:val="0"/>
              </w:rPr>
              <w:t>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5458" w:type="dxa"/>
            <w:gridSpan w:val="34"/>
            <w:shd w:val="clear" w:color="auto" w:fill="auto"/>
            <w:noWrap/>
            <w:vAlign w:val="center"/>
          </w:tcPr>
          <w:p>
            <w:pPr>
              <w:pStyle w:val="3"/>
            </w:pPr>
            <w:bookmarkStart w:id="62" w:name="_Toc39911715"/>
            <w:r>
              <w:rPr>
                <w:rFonts w:hint="eastAsia"/>
              </w:rPr>
              <w:t>《无证</w:t>
            </w:r>
            <w:r>
              <w:t>无照经营查处办法</w:t>
            </w:r>
            <w:r>
              <w:rPr>
                <w:rFonts w:hint="eastAsia"/>
              </w:rPr>
              <w:t>》案由3项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08" w:hRule="atLeast"/>
          <w:jc w:val="center"/>
        </w:trPr>
        <w:tc>
          <w:tcPr>
            <w:tcW w:w="503" w:type="dxa"/>
            <w:gridSpan w:val="2"/>
            <w:shd w:val="clear" w:color="auto" w:fill="auto"/>
            <w:noWrap/>
            <w:vAlign w:val="center"/>
          </w:tcPr>
          <w:p>
            <w:pPr>
              <w:widowControl/>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1</w:t>
            </w:r>
          </w:p>
        </w:tc>
        <w:tc>
          <w:tcPr>
            <w:tcW w:w="1201" w:type="dxa"/>
            <w:gridSpan w:val="2"/>
            <w:shd w:val="clear" w:color="auto" w:fill="auto"/>
            <w:vAlign w:val="center"/>
          </w:tcPr>
          <w:p>
            <w:pPr>
              <w:widowControl/>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无照经营</w:t>
            </w:r>
          </w:p>
        </w:tc>
        <w:tc>
          <w:tcPr>
            <w:tcW w:w="4318" w:type="dxa"/>
            <w:gridSpan w:val="8"/>
            <w:shd w:val="clear" w:color="auto" w:fill="auto"/>
            <w:vAlign w:val="center"/>
          </w:tcPr>
          <w:p>
            <w:pPr>
              <w:widowControl/>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违反条款：第二条；</w:t>
            </w:r>
          </w:p>
          <w:p>
            <w:pPr>
              <w:widowControl/>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处罚条款：第十三条，责令停止违法行为，没收违法所得，并处1万元以下的罚款。</w:t>
            </w:r>
          </w:p>
        </w:tc>
        <w:tc>
          <w:tcPr>
            <w:tcW w:w="961" w:type="dxa"/>
            <w:gridSpan w:val="4"/>
            <w:shd w:val="clear" w:color="auto" w:fill="auto"/>
            <w:noWrap/>
            <w:vAlign w:val="center"/>
          </w:tcPr>
          <w:p>
            <w:pPr>
              <w:widowControl/>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100</w:t>
            </w:r>
          </w:p>
        </w:tc>
        <w:tc>
          <w:tcPr>
            <w:tcW w:w="720" w:type="dxa"/>
            <w:gridSpan w:val="2"/>
            <w:shd w:val="clear" w:color="auto" w:fill="auto"/>
            <w:noWrap/>
            <w:vAlign w:val="center"/>
          </w:tcPr>
          <w:p>
            <w:pPr>
              <w:contextualSpacing/>
              <w:jc w:val="center"/>
              <w:rPr>
                <w:rFonts w:ascii="仿宋_GB2312" w:eastAsia="仿宋_GB2312"/>
                <w:szCs w:val="21"/>
              </w:rPr>
            </w:pPr>
            <w:r>
              <w:rPr>
                <w:rFonts w:hint="eastAsia" w:ascii="仿宋_GB2312" w:eastAsia="仿宋_GB2312"/>
                <w:szCs w:val="21"/>
              </w:rPr>
              <w:t>1</w:t>
            </w:r>
          </w:p>
        </w:tc>
        <w:tc>
          <w:tcPr>
            <w:tcW w:w="1620" w:type="dxa"/>
            <w:gridSpan w:val="2"/>
            <w:shd w:val="clear" w:color="auto" w:fill="auto"/>
            <w:vAlign w:val="center"/>
          </w:tcPr>
          <w:p>
            <w:pPr>
              <w:contextualSpacing/>
              <w:jc w:val="left"/>
              <w:rPr>
                <w:rFonts w:ascii="仿宋_GB2312" w:eastAsia="仿宋_GB2312"/>
                <w:szCs w:val="21"/>
              </w:rPr>
            </w:pPr>
            <w:r>
              <w:rPr>
                <w:rFonts w:hint="eastAsia" w:ascii="仿宋_GB2312" w:eastAsia="仿宋_GB2312"/>
                <w:szCs w:val="21"/>
              </w:rPr>
              <w:t>按照《基准》的规定执行</w:t>
            </w:r>
          </w:p>
        </w:tc>
        <w:tc>
          <w:tcPr>
            <w:tcW w:w="1260" w:type="dxa"/>
            <w:gridSpan w:val="2"/>
            <w:shd w:val="clear" w:color="auto" w:fill="auto"/>
            <w:vAlign w:val="center"/>
          </w:tcPr>
          <w:p>
            <w:pPr>
              <w:widowControl/>
              <w:contextualSpacing/>
              <w:jc w:val="left"/>
              <w:rPr>
                <w:rFonts w:ascii="仿宋_GB2312" w:hAnsi="宋体" w:eastAsia="仿宋_GB2312" w:cs="宋体"/>
                <w:bCs/>
                <w:kern w:val="0"/>
                <w:szCs w:val="21"/>
              </w:rPr>
            </w:pPr>
            <w:r>
              <w:rPr>
                <w:rFonts w:hint="eastAsia" w:ascii="仿宋_GB2312" w:eastAsia="仿宋_GB2312"/>
                <w:szCs w:val="21"/>
              </w:rPr>
              <w:t>罚款数额＝100×（1＋区域系数＋情节系数）</w:t>
            </w:r>
          </w:p>
        </w:tc>
        <w:tc>
          <w:tcPr>
            <w:tcW w:w="4869" w:type="dxa"/>
            <w:gridSpan w:val="11"/>
            <w:shd w:val="clear" w:color="auto" w:fill="auto"/>
            <w:noWrap/>
            <w:vAlign w:val="center"/>
          </w:tcPr>
          <w:p>
            <w:pPr>
              <w:widowControl/>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1.适用于一般无照经营情形；2.占用盲道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78" w:hRule="atLeast"/>
          <w:jc w:val="center"/>
        </w:trPr>
        <w:tc>
          <w:tcPr>
            <w:tcW w:w="503" w:type="dxa"/>
            <w:gridSpan w:val="2"/>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2</w:t>
            </w:r>
          </w:p>
        </w:tc>
        <w:tc>
          <w:tcPr>
            <w:tcW w:w="1201" w:type="dxa"/>
            <w:gridSpan w:val="2"/>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ascii="仿宋_GB2312" w:hAnsi="宋体" w:eastAsia="仿宋_GB2312" w:cs="宋体"/>
                <w:bCs/>
                <w:kern w:val="0"/>
                <w:szCs w:val="21"/>
              </w:rPr>
              <w:t>为无照经营者提供</w:t>
            </w:r>
            <w:r>
              <w:rPr>
                <w:rFonts w:hint="eastAsia" w:ascii="仿宋_GB2312" w:hAnsi="宋体" w:eastAsia="仿宋_GB2312" w:cs="宋体"/>
                <w:bCs/>
                <w:kern w:val="0"/>
                <w:szCs w:val="21"/>
              </w:rPr>
              <w:t>场所或者条件</w:t>
            </w:r>
          </w:p>
        </w:tc>
        <w:tc>
          <w:tcPr>
            <w:tcW w:w="4318" w:type="dxa"/>
            <w:gridSpan w:val="8"/>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违反条款：第十四条；</w:t>
            </w:r>
          </w:p>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处罚条款：第十四条，责令停止违法行为，没收违法所得，并处</w:t>
            </w:r>
            <w:r>
              <w:rPr>
                <w:rFonts w:ascii="仿宋_GB2312" w:hAnsi="宋体" w:eastAsia="仿宋_GB2312" w:cs="宋体"/>
                <w:bCs/>
                <w:kern w:val="0"/>
                <w:szCs w:val="21"/>
              </w:rPr>
              <w:t>5000</w:t>
            </w:r>
            <w:r>
              <w:rPr>
                <w:rFonts w:hint="eastAsia" w:ascii="仿宋_GB2312" w:hAnsi="宋体" w:eastAsia="仿宋_GB2312" w:cs="宋体"/>
                <w:bCs/>
                <w:kern w:val="0"/>
                <w:szCs w:val="21"/>
              </w:rPr>
              <w:t>元以下的罚款。</w:t>
            </w:r>
          </w:p>
        </w:tc>
        <w:tc>
          <w:tcPr>
            <w:tcW w:w="961" w:type="dxa"/>
            <w:gridSpan w:val="4"/>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500</w:t>
            </w:r>
          </w:p>
        </w:tc>
        <w:tc>
          <w:tcPr>
            <w:tcW w:w="720" w:type="dxa"/>
            <w:gridSpan w:val="2"/>
            <w:shd w:val="clear" w:color="auto" w:fill="auto"/>
            <w:noWrap/>
            <w:vAlign w:val="center"/>
          </w:tcPr>
          <w:p>
            <w:pPr>
              <w:spacing w:line="0" w:lineRule="atLeast"/>
              <w:contextualSpacing/>
              <w:jc w:val="center"/>
              <w:rPr>
                <w:rFonts w:ascii="仿宋_GB2312" w:eastAsia="仿宋_GB2312"/>
                <w:szCs w:val="21"/>
              </w:rPr>
            </w:pPr>
            <w:r>
              <w:rPr>
                <w:rFonts w:hint="eastAsia" w:ascii="仿宋_GB2312" w:eastAsia="仿宋_GB2312"/>
                <w:szCs w:val="21"/>
              </w:rPr>
              <w:t>1</w:t>
            </w:r>
          </w:p>
        </w:tc>
        <w:tc>
          <w:tcPr>
            <w:tcW w:w="1620" w:type="dxa"/>
            <w:gridSpan w:val="2"/>
            <w:shd w:val="clear" w:color="auto" w:fill="auto"/>
            <w:vAlign w:val="center"/>
          </w:tcPr>
          <w:p>
            <w:pPr>
              <w:spacing w:line="0" w:lineRule="atLeast"/>
              <w:contextualSpacing/>
              <w:jc w:val="left"/>
              <w:rPr>
                <w:rFonts w:ascii="仿宋_GB2312" w:eastAsia="仿宋_GB2312"/>
                <w:szCs w:val="21"/>
              </w:rPr>
            </w:pPr>
            <w:r>
              <w:rPr>
                <w:rFonts w:hint="eastAsia" w:ascii="仿宋_GB2312" w:eastAsia="仿宋_GB2312"/>
                <w:szCs w:val="21"/>
              </w:rPr>
              <w:t>按照《基准》的规定执行</w:t>
            </w:r>
          </w:p>
        </w:tc>
        <w:tc>
          <w:tcPr>
            <w:tcW w:w="1260" w:type="dxa"/>
            <w:gridSpan w:val="2"/>
            <w:shd w:val="clear" w:color="auto" w:fill="auto"/>
            <w:vAlign w:val="center"/>
          </w:tcPr>
          <w:p>
            <w:pPr>
              <w:widowControl/>
              <w:spacing w:line="0" w:lineRule="atLeast"/>
              <w:contextualSpacing/>
              <w:jc w:val="left"/>
              <w:rPr>
                <w:rFonts w:ascii="仿宋_GB2312" w:eastAsia="仿宋_GB2312"/>
                <w:szCs w:val="21"/>
              </w:rPr>
            </w:pPr>
            <w:r>
              <w:rPr>
                <w:rFonts w:hint="eastAsia" w:ascii="仿宋_GB2312" w:eastAsia="仿宋_GB2312"/>
                <w:szCs w:val="21"/>
              </w:rPr>
              <w:t>罚款数额＝</w:t>
            </w:r>
            <w:r>
              <w:rPr>
                <w:rFonts w:ascii="仿宋_GB2312" w:eastAsia="仿宋_GB2312"/>
                <w:szCs w:val="21"/>
              </w:rPr>
              <w:t>5</w:t>
            </w:r>
            <w:r>
              <w:rPr>
                <w:rFonts w:hint="eastAsia" w:ascii="仿宋_GB2312" w:eastAsia="仿宋_GB2312"/>
                <w:szCs w:val="21"/>
              </w:rPr>
              <w:t>00×（1＋区域系数＋情节系数）</w:t>
            </w:r>
          </w:p>
        </w:tc>
        <w:tc>
          <w:tcPr>
            <w:tcW w:w="4869" w:type="dxa"/>
            <w:gridSpan w:val="11"/>
            <w:shd w:val="clear" w:color="auto" w:fill="auto"/>
            <w:noWrap/>
            <w:vAlign w:val="center"/>
          </w:tcPr>
          <w:p>
            <w:pPr>
              <w:widowControl/>
              <w:spacing w:line="0" w:lineRule="atLeast"/>
              <w:contextualSpacing/>
              <w:jc w:val="left"/>
              <w:rPr>
                <w:rFonts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404" w:hRule="atLeast"/>
          <w:jc w:val="center"/>
        </w:trPr>
        <w:tc>
          <w:tcPr>
            <w:tcW w:w="503" w:type="dxa"/>
            <w:gridSpan w:val="2"/>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ascii="仿宋_GB2312" w:hAnsi="宋体" w:eastAsia="仿宋_GB2312" w:cs="宋体"/>
                <w:bCs/>
                <w:kern w:val="0"/>
                <w:szCs w:val="21"/>
              </w:rPr>
              <w:t>3</w:t>
            </w:r>
          </w:p>
        </w:tc>
        <w:tc>
          <w:tcPr>
            <w:tcW w:w="1201" w:type="dxa"/>
            <w:gridSpan w:val="2"/>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无照经营（人力三轮车等业务）</w:t>
            </w:r>
          </w:p>
        </w:tc>
        <w:tc>
          <w:tcPr>
            <w:tcW w:w="4318" w:type="dxa"/>
            <w:gridSpan w:val="8"/>
            <w:shd w:val="clear" w:color="auto" w:fill="auto"/>
            <w:vAlign w:val="center"/>
          </w:tcPr>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违反条款：第二条；</w:t>
            </w:r>
          </w:p>
          <w:p>
            <w:pPr>
              <w:widowControl/>
              <w:spacing w:line="0" w:lineRule="atLeast"/>
              <w:contextualSpacing/>
              <w:jc w:val="left"/>
              <w:rPr>
                <w:rFonts w:ascii="仿宋_GB2312" w:hAnsi="宋体" w:eastAsia="仿宋_GB2312" w:cs="宋体"/>
                <w:bCs/>
                <w:kern w:val="0"/>
                <w:szCs w:val="21"/>
              </w:rPr>
            </w:pPr>
            <w:r>
              <w:rPr>
                <w:rFonts w:hint="eastAsia" w:ascii="仿宋_GB2312" w:hAnsi="宋体" w:eastAsia="仿宋_GB2312" w:cs="宋体"/>
                <w:bCs/>
                <w:kern w:val="0"/>
                <w:szCs w:val="21"/>
              </w:rPr>
              <w:t>处罚条款：第十三条，责令停止违法行为，没收违法所得，并处1万元以下的罚款。</w:t>
            </w:r>
          </w:p>
        </w:tc>
        <w:tc>
          <w:tcPr>
            <w:tcW w:w="961" w:type="dxa"/>
            <w:gridSpan w:val="4"/>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500</w:t>
            </w:r>
          </w:p>
        </w:tc>
        <w:tc>
          <w:tcPr>
            <w:tcW w:w="720" w:type="dxa"/>
            <w:gridSpan w:val="2"/>
            <w:shd w:val="clear" w:color="auto" w:fill="auto"/>
            <w:noWrap/>
            <w:vAlign w:val="center"/>
          </w:tcPr>
          <w:p>
            <w:pPr>
              <w:widowControl/>
              <w:spacing w:line="0" w:lineRule="atLeast"/>
              <w:contextualSpacing/>
              <w:jc w:val="center"/>
              <w:rPr>
                <w:rFonts w:ascii="仿宋_GB2312" w:hAnsi="宋体" w:eastAsia="仿宋_GB2312" w:cs="宋体"/>
                <w:bCs/>
                <w:kern w:val="0"/>
                <w:szCs w:val="21"/>
              </w:rPr>
            </w:pPr>
            <w:r>
              <w:rPr>
                <w:rFonts w:hint="eastAsia" w:ascii="仿宋_GB2312" w:hAnsi="宋体" w:eastAsia="仿宋_GB2312" w:cs="宋体"/>
                <w:bCs/>
                <w:kern w:val="0"/>
                <w:szCs w:val="21"/>
              </w:rPr>
              <w:t>1</w:t>
            </w:r>
          </w:p>
        </w:tc>
        <w:tc>
          <w:tcPr>
            <w:tcW w:w="1620" w:type="dxa"/>
            <w:gridSpan w:val="2"/>
            <w:shd w:val="clear" w:color="auto" w:fill="auto"/>
            <w:vAlign w:val="center"/>
          </w:tcPr>
          <w:p>
            <w:pPr>
              <w:widowControl/>
              <w:jc w:val="left"/>
            </w:pPr>
            <w:r>
              <w:rPr>
                <w:rFonts w:hint="eastAsia" w:ascii="仿宋_GB2312" w:eastAsia="仿宋_GB2312"/>
                <w:szCs w:val="21"/>
              </w:rPr>
              <w:t>造成秩序混乱或者较大社会影响的，系数1-3。</w:t>
            </w:r>
          </w:p>
        </w:tc>
        <w:tc>
          <w:tcPr>
            <w:tcW w:w="1260" w:type="dxa"/>
            <w:gridSpan w:val="2"/>
            <w:shd w:val="clear" w:color="auto" w:fill="auto"/>
            <w:vAlign w:val="center"/>
          </w:tcPr>
          <w:p>
            <w:pPr>
              <w:widowControl/>
              <w:jc w:val="left"/>
            </w:pPr>
            <w:r>
              <w:rPr>
                <w:rFonts w:hint="eastAsia" w:ascii="仿宋_GB2312" w:eastAsia="仿宋_GB2312"/>
                <w:szCs w:val="21"/>
              </w:rPr>
              <w:t>罚款数额＝500×</w:t>
            </w:r>
            <w:r>
              <w:rPr>
                <w:rFonts w:hint="eastAsia" w:ascii="仿宋_GB2312" w:hAnsi="宋体" w:eastAsia="仿宋_GB2312" w:cs="宋体"/>
                <w:bCs/>
                <w:szCs w:val="21"/>
              </w:rPr>
              <w:t>（1</w:t>
            </w:r>
            <w:r>
              <w:rPr>
                <w:rFonts w:hint="eastAsia" w:ascii="仿宋_GB2312" w:eastAsia="仿宋_GB2312"/>
                <w:szCs w:val="21"/>
              </w:rPr>
              <w:t>＋区域系数</w:t>
            </w:r>
            <w:r>
              <w:rPr>
                <w:rFonts w:hint="eastAsia" w:ascii="仿宋_GB2312" w:hAnsi="宋体" w:eastAsia="仿宋_GB2312" w:cs="宋体"/>
                <w:bCs/>
                <w:szCs w:val="21"/>
              </w:rPr>
              <w:t>＋情节系数+变量系数）</w:t>
            </w:r>
          </w:p>
        </w:tc>
        <w:tc>
          <w:tcPr>
            <w:tcW w:w="4869" w:type="dxa"/>
            <w:gridSpan w:val="11"/>
            <w:shd w:val="clear" w:color="auto" w:fill="auto"/>
            <w:noWrap/>
            <w:vAlign w:val="center"/>
          </w:tcPr>
          <w:p>
            <w:pPr>
              <w:widowControl/>
              <w:spacing w:line="0" w:lineRule="atLeast"/>
              <w:contextualSpacing/>
              <w:jc w:val="left"/>
              <w:rPr>
                <w:rFonts w:ascii="仿宋_GB2312" w:hAnsi="宋体" w:eastAsia="仿宋_GB2312" w:cs="宋体"/>
                <w:bCs/>
                <w:szCs w:val="21"/>
              </w:rPr>
            </w:pPr>
            <w:r>
              <w:rPr>
                <w:rFonts w:hint="eastAsia" w:ascii="仿宋_GB2312" w:hAnsi="宋体" w:eastAsia="仿宋_GB2312" w:cs="宋体"/>
                <w:bCs/>
                <w:kern w:val="0"/>
                <w:szCs w:val="21"/>
              </w:rPr>
              <w:t>有生活困难，出具保证书，提出从轻处罚申请的，情节系数可为0。</w:t>
            </w:r>
          </w:p>
          <w:p>
            <w:pPr>
              <w:widowControl/>
              <w:spacing w:line="0" w:lineRule="atLeast"/>
              <w:contextualSpacing/>
              <w:jc w:val="left"/>
              <w:rPr>
                <w:rFonts w:ascii="仿宋_GB2312" w:hAnsi="宋体" w:eastAsia="仿宋_GB2312" w:cs="宋体"/>
                <w:bCs/>
                <w:szCs w:val="21"/>
              </w:rPr>
            </w:pPr>
            <w:r>
              <w:rPr>
                <w:rFonts w:hint="eastAsia" w:ascii="仿宋_GB2312" w:hAnsi="宋体" w:eastAsia="仿宋_GB2312" w:cs="宋体"/>
                <w:bCs/>
                <w:kern w:val="0"/>
                <w:szCs w:val="21"/>
              </w:rPr>
              <w:t>需要给予其它高额处罚的，经调取证据后，报案审会决定。</w:t>
            </w:r>
          </w:p>
          <w:p>
            <w:pPr>
              <w:widowControl/>
              <w:rPr>
                <w:rFonts w:ascii="仿宋_GB2312" w:eastAsia="仿宋_GB2312"/>
                <w:szCs w:val="21"/>
              </w:rPr>
            </w:pPr>
            <w:r>
              <w:rPr>
                <w:rFonts w:hint="eastAsia" w:ascii="仿宋_GB2312" w:eastAsia="仿宋_GB2312"/>
                <w:szCs w:val="21"/>
              </w:rPr>
              <w:t>核心区、一类严格控制地区“利用摩托车、三轮车、残疾人机动轮椅车等车辆从事客运经营”，应当适用《北京市查处非法客运若干规定》查处。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458" w:type="dxa"/>
            <w:gridSpan w:val="34"/>
            <w:shd w:val="clear" w:color="auto" w:fill="auto"/>
            <w:noWrap/>
            <w:vAlign w:val="center"/>
          </w:tcPr>
          <w:p>
            <w:pPr>
              <w:pStyle w:val="2"/>
              <w:rPr>
                <w:rFonts w:ascii="黑体" w:eastAsia="黑体"/>
                <w:sz w:val="28"/>
                <w:szCs w:val="28"/>
              </w:rPr>
            </w:pPr>
            <w:bookmarkStart w:id="63" w:name="_Toc39911716"/>
            <w:r>
              <w:rPr>
                <w:rFonts w:hint="eastAsia"/>
              </w:rPr>
              <w:t>城市规划管理方面</w:t>
            </w:r>
            <w:r>
              <w:t>案由</w:t>
            </w:r>
            <w:r>
              <w:rPr>
                <w:rFonts w:hint="eastAsia"/>
              </w:rPr>
              <w:t>2</w:t>
            </w:r>
            <w:r>
              <w:t>项</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458" w:type="dxa"/>
            <w:gridSpan w:val="34"/>
            <w:shd w:val="clear" w:color="auto" w:fill="auto"/>
            <w:noWrap/>
            <w:vAlign w:val="center"/>
          </w:tcPr>
          <w:p>
            <w:pPr>
              <w:pStyle w:val="3"/>
              <w:spacing w:before="0" w:beforeAutospacing="0" w:after="0" w:afterAutospacing="0" w:line="0" w:lineRule="atLeast"/>
            </w:pPr>
            <w:bookmarkStart w:id="64" w:name="_Toc39911717"/>
            <w:r>
              <w:rPr>
                <w:rFonts w:hint="eastAsia"/>
              </w:rPr>
              <w:t>《中华人民共和国城乡规划法》《北京市城乡规划条例》</w:t>
            </w:r>
            <w:r>
              <w:rPr>
                <w:rFonts w:hint="eastAsia"/>
                <w:sz w:val="32"/>
                <w:szCs w:val="32"/>
              </w:rPr>
              <w:t>《北京市禁止违法建设若干规定》</w:t>
            </w:r>
            <w:r>
              <w:rPr>
                <w:rFonts w:hint="eastAsia"/>
              </w:rPr>
              <w:t>等法规案由2项</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restart"/>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vMerge w:val="restart"/>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违法建设</w:t>
            </w:r>
          </w:p>
        </w:tc>
        <w:tc>
          <w:tcPr>
            <w:tcW w:w="11696" w:type="dxa"/>
            <w:gridSpan w:val="26"/>
            <w:shd w:val="clear" w:color="auto" w:fill="auto"/>
          </w:tcPr>
          <w:p>
            <w:pPr>
              <w:widowControl/>
              <w:spacing w:line="280" w:lineRule="exact"/>
              <w:jc w:val="left"/>
              <w:rPr>
                <w:rFonts w:ascii="仿宋_GB2312" w:hAnsi="宋体" w:eastAsia="仿宋_GB2312" w:cs="宋体"/>
                <w:kern w:val="0"/>
                <w:sz w:val="24"/>
              </w:rPr>
            </w:pPr>
            <w:r>
              <w:rPr>
                <w:rFonts w:ascii="宋体" w:hAnsi="宋体" w:cs="宋体"/>
                <w:b/>
                <w:bCs/>
                <w:kern w:val="0"/>
                <w:sz w:val="24"/>
              </w:rPr>
              <w:t>[</w:t>
            </w:r>
            <w:r>
              <w:rPr>
                <w:rFonts w:hint="eastAsia" w:ascii="宋体" w:hAnsi="宋体" w:cs="宋体"/>
                <w:b/>
                <w:bCs/>
                <w:kern w:val="0"/>
                <w:sz w:val="24"/>
              </w:rPr>
              <w:t>新生违法建设</w:t>
            </w:r>
            <w:r>
              <w:rPr>
                <w:rFonts w:ascii="宋体" w:hAnsi="宋体" w:cs="宋体"/>
                <w:b/>
                <w:bCs/>
                <w:kern w:val="0"/>
                <w:sz w:val="24"/>
              </w:rPr>
              <w:t>]</w:t>
            </w:r>
            <w:r>
              <w:rPr>
                <w:rFonts w:ascii="仿宋_GB2312" w:hAnsi="宋体" w:eastAsia="仿宋_GB2312" w:cs="宋体"/>
                <w:kern w:val="0"/>
                <w:sz w:val="24"/>
              </w:rPr>
              <w:br w:type="textWrapping"/>
            </w:r>
            <w:r>
              <w:rPr>
                <w:rFonts w:hint="eastAsia" w:ascii="仿宋_GB2312" w:hAnsi="宋体" w:eastAsia="仿宋_GB2312" w:cs="宋体"/>
                <w:b/>
                <w:bCs/>
                <w:kern w:val="0"/>
                <w:sz w:val="24"/>
              </w:rPr>
              <w:t>违反条款：</w:t>
            </w:r>
            <w:r>
              <w:rPr>
                <w:rFonts w:hint="eastAsia" w:ascii="仿宋_GB2312" w:hAnsi="宋体" w:eastAsia="仿宋_GB2312" w:cs="宋体"/>
                <w:kern w:val="0"/>
                <w:sz w:val="24"/>
              </w:rPr>
              <w:t>《北京市城乡规划条例》第二十九条第一款；</w:t>
            </w:r>
            <w:r>
              <w:rPr>
                <w:rFonts w:ascii="仿宋_GB2312" w:hAnsi="宋体" w:eastAsia="仿宋_GB2312" w:cs="宋体"/>
                <w:kern w:val="0"/>
                <w:sz w:val="24"/>
              </w:rPr>
              <w:br w:type="textWrapping"/>
            </w:r>
            <w:r>
              <w:rPr>
                <w:rFonts w:hint="eastAsia" w:ascii="仿宋_GB2312" w:hAnsi="宋体" w:eastAsia="仿宋_GB2312" w:cs="宋体"/>
                <w:b/>
                <w:bCs/>
                <w:kern w:val="0"/>
                <w:sz w:val="24"/>
              </w:rPr>
              <w:t>拆除条款：</w:t>
            </w:r>
            <w:r>
              <w:rPr>
                <w:rFonts w:hint="eastAsia" w:ascii="仿宋_GB2312" w:hAnsi="宋体" w:eastAsia="仿宋_GB2312" w:cs="宋体"/>
                <w:kern w:val="0"/>
                <w:sz w:val="24"/>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仿宋_GB2312" w:hAnsi="宋体" w:eastAsia="仿宋_GB2312" w:cs="宋体"/>
                <w:kern w:val="0"/>
                <w:sz w:val="24"/>
              </w:rPr>
              <w:br w:type="textWrapping"/>
            </w:r>
            <w:r>
              <w:rPr>
                <w:rFonts w:hint="eastAsia" w:ascii="仿宋_GB2312" w:hAnsi="宋体" w:eastAsia="仿宋_GB2312" w:cs="宋体"/>
                <w:b/>
                <w:bCs/>
                <w:kern w:val="0"/>
                <w:sz w:val="24"/>
              </w:rPr>
              <w:t>处罚条款：</w:t>
            </w:r>
            <w:r>
              <w:rPr>
                <w:rFonts w:hint="eastAsia" w:ascii="仿宋_GB2312" w:hAnsi="宋体" w:eastAsia="仿宋_GB2312" w:cs="宋体"/>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58" w:type="dxa"/>
            <w:gridSpan w:val="4"/>
            <w:vMerge w:val="restart"/>
            <w:shd w:val="clear" w:color="auto" w:fill="auto"/>
            <w:noWrap/>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 w:val="24"/>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11696" w:type="dxa"/>
            <w:gridSpan w:val="26"/>
            <w:shd w:val="clear" w:color="auto" w:fill="auto"/>
          </w:tcPr>
          <w:p>
            <w:pPr>
              <w:widowControl/>
              <w:spacing w:line="280" w:lineRule="exact"/>
              <w:jc w:val="left"/>
              <w:rPr>
                <w:rFonts w:ascii="仿宋_GB2312" w:hAnsi="宋体" w:eastAsia="仿宋_GB2312" w:cs="宋体"/>
                <w:kern w:val="0"/>
                <w:sz w:val="24"/>
              </w:rPr>
            </w:pPr>
            <w:r>
              <w:rPr>
                <w:rFonts w:ascii="宋体" w:hAnsi="宋体" w:cs="宋体"/>
                <w:b/>
                <w:bCs/>
                <w:kern w:val="0"/>
                <w:sz w:val="24"/>
              </w:rPr>
              <w:t>[</w:t>
            </w:r>
            <w:r>
              <w:rPr>
                <w:rFonts w:hint="eastAsia" w:ascii="宋体" w:hAnsi="宋体" w:cs="宋体"/>
                <w:b/>
                <w:bCs/>
                <w:kern w:val="0"/>
                <w:sz w:val="24"/>
              </w:rPr>
              <w:t>已建成违法建设</w:t>
            </w:r>
            <w:r>
              <w:rPr>
                <w:rFonts w:ascii="宋体" w:hAnsi="宋体" w:cs="宋体"/>
                <w:b/>
                <w:bCs/>
                <w:kern w:val="0"/>
                <w:sz w:val="24"/>
              </w:rPr>
              <w:t>]</w:t>
            </w:r>
            <w:r>
              <w:rPr>
                <w:rFonts w:ascii="仿宋_GB2312" w:hAnsi="宋体" w:eastAsia="仿宋_GB2312" w:cs="宋体"/>
                <w:kern w:val="0"/>
                <w:sz w:val="24"/>
              </w:rPr>
              <w:br w:type="textWrapping"/>
            </w:r>
            <w:r>
              <w:rPr>
                <w:rFonts w:hint="eastAsia" w:ascii="仿宋_GB2312" w:hAnsi="宋体" w:eastAsia="仿宋_GB2312" w:cs="宋体"/>
                <w:b/>
                <w:bCs/>
                <w:kern w:val="0"/>
                <w:sz w:val="24"/>
              </w:rPr>
              <w:t>违反条款：</w:t>
            </w:r>
            <w:r>
              <w:rPr>
                <w:rFonts w:hint="eastAsia" w:ascii="仿宋_GB2312" w:hAnsi="宋体" w:eastAsia="仿宋_GB2312" w:cs="宋体"/>
                <w:kern w:val="0"/>
                <w:sz w:val="24"/>
              </w:rPr>
              <w:t>《北京市城乡规划条例》第二十九条第一款；</w:t>
            </w:r>
            <w:r>
              <w:rPr>
                <w:rFonts w:ascii="仿宋_GB2312" w:hAnsi="宋体" w:eastAsia="仿宋_GB2312" w:cs="宋体"/>
                <w:kern w:val="0"/>
                <w:sz w:val="24"/>
              </w:rPr>
              <w:br w:type="textWrapping"/>
            </w:r>
            <w:r>
              <w:rPr>
                <w:rFonts w:hint="eastAsia" w:ascii="仿宋_GB2312" w:hAnsi="宋体" w:eastAsia="仿宋_GB2312" w:cs="宋体"/>
                <w:b/>
                <w:bCs/>
                <w:kern w:val="0"/>
                <w:sz w:val="24"/>
              </w:rPr>
              <w:t>拆除条款：（限期拆除）</w:t>
            </w:r>
            <w:r>
              <w:rPr>
                <w:rFonts w:hint="eastAsia" w:ascii="仿宋_GB2312" w:hAnsi="宋体" w:eastAsia="仿宋_GB2312" w:cs="宋体"/>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r>
              <w:rPr>
                <w:rFonts w:ascii="仿宋_GB2312" w:hAnsi="宋体" w:eastAsia="仿宋_GB2312" w:cs="宋体"/>
                <w:kern w:val="0"/>
                <w:sz w:val="24"/>
              </w:rPr>
              <w:br w:type="textWrapping"/>
            </w:r>
            <w:r>
              <w:rPr>
                <w:rFonts w:ascii="仿宋_GB2312" w:hAnsi="宋体" w:eastAsia="仿宋_GB2312" w:cs="宋体"/>
                <w:kern w:val="0"/>
                <w:sz w:val="24"/>
              </w:rPr>
              <w:t xml:space="preserve">    </w:t>
            </w:r>
            <w:r>
              <w:rPr>
                <w:rFonts w:hint="eastAsia" w:ascii="仿宋_GB2312" w:hAnsi="宋体" w:eastAsia="仿宋_GB2312" w:cs="宋体"/>
                <w:b/>
                <w:bCs/>
                <w:kern w:val="0"/>
                <w:sz w:val="24"/>
              </w:rPr>
              <w:t>（强制拆除）</w:t>
            </w:r>
            <w:r>
              <w:rPr>
                <w:rFonts w:hint="eastAsia" w:ascii="仿宋_GB2312" w:hAnsi="宋体" w:eastAsia="仿宋_GB2312" w:cs="宋体"/>
                <w:kern w:val="0"/>
                <w:sz w:val="24"/>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widowControl/>
              <w:spacing w:line="280" w:lineRule="exact"/>
              <w:ind w:firstLine="482" w:firstLineChars="200"/>
              <w:jc w:val="left"/>
              <w:rPr>
                <w:rFonts w:ascii="仿宋_GB2312" w:hAnsi="宋体" w:eastAsia="仿宋_GB2312" w:cs="宋体"/>
                <w:kern w:val="0"/>
                <w:sz w:val="24"/>
              </w:rPr>
            </w:pPr>
            <w:r>
              <w:rPr>
                <w:rFonts w:hint="eastAsia" w:ascii="仿宋_GB2312" w:hAnsi="宋体" w:eastAsia="仿宋_GB2312" w:cs="宋体"/>
                <w:b/>
                <w:kern w:val="0"/>
                <w:sz w:val="24"/>
              </w:rPr>
              <w:t>（无主公告）</w:t>
            </w:r>
            <w:r>
              <w:rPr>
                <w:rFonts w:hint="eastAsia" w:ascii="仿宋_GB2312" w:hAnsi="宋体" w:eastAsia="仿宋_GB2312" w:cs="宋体"/>
                <w:kern w:val="0"/>
                <w:sz w:val="24"/>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hAnsi="宋体" w:eastAsia="仿宋_GB2312" w:cs="宋体"/>
                <w:kern w:val="0"/>
                <w:sz w:val="24"/>
              </w:rPr>
              <w:t>10</w:t>
            </w:r>
            <w:r>
              <w:rPr>
                <w:rFonts w:hint="eastAsia" w:ascii="仿宋_GB2312" w:hAnsi="宋体" w:eastAsia="仿宋_GB2312" w:cs="宋体"/>
                <w:kern w:val="0"/>
                <w:sz w:val="24"/>
              </w:rPr>
              <w:t>日。公告期间届满后</w:t>
            </w:r>
            <w:r>
              <w:rPr>
                <w:rFonts w:ascii="仿宋_GB2312" w:hAnsi="宋体" w:eastAsia="仿宋_GB2312" w:cs="宋体"/>
                <w:kern w:val="0"/>
                <w:sz w:val="24"/>
              </w:rPr>
              <w:t>6</w:t>
            </w:r>
            <w:r>
              <w:rPr>
                <w:rFonts w:hint="eastAsia" w:ascii="仿宋_GB2312" w:hAnsi="宋体" w:eastAsia="仿宋_GB2312" w:cs="宋体"/>
                <w:kern w:val="0"/>
                <w:sz w:val="24"/>
              </w:rPr>
              <w:t>个月内无人提起行政复议或者行政诉讼的，依法强制拆除或者没收。</w:t>
            </w:r>
            <w:r>
              <w:rPr>
                <w:rFonts w:ascii="仿宋_GB2312" w:hAnsi="宋体" w:eastAsia="仿宋_GB2312" w:cs="宋体"/>
                <w:kern w:val="0"/>
                <w:sz w:val="24"/>
              </w:rPr>
              <w:br w:type="textWrapping"/>
            </w:r>
            <w:r>
              <w:rPr>
                <w:rFonts w:hint="eastAsia" w:ascii="仿宋_GB2312" w:hAnsi="宋体" w:eastAsia="仿宋_GB2312" w:cs="宋体"/>
                <w:b/>
                <w:bCs/>
                <w:kern w:val="0"/>
                <w:sz w:val="24"/>
              </w:rPr>
              <w:t>处罚条款：</w:t>
            </w:r>
            <w:r>
              <w:rPr>
                <w:rFonts w:hint="eastAsia" w:ascii="仿宋_GB2312" w:hAnsi="宋体" w:eastAsia="仿宋_GB2312" w:cs="宋体"/>
                <w:kern w:val="0"/>
                <w:sz w:val="24"/>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58" w:type="dxa"/>
            <w:gridSpan w:val="4"/>
            <w:vMerge w:val="continue"/>
            <w:shd w:val="clear" w:color="auto" w:fill="auto"/>
            <w:noWrap/>
            <w:vAlign w:val="center"/>
          </w:tcPr>
          <w:p>
            <w:pPr>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3" w:type="dxa"/>
            <w:gridSpan w:val="2"/>
            <w:vMerge w:val="continue"/>
            <w:shd w:val="clear" w:color="auto" w:fill="auto"/>
            <w:noWrap/>
            <w:vAlign w:val="center"/>
          </w:tcPr>
          <w:p>
            <w:pPr>
              <w:spacing w:line="0" w:lineRule="atLeast"/>
              <w:rPr>
                <w:rFonts w:ascii="仿宋_GB2312" w:hAnsi="宋体" w:eastAsia="仿宋_GB2312" w:cs="宋体"/>
                <w:kern w:val="0"/>
                <w:szCs w:val="21"/>
              </w:rPr>
            </w:pPr>
          </w:p>
        </w:tc>
        <w:tc>
          <w:tcPr>
            <w:tcW w:w="1201" w:type="dxa"/>
            <w:gridSpan w:val="2"/>
            <w:vMerge w:val="continue"/>
            <w:shd w:val="clear" w:color="auto" w:fill="auto"/>
            <w:vAlign w:val="center"/>
          </w:tcPr>
          <w:p>
            <w:pPr>
              <w:spacing w:line="0" w:lineRule="atLeast"/>
              <w:rPr>
                <w:rFonts w:ascii="仿宋_GB2312" w:hAnsi="宋体" w:eastAsia="仿宋_GB2312" w:cs="宋体"/>
                <w:kern w:val="0"/>
                <w:szCs w:val="21"/>
              </w:rPr>
            </w:pPr>
          </w:p>
        </w:tc>
        <w:tc>
          <w:tcPr>
            <w:tcW w:w="11339" w:type="dxa"/>
            <w:gridSpan w:val="23"/>
            <w:shd w:val="clear" w:color="auto" w:fill="auto"/>
          </w:tcPr>
          <w:p>
            <w:pPr>
              <w:widowControl/>
              <w:pBdr>
                <w:top w:val="single" w:color="auto" w:sz="4" w:space="1"/>
              </w:pBdr>
              <w:spacing w:line="340" w:lineRule="exact"/>
              <w:jc w:val="left"/>
              <w:rPr>
                <w:rFonts w:ascii="宋体" w:hAnsi="宋体" w:cs="宋体"/>
                <w:b/>
                <w:bCs/>
                <w:kern w:val="0"/>
                <w:sz w:val="24"/>
              </w:rPr>
            </w:pPr>
            <w:r>
              <w:rPr>
                <w:rFonts w:ascii="宋体" w:hAnsi="宋体" w:cs="宋体"/>
                <w:b/>
                <w:bCs/>
                <w:kern w:val="0"/>
                <w:sz w:val="24"/>
              </w:rPr>
              <w:t>[</w:t>
            </w:r>
            <w:r>
              <w:rPr>
                <w:rFonts w:hint="eastAsia" w:ascii="宋体" w:hAnsi="宋体" w:cs="宋体"/>
                <w:b/>
                <w:bCs/>
                <w:kern w:val="0"/>
                <w:sz w:val="24"/>
              </w:rPr>
              <w:t>城镇临时建设工程未取得临时建设工程规划许可证违法建设</w:t>
            </w:r>
            <w:r>
              <w:rPr>
                <w:rFonts w:ascii="宋体" w:hAnsi="宋体" w:cs="宋体"/>
                <w:b/>
                <w:bCs/>
                <w:kern w:val="0"/>
                <w:sz w:val="24"/>
              </w:rPr>
              <w:t>]</w:t>
            </w:r>
          </w:p>
          <w:p>
            <w:pPr>
              <w:widowControl/>
              <w:pBdr>
                <w:top w:val="single" w:color="auto" w:sz="4" w:space="1"/>
              </w:pBdr>
              <w:spacing w:line="340" w:lineRule="exact"/>
              <w:jc w:val="left"/>
              <w:rPr>
                <w:rFonts w:ascii="仿宋_GB2312" w:hAnsi="宋体" w:eastAsia="仿宋_GB2312" w:cs="宋体"/>
                <w:kern w:val="0"/>
                <w:sz w:val="24"/>
              </w:rPr>
            </w:pPr>
            <w:r>
              <w:rPr>
                <w:rFonts w:hint="eastAsia" w:ascii="仿宋_GB2312" w:hAnsi="宋体" w:eastAsia="仿宋_GB2312" w:cs="宋体"/>
                <w:b/>
                <w:bCs/>
                <w:kern w:val="0"/>
                <w:sz w:val="24"/>
              </w:rPr>
              <w:t>违反条款：</w:t>
            </w:r>
            <w:r>
              <w:rPr>
                <w:rFonts w:hint="eastAsia" w:ascii="仿宋_GB2312" w:hAnsi="宋体" w:eastAsia="仿宋_GB2312" w:cs="宋体"/>
                <w:kern w:val="0"/>
                <w:sz w:val="24"/>
              </w:rPr>
              <w:t>《北京市城乡规划条例》第二十九条第一款；</w:t>
            </w:r>
          </w:p>
          <w:p>
            <w:pPr>
              <w:widowControl/>
              <w:pBdr>
                <w:top w:val="single" w:color="auto" w:sz="4" w:space="1"/>
              </w:pBdr>
              <w:spacing w:line="340" w:lineRule="exact"/>
              <w:jc w:val="left"/>
              <w:rPr>
                <w:rFonts w:ascii="仿宋_GB2312" w:hAnsi="宋体" w:eastAsia="仿宋_GB2312" w:cs="宋体"/>
                <w:kern w:val="0"/>
                <w:sz w:val="24"/>
              </w:rPr>
            </w:pPr>
            <w:r>
              <w:rPr>
                <w:rFonts w:hint="eastAsia" w:ascii="仿宋_GB2312" w:hAnsi="宋体" w:eastAsia="仿宋_GB2312" w:cs="宋体"/>
                <w:b/>
                <w:bCs/>
                <w:kern w:val="0"/>
                <w:sz w:val="24"/>
              </w:rPr>
              <w:t>拆除条款：</w:t>
            </w:r>
            <w:r>
              <w:rPr>
                <w:rFonts w:hint="eastAsia" w:ascii="仿宋_GB2312" w:hAnsi="宋体" w:eastAsia="仿宋_GB2312" w:cs="宋体"/>
                <w:kern w:val="0"/>
                <w:sz w:val="24"/>
              </w:rPr>
              <w:t>第七十六条，城镇临时建设工程未取得临时建设工程规划许可证或者未按照临时建设工程规划许可证许可内容进行建设或者逾期未拆除的，责令限期拆除，可以并处该建设工程造价一倍以下的罚款。</w:t>
            </w:r>
            <w:r>
              <w:rPr>
                <w:rFonts w:ascii="仿宋_GB2312" w:hAnsi="宋体" w:eastAsia="仿宋_GB2312" w:cs="宋体"/>
                <w:kern w:val="0"/>
                <w:sz w:val="24"/>
              </w:rPr>
              <w:t xml:space="preserve">    </w:t>
            </w:r>
          </w:p>
          <w:p>
            <w:pPr>
              <w:widowControl/>
              <w:pBdr>
                <w:top w:val="single" w:color="auto" w:sz="4" w:space="1"/>
              </w:pBdr>
              <w:spacing w:line="340" w:lineRule="exact"/>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widowControl/>
              <w:pBdr>
                <w:top w:val="single" w:color="auto" w:sz="4" w:space="1"/>
              </w:pBdr>
              <w:spacing w:line="340" w:lineRule="exact"/>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hAnsi="宋体" w:eastAsia="仿宋_GB2312" w:cs="宋体"/>
                <w:kern w:val="0"/>
                <w:sz w:val="24"/>
              </w:rPr>
              <w:t>10</w:t>
            </w:r>
            <w:r>
              <w:rPr>
                <w:rFonts w:hint="eastAsia" w:ascii="仿宋_GB2312" w:hAnsi="宋体" w:eastAsia="仿宋_GB2312" w:cs="宋体"/>
                <w:kern w:val="0"/>
                <w:sz w:val="24"/>
              </w:rPr>
              <w:t>日。公告期间届满后</w:t>
            </w:r>
            <w:r>
              <w:rPr>
                <w:rFonts w:ascii="仿宋_GB2312" w:hAnsi="宋体" w:eastAsia="仿宋_GB2312" w:cs="宋体"/>
                <w:kern w:val="0"/>
                <w:sz w:val="24"/>
              </w:rPr>
              <w:t>6</w:t>
            </w:r>
            <w:r>
              <w:rPr>
                <w:rFonts w:hint="eastAsia" w:ascii="仿宋_GB2312" w:hAnsi="宋体" w:eastAsia="仿宋_GB2312" w:cs="宋体"/>
                <w:kern w:val="0"/>
                <w:sz w:val="24"/>
              </w:rPr>
              <w:t>个月内无人提起行政复议或者行政诉讼的，依法强制拆除或者没收。</w:t>
            </w:r>
          </w:p>
          <w:p>
            <w:pPr>
              <w:widowControl/>
              <w:spacing w:line="360" w:lineRule="exact"/>
              <w:jc w:val="left"/>
              <w:rPr>
                <w:rFonts w:ascii="宋体" w:hAnsi="宋体" w:cs="宋体"/>
                <w:b/>
                <w:bCs/>
                <w:kern w:val="0"/>
                <w:sz w:val="24"/>
              </w:rPr>
            </w:pPr>
            <w:r>
              <w:rPr>
                <w:rFonts w:hint="eastAsia" w:ascii="仿宋_GB2312" w:hAnsi="宋体" w:eastAsia="仿宋_GB2312" w:cs="宋体"/>
                <w:b/>
                <w:bCs/>
                <w:kern w:val="0"/>
                <w:sz w:val="24"/>
              </w:rPr>
              <w:t>处罚条款：</w:t>
            </w:r>
            <w:r>
              <w:rPr>
                <w:rFonts w:hint="eastAsia" w:ascii="仿宋_GB2312" w:hAnsi="宋体" w:eastAsia="仿宋_GB2312" w:cs="宋体"/>
                <w:kern w:val="0"/>
                <w:sz w:val="24"/>
              </w:rPr>
              <w:t>《北京市城乡规划条例》第七十六条。</w:t>
            </w:r>
          </w:p>
        </w:tc>
        <w:tc>
          <w:tcPr>
            <w:tcW w:w="2415" w:type="dxa"/>
            <w:gridSpan w:val="7"/>
            <w:shd w:val="clear" w:color="auto" w:fill="auto"/>
            <w:noWrap/>
            <w:vAlign w:val="center"/>
          </w:tcPr>
          <w:p>
            <w:pPr>
              <w:spacing w:line="3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未按照规定在施工现场对外公示建设工程规划许可证（含临时）及附件、附图</w:t>
            </w:r>
          </w:p>
        </w:tc>
        <w:tc>
          <w:tcPr>
            <w:tcW w:w="4318" w:type="dxa"/>
            <w:gridSpan w:val="8"/>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b/>
                <w:bCs/>
                <w:kern w:val="0"/>
                <w:sz w:val="24"/>
              </w:rPr>
              <w:t>违反条款：</w:t>
            </w:r>
            <w:r>
              <w:rPr>
                <w:rFonts w:hint="eastAsia" w:ascii="仿宋_GB2312" w:hAnsi="宋体" w:eastAsia="仿宋_GB2312" w:cs="宋体"/>
                <w:kern w:val="0"/>
                <w:sz w:val="24"/>
              </w:rPr>
              <w:t>《北京市城乡规划条例》第六十四条；</w:t>
            </w:r>
            <w:r>
              <w:rPr>
                <w:rFonts w:ascii="仿宋_GB2312" w:hAnsi="宋体" w:eastAsia="仿宋_GB2312" w:cs="宋体"/>
                <w:kern w:val="0"/>
                <w:sz w:val="24"/>
              </w:rPr>
              <w:br w:type="textWrapping"/>
            </w:r>
            <w:r>
              <w:rPr>
                <w:rFonts w:hint="eastAsia" w:ascii="仿宋_GB2312" w:hAnsi="宋体" w:eastAsia="仿宋_GB2312" w:cs="宋体"/>
                <w:b/>
                <w:bCs/>
                <w:kern w:val="0"/>
                <w:sz w:val="24"/>
              </w:rPr>
              <w:t>处罚条款：</w:t>
            </w:r>
            <w:r>
              <w:rPr>
                <w:rFonts w:hint="eastAsia" w:ascii="仿宋_GB2312" w:hAnsi="宋体" w:eastAsia="仿宋_GB2312" w:cs="宋体"/>
                <w:kern w:val="0"/>
                <w:sz w:val="24"/>
              </w:rPr>
              <w:t>《北京市城乡规划条例》第八十五条，责令限期改正，可以并处</w:t>
            </w:r>
            <w:r>
              <w:rPr>
                <w:rFonts w:ascii="仿宋_GB2312" w:hAnsi="宋体" w:eastAsia="仿宋_GB2312" w:cs="宋体"/>
                <w:kern w:val="0"/>
                <w:sz w:val="24"/>
              </w:rPr>
              <w:t>5000</w:t>
            </w:r>
            <w:r>
              <w:rPr>
                <w:rFonts w:hint="eastAsia" w:ascii="仿宋_GB2312" w:hAnsi="宋体" w:eastAsia="仿宋_GB2312" w:cs="宋体"/>
                <w:kern w:val="0"/>
                <w:sz w:val="24"/>
              </w:rPr>
              <w:t>元以上</w:t>
            </w:r>
            <w:r>
              <w:rPr>
                <w:rFonts w:ascii="仿宋_GB2312" w:hAnsi="宋体" w:eastAsia="仿宋_GB2312" w:cs="宋体"/>
                <w:kern w:val="0"/>
                <w:sz w:val="24"/>
              </w:rPr>
              <w:t>1</w:t>
            </w:r>
            <w:r>
              <w:rPr>
                <w:rFonts w:hint="eastAsia" w:ascii="仿宋_GB2312" w:hAnsi="宋体" w:eastAsia="仿宋_GB2312" w:cs="宋体"/>
                <w:kern w:val="0"/>
                <w:sz w:val="24"/>
              </w:rPr>
              <w:t>万元以下罚款。</w:t>
            </w:r>
          </w:p>
        </w:tc>
        <w:tc>
          <w:tcPr>
            <w:tcW w:w="961" w:type="dxa"/>
            <w:gridSpan w:val="4"/>
            <w:shd w:val="clear" w:color="auto" w:fill="auto"/>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5000</w:t>
            </w:r>
          </w:p>
        </w:tc>
        <w:tc>
          <w:tcPr>
            <w:tcW w:w="720" w:type="dxa"/>
            <w:gridSpan w:val="2"/>
            <w:shd w:val="clear" w:color="auto" w:fill="auto"/>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3600" w:type="dxa"/>
            <w:gridSpan w:val="7"/>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按照《基准》的有关规定执行</w:t>
            </w:r>
          </w:p>
        </w:tc>
        <w:tc>
          <w:tcPr>
            <w:tcW w:w="1740" w:type="dxa"/>
            <w:gridSpan w:val="2"/>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罚款数额</w:t>
            </w:r>
            <w:r>
              <w:rPr>
                <w:rFonts w:hint="eastAsia" w:ascii="仿宋_GB2312" w:hAnsi="宋体" w:eastAsia="仿宋_GB2312" w:cs="宋体"/>
                <w:kern w:val="0"/>
                <w:szCs w:val="21"/>
              </w:rPr>
              <w:t>＝</w:t>
            </w:r>
            <w:r>
              <w:rPr>
                <w:rFonts w:ascii="仿宋_GB2312" w:hAnsi="宋体" w:eastAsia="仿宋_GB2312" w:cs="宋体"/>
                <w:kern w:val="0"/>
                <w:sz w:val="24"/>
              </w:rPr>
              <w:t>5000</w:t>
            </w:r>
            <w:r>
              <w:rPr>
                <w:rFonts w:hint="eastAsia" w:ascii="仿宋_GB2312" w:hAnsi="宋体" w:eastAsia="仿宋_GB2312" w:cs="宋体"/>
                <w:kern w:val="0"/>
                <w:sz w:val="24"/>
              </w:rPr>
              <w:t>×（</w:t>
            </w:r>
            <w:r>
              <w:rPr>
                <w:rFonts w:ascii="仿宋_GB2312" w:hAnsi="宋体" w:eastAsia="仿宋_GB2312" w:cs="宋体"/>
                <w:kern w:val="0"/>
                <w:sz w:val="24"/>
              </w:rPr>
              <w:t>1+</w:t>
            </w:r>
            <w:r>
              <w:rPr>
                <w:rFonts w:hint="eastAsia" w:ascii="仿宋_GB2312" w:hAnsi="宋体" w:eastAsia="仿宋_GB2312" w:cs="宋体"/>
                <w:kern w:val="0"/>
                <w:sz w:val="24"/>
              </w:rPr>
              <w:t>情节系数）</w:t>
            </w:r>
          </w:p>
        </w:tc>
        <w:tc>
          <w:tcPr>
            <w:tcW w:w="2415" w:type="dxa"/>
            <w:gridSpan w:val="7"/>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该项案由执法区域范畴与查处违法建设分工区域范畴相同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458" w:type="dxa"/>
            <w:gridSpan w:val="34"/>
            <w:shd w:val="clear" w:color="auto" w:fill="auto"/>
            <w:noWrap/>
            <w:vAlign w:val="center"/>
          </w:tcPr>
          <w:p>
            <w:pPr>
              <w:pStyle w:val="2"/>
              <w:rPr>
                <w:rFonts w:ascii="仿宋_GB2312" w:eastAsia="仿宋_GB2312"/>
                <w:szCs w:val="21"/>
              </w:rPr>
            </w:pPr>
            <w:bookmarkStart w:id="65" w:name="_Toc39911718"/>
            <w:r>
              <w:rPr>
                <w:rFonts w:hint="eastAsia"/>
              </w:rPr>
              <w:t>旅游管理</w:t>
            </w:r>
            <w:r>
              <w:rPr>
                <w:rFonts w:hint="eastAsia" w:ascii="楷体_GB2312" w:eastAsia="楷体_GB2312"/>
              </w:rPr>
              <w:t>（黑导游）</w:t>
            </w:r>
            <w:r>
              <w:rPr>
                <w:rFonts w:hint="eastAsia"/>
              </w:rPr>
              <w:t>方面</w:t>
            </w:r>
            <w:r>
              <w:t>案由</w:t>
            </w:r>
            <w:r>
              <w:rPr>
                <w:rFonts w:hint="eastAsia"/>
              </w:rPr>
              <w:t>1</w:t>
            </w:r>
            <w:r>
              <w:t>项</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5458" w:type="dxa"/>
            <w:gridSpan w:val="34"/>
            <w:shd w:val="clear" w:color="auto" w:fill="auto"/>
            <w:noWrap/>
            <w:vAlign w:val="center"/>
          </w:tcPr>
          <w:p>
            <w:pPr>
              <w:pStyle w:val="3"/>
              <w:rPr>
                <w:rFonts w:ascii="仿宋_GB2312" w:eastAsia="仿宋_GB2312"/>
              </w:rPr>
            </w:pPr>
            <w:bookmarkStart w:id="66" w:name="_Toc39911719"/>
            <w:r>
              <w:rPr>
                <w:rFonts w:hint="eastAsia"/>
              </w:rPr>
              <w:t>《中华人民共和国旅游法》案由1项</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无导游证进行导游活动</w:t>
            </w:r>
          </w:p>
        </w:tc>
        <w:tc>
          <w:tcPr>
            <w:tcW w:w="4318" w:type="dxa"/>
            <w:gridSpan w:val="8"/>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违反、处罚条款：第一百零二条第一款，责令改正，没收违法所得，并处1千元以上1万元以下罚款，予以公告。</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在4A级景区，系数1；5A级景区，系数2。</w:t>
            </w:r>
          </w:p>
        </w:tc>
        <w:tc>
          <w:tcPr>
            <w:tcW w:w="1740" w:type="dxa"/>
            <w:gridSpan w:val="2"/>
            <w:shd w:val="clear" w:color="auto" w:fill="auto"/>
            <w:vAlign w:val="center"/>
          </w:tcPr>
          <w:p>
            <w:pPr>
              <w:widowControl/>
              <w:spacing w:line="0" w:lineRule="atLeast"/>
              <w:jc w:val="lef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1.首次违法，出具保证书，变量系数可为0；2.扰乱旅游秩序较为严重，或者存在其它较重或严重情节的，经案审会审议，给予相应罚款处罚。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458" w:type="dxa"/>
            <w:gridSpan w:val="34"/>
            <w:shd w:val="clear" w:color="auto" w:fill="auto"/>
            <w:noWrap/>
            <w:vAlign w:val="center"/>
          </w:tcPr>
          <w:p>
            <w:pPr>
              <w:pStyle w:val="2"/>
              <w:rPr>
                <w:rFonts w:ascii="仿宋_GB2312" w:hAnsi="宋体" w:eastAsia="仿宋_GB2312" w:cs="宋体"/>
                <w:kern w:val="0"/>
                <w:szCs w:val="21"/>
              </w:rPr>
            </w:pPr>
            <w:bookmarkStart w:id="67" w:name="_Toc39911720"/>
            <w:r>
              <w:rPr>
                <w:rFonts w:hint="eastAsia"/>
              </w:rPr>
              <w:t>食品安全管理方面</w:t>
            </w:r>
            <w:r>
              <w:t>案由</w:t>
            </w:r>
            <w:r>
              <w:rPr>
                <w:rFonts w:hint="eastAsia"/>
              </w:rPr>
              <w:t>24</w:t>
            </w:r>
            <w:r>
              <w:t>项</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458" w:type="dxa"/>
            <w:gridSpan w:val="34"/>
            <w:shd w:val="clear" w:color="auto" w:fill="auto"/>
            <w:noWrap/>
            <w:vAlign w:val="center"/>
          </w:tcPr>
          <w:p>
            <w:pPr>
              <w:pStyle w:val="3"/>
              <w:rPr>
                <w:rFonts w:ascii="仿宋_GB2312" w:eastAsia="仿宋_GB2312"/>
                <w:szCs w:val="21"/>
              </w:rPr>
            </w:pPr>
            <w:bookmarkStart w:id="68" w:name="_Toc39911721"/>
            <w:r>
              <w:rPr>
                <w:rFonts w:hint="eastAsia"/>
              </w:rPr>
              <w:t>《北京市食品安全条例》案由1项</w:t>
            </w:r>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餐饮服务提供者未按照规定收集、处理餐厨垃圾</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违反条款：第三十一条第二款；处罚条款：第六十六条第二款，责令停业，并可处5000元以上5万元以下罚款。</w:t>
            </w:r>
          </w:p>
        </w:tc>
        <w:tc>
          <w:tcPr>
            <w:tcW w:w="961" w:type="dxa"/>
            <w:gridSpan w:val="4"/>
            <w:shd w:val="clear" w:color="auto" w:fill="auto"/>
            <w:noWrap/>
            <w:vAlign w:val="center"/>
          </w:tcPr>
          <w:p>
            <w:pPr>
              <w:rPr>
                <w:rFonts w:ascii="仿宋_GB2312" w:eastAsia="仿宋_GB2312"/>
              </w:rPr>
            </w:pPr>
            <w:r>
              <w:rPr>
                <w:rFonts w:hint="eastAsia" w:ascii="仿宋_GB2312" w:eastAsia="仿宋_GB2312"/>
              </w:rPr>
              <w:t>5000</w:t>
            </w:r>
          </w:p>
        </w:tc>
        <w:tc>
          <w:tcPr>
            <w:tcW w:w="720" w:type="dxa"/>
            <w:gridSpan w:val="2"/>
            <w:shd w:val="clear" w:color="auto" w:fill="auto"/>
            <w:noWrap/>
            <w:vAlign w:val="center"/>
          </w:tcPr>
          <w:p>
            <w:pPr>
              <w:rPr>
                <w:rFonts w:ascii="仿宋_GB2312" w:eastAsia="仿宋_GB2312"/>
              </w:rPr>
            </w:pPr>
            <w:r>
              <w:rPr>
                <w:rFonts w:hint="eastAsia" w:ascii="仿宋_GB2312" w:eastAsia="仿宋_GB2312"/>
              </w:rPr>
              <w:t>1</w:t>
            </w:r>
          </w:p>
        </w:tc>
        <w:tc>
          <w:tcPr>
            <w:tcW w:w="3600" w:type="dxa"/>
            <w:gridSpan w:val="7"/>
            <w:shd w:val="clear" w:color="auto" w:fill="auto"/>
            <w:vAlign w:val="center"/>
          </w:tcPr>
          <w:p>
            <w:pPr>
              <w:rPr>
                <w:rFonts w:ascii="仿宋_GB2312" w:eastAsia="仿宋_GB2312"/>
              </w:rPr>
            </w:pPr>
            <w:r>
              <w:rPr>
                <w:rFonts w:hint="eastAsia" w:ascii="仿宋_GB2312" w:eastAsia="仿宋_GB2312"/>
              </w:rPr>
              <w:t>1.未按要求收集、处理的垃圾总量较大、持续时间较长、对环境秩序造成较严重影响的，系数3-9；2. 餐饮服务单位知道或者应当知道无资质收运单位和个人收集餐厨垃圾用于生产“地沟油”而继续交运的，系数9。</w:t>
            </w:r>
          </w:p>
        </w:tc>
        <w:tc>
          <w:tcPr>
            <w:tcW w:w="1740" w:type="dxa"/>
            <w:gridSpan w:val="2"/>
            <w:shd w:val="clear" w:color="auto" w:fill="auto"/>
            <w:vAlign w:val="center"/>
          </w:tcPr>
          <w:p>
            <w:pPr>
              <w:rPr>
                <w:rFonts w:ascii="仿宋_GB2312" w:eastAsia="仿宋_GB2312"/>
              </w:rPr>
            </w:pPr>
            <w:r>
              <w:rPr>
                <w:rFonts w:hint="eastAsia" w:ascii="仿宋_GB2312" w:eastAsia="仿宋_GB2312"/>
              </w:rPr>
              <w:t>罚款数额＝5000×（1＋区域系数＋情节系数＋变量系数）</w:t>
            </w:r>
          </w:p>
        </w:tc>
        <w:tc>
          <w:tcPr>
            <w:tcW w:w="2415" w:type="dxa"/>
            <w:gridSpan w:val="7"/>
            <w:shd w:val="clear" w:color="auto" w:fill="auto"/>
            <w:noWrap/>
            <w:vAlign w:val="center"/>
          </w:tcPr>
          <w:p>
            <w:pPr>
              <w:rPr>
                <w:rFonts w:ascii="仿宋_GB2312" w:eastAsia="仿宋_GB2312"/>
              </w:rPr>
            </w:pPr>
            <w:r>
              <w:rPr>
                <w:rFonts w:hint="eastAsia" w:ascii="仿宋_GB2312" w:eastAsia="仿宋_GB2312"/>
              </w:rPr>
              <w:t>注意与《北京市生活垃圾管理条例》“餐饮服务单位未按规定收集、交运、处理餐厨垃圾”案由的区别适用。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458" w:type="dxa"/>
            <w:gridSpan w:val="34"/>
            <w:shd w:val="clear" w:color="auto" w:fill="auto"/>
            <w:noWrap/>
            <w:vAlign w:val="center"/>
          </w:tcPr>
          <w:p>
            <w:pPr>
              <w:widowControl/>
              <w:spacing w:line="0" w:lineRule="atLeast"/>
              <w:rPr>
                <w:rFonts w:ascii="仿宋_GB2312" w:hAnsi="宋体" w:eastAsia="仿宋_GB2312" w:cs="宋体"/>
                <w:kern w:val="0"/>
                <w:szCs w:val="21"/>
              </w:rPr>
            </w:pPr>
            <w:r>
              <w:rPr>
                <w:rFonts w:hint="eastAsia" w:ascii="宋体" w:hAnsi="宋体" w:cs="宋体"/>
                <w:b/>
                <w:bCs/>
                <w:kern w:val="0"/>
                <w:sz w:val="30"/>
                <w:szCs w:val="36"/>
              </w:rPr>
              <w:t>《北京市小规模食品生产经营管理规定》案由23项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食品摊贩以欺骗、贿赂等不正当手段取得备案</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违反条款：第二十三条；</w:t>
            </w:r>
          </w:p>
          <w:p>
            <w:pPr>
              <w:rPr>
                <w:rFonts w:ascii="仿宋_GB2312" w:eastAsia="仿宋_GB2312"/>
              </w:rPr>
            </w:pPr>
            <w:r>
              <w:rPr>
                <w:rFonts w:hint="eastAsia" w:ascii="仿宋_GB2312" w:eastAsia="仿宋_GB2312"/>
              </w:rPr>
              <w:t>处罚条款：第二十三条，对食品摊贩处2000元以上5000元以下罚款。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w:t>
            </w:r>
            <w:r>
              <w:rPr>
                <w:rFonts w:ascii="仿宋_GB2312" w:hAnsi="宋体" w:eastAsia="仿宋_GB2312" w:cs="宋体"/>
                <w:kern w:val="0"/>
                <w:szCs w:val="21"/>
              </w:rPr>
              <w:t>2</w:t>
            </w:r>
            <w:r>
              <w:rPr>
                <w:rFonts w:hint="eastAsia" w:ascii="仿宋_GB2312" w:hAnsi="宋体" w:eastAsia="仿宋_GB2312" w:cs="宋体"/>
                <w:kern w:val="0"/>
                <w:szCs w:val="21"/>
              </w:rPr>
              <w:t>000×（1＋情节系数）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食品摊贩超出备案载明的经营区域、经营时段从事食品生产经营活动</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违反条款：第八条第二款和《北京市市容环境卫生条例》第三十五条第一款；</w:t>
            </w:r>
          </w:p>
          <w:p>
            <w:pPr>
              <w:rPr>
                <w:rFonts w:ascii="仿宋_GB2312" w:eastAsia="仿宋_GB2312"/>
              </w:rPr>
            </w:pPr>
            <w:r>
              <w:rPr>
                <w:rFonts w:hint="eastAsia" w:ascii="仿宋_GB2312" w:eastAsia="仿宋_GB2312"/>
              </w:rPr>
              <w:t>处罚条款：第二十四条第三款和《北京市市容环境卫生条例》第三十五条第五款，责令改正，没收违法所得和非法财物，并可处500元以上5000元以下的罚款。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1.超出</w:t>
            </w:r>
            <w:r>
              <w:rPr>
                <w:rFonts w:ascii="仿宋_GB2312" w:hAnsi="宋体" w:eastAsia="仿宋_GB2312" w:cs="宋体"/>
                <w:kern w:val="0"/>
                <w:szCs w:val="21"/>
              </w:rPr>
              <w:t>备案载明的经营区域或经营时段的，系数</w:t>
            </w:r>
            <w:r>
              <w:rPr>
                <w:rFonts w:hint="eastAsia" w:ascii="仿宋_GB2312" w:hAnsi="宋体" w:eastAsia="仿宋_GB2312" w:cs="宋体"/>
                <w:kern w:val="0"/>
                <w:szCs w:val="21"/>
              </w:rPr>
              <w:t>为</w:t>
            </w:r>
            <w:r>
              <w:rPr>
                <w:rFonts w:ascii="仿宋_GB2312" w:hAnsi="宋体" w:eastAsia="仿宋_GB2312" w:cs="宋体"/>
                <w:kern w:val="0"/>
                <w:szCs w:val="21"/>
              </w:rPr>
              <w:t>1</w:t>
            </w:r>
            <w:r>
              <w:rPr>
                <w:rFonts w:hint="eastAsia" w:ascii="仿宋_GB2312" w:hAnsi="宋体" w:eastAsia="仿宋_GB2312" w:cs="宋体"/>
                <w:kern w:val="0"/>
                <w:szCs w:val="21"/>
              </w:rPr>
              <w:t>；2.同时</w:t>
            </w:r>
            <w:r>
              <w:rPr>
                <w:rFonts w:ascii="仿宋_GB2312" w:hAnsi="宋体" w:eastAsia="仿宋_GB2312" w:cs="宋体"/>
                <w:kern w:val="0"/>
                <w:szCs w:val="21"/>
              </w:rPr>
              <w:t>超出</w:t>
            </w:r>
            <w:r>
              <w:rPr>
                <w:rFonts w:hint="eastAsia" w:ascii="仿宋_GB2312" w:hAnsi="宋体" w:eastAsia="仿宋_GB2312" w:cs="宋体"/>
                <w:kern w:val="0"/>
                <w:szCs w:val="21"/>
              </w:rPr>
              <w:t>备</w:t>
            </w:r>
            <w:r>
              <w:rPr>
                <w:rFonts w:ascii="仿宋_GB2312" w:hAnsi="宋体" w:eastAsia="仿宋_GB2312" w:cs="宋体"/>
                <w:kern w:val="0"/>
                <w:szCs w:val="21"/>
              </w:rPr>
              <w:t>案载明的经营区域</w:t>
            </w:r>
            <w:r>
              <w:rPr>
                <w:rFonts w:hint="eastAsia" w:ascii="仿宋_GB2312" w:hAnsi="宋体" w:eastAsia="仿宋_GB2312" w:cs="宋体"/>
                <w:kern w:val="0"/>
                <w:szCs w:val="21"/>
              </w:rPr>
              <w:t>和</w:t>
            </w:r>
            <w:r>
              <w:rPr>
                <w:rFonts w:ascii="仿宋_GB2312" w:hAnsi="宋体" w:eastAsia="仿宋_GB2312" w:cs="宋体"/>
                <w:kern w:val="0"/>
                <w:szCs w:val="21"/>
              </w:rPr>
              <w:t>经营时段的</w:t>
            </w:r>
            <w:r>
              <w:rPr>
                <w:rFonts w:hint="eastAsia" w:ascii="仿宋_GB2312" w:hAnsi="宋体" w:eastAsia="仿宋_GB2312" w:cs="宋体"/>
                <w:kern w:val="0"/>
                <w:szCs w:val="21"/>
              </w:rPr>
              <w:t>，</w:t>
            </w:r>
            <w:r>
              <w:rPr>
                <w:rFonts w:ascii="仿宋_GB2312" w:hAnsi="宋体" w:eastAsia="仿宋_GB2312" w:cs="宋体"/>
                <w:kern w:val="0"/>
                <w:szCs w:val="21"/>
              </w:rPr>
              <w:t>系数为</w:t>
            </w:r>
            <w:r>
              <w:rPr>
                <w:rFonts w:hint="eastAsia" w:ascii="仿宋_GB2312" w:hAnsi="宋体" w:eastAsia="仿宋_GB2312" w:cs="宋体"/>
                <w:kern w:val="0"/>
                <w:szCs w:val="21"/>
              </w:rPr>
              <w:t>5。</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w:t>
            </w:r>
            <w:r>
              <w:rPr>
                <w:rFonts w:ascii="仿宋_GB2312" w:hAnsi="宋体" w:eastAsia="仿宋_GB2312" w:cs="宋体"/>
                <w:kern w:val="0"/>
                <w:szCs w:val="21"/>
              </w:rPr>
              <w:t>5</w:t>
            </w:r>
            <w:r>
              <w:rPr>
                <w:rFonts w:hint="eastAsia" w:ascii="仿宋_GB2312" w:hAnsi="宋体" w:eastAsia="仿宋_GB2312" w:cs="宋体"/>
                <w:kern w:val="0"/>
                <w:szCs w:val="21"/>
              </w:rPr>
              <w:t>00×（1＋情节系数+变量</w:t>
            </w:r>
            <w:r>
              <w:rPr>
                <w:rFonts w:ascii="仿宋_GB2312" w:hAnsi="宋体" w:eastAsia="仿宋_GB2312" w:cs="宋体"/>
                <w:kern w:val="0"/>
                <w:szCs w:val="21"/>
              </w:rPr>
              <w:t>系数</w:t>
            </w:r>
            <w:r>
              <w:rPr>
                <w:rFonts w:hint="eastAsia" w:ascii="仿宋_GB2312" w:hAnsi="宋体" w:eastAsia="仿宋_GB2312" w:cs="宋体"/>
                <w:kern w:val="0"/>
                <w:szCs w:val="21"/>
              </w:rPr>
              <w:t>）</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食品摊贩用非食品原料生产制作食品（在食品中添加食品添加剂以外的化学物质和其它可能危害人体健康的物质、用回收食品作为原料生产加工食品）</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违反条款：第十三条第一项；</w:t>
            </w:r>
          </w:p>
          <w:p>
            <w:pPr>
              <w:rPr>
                <w:rFonts w:ascii="仿宋_GB2312" w:eastAsia="仿宋_GB2312"/>
              </w:rPr>
            </w:pPr>
            <w:r>
              <w:rPr>
                <w:rFonts w:hint="eastAsia" w:ascii="仿宋_GB2312" w:eastAsia="仿宋_GB2312"/>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w:t>
            </w:r>
            <w:r>
              <w:rPr>
                <w:rFonts w:ascii="仿宋_GB2312" w:hAnsi="宋体" w:eastAsia="仿宋_GB2312" w:cs="宋体"/>
                <w:kern w:val="0"/>
                <w:szCs w:val="21"/>
              </w:rPr>
              <w:t>货值金额不足</w:t>
            </w:r>
            <w:r>
              <w:rPr>
                <w:rFonts w:hint="eastAsia" w:ascii="仿宋_GB2312" w:hAnsi="宋体" w:eastAsia="仿宋_GB2312" w:cs="宋体"/>
                <w:kern w:val="0"/>
                <w:szCs w:val="21"/>
              </w:rPr>
              <w:t>1万元</w:t>
            </w:r>
            <w:r>
              <w:rPr>
                <w:rFonts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w:t>
            </w:r>
            <w:r>
              <w:rPr>
                <w:rFonts w:ascii="仿宋_GB2312" w:hAnsi="宋体" w:eastAsia="仿宋_GB2312" w:cs="宋体"/>
                <w:kern w:val="0"/>
                <w:szCs w:val="21"/>
              </w:rPr>
              <w:t>00000</w:t>
            </w:r>
            <w:r>
              <w:rPr>
                <w:rFonts w:hint="eastAsia" w:ascii="仿宋_GB2312" w:hAnsi="宋体" w:eastAsia="仿宋_GB2312" w:cs="宋体"/>
                <w:kern w:val="0"/>
                <w:szCs w:val="21"/>
              </w:rPr>
              <w:t>+货值</w:t>
            </w:r>
            <w:r>
              <w:rPr>
                <w:rFonts w:ascii="仿宋_GB2312" w:hAnsi="宋体" w:eastAsia="仿宋_GB2312" w:cs="宋体"/>
                <w:kern w:val="0"/>
                <w:szCs w:val="21"/>
              </w:rPr>
              <w:t>金额</w:t>
            </w:r>
            <w:r>
              <w:rPr>
                <w:rFonts w:hint="eastAsia" w:ascii="仿宋_GB2312" w:hAnsi="宋体" w:eastAsia="仿宋_GB2312" w:cs="宋体"/>
                <w:kern w:val="0"/>
                <w:szCs w:val="21"/>
              </w:rPr>
              <w:t>*5</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货值</w:t>
            </w:r>
            <w:r>
              <w:rPr>
                <w:rFonts w:ascii="仿宋_GB2312" w:hAnsi="宋体" w:eastAsia="仿宋_GB2312" w:cs="宋体"/>
                <w:kern w:val="0"/>
                <w:szCs w:val="21"/>
              </w:rPr>
              <w:t>金额</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案件情况按照</w:t>
            </w:r>
            <w:r>
              <w:rPr>
                <w:rFonts w:hint="eastAsia" w:ascii="仿宋_GB2312" w:hAnsi="宋体" w:eastAsia="仿宋_GB2312" w:cs="宋体"/>
                <w:kern w:val="0"/>
                <w:szCs w:val="21"/>
              </w:rPr>
              <w:t>货值</w:t>
            </w:r>
            <w:r>
              <w:rPr>
                <w:rFonts w:ascii="仿宋_GB2312" w:hAnsi="宋体" w:eastAsia="仿宋_GB2312" w:cs="宋体"/>
                <w:kern w:val="0"/>
                <w:szCs w:val="21"/>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食品摊贩经营病死、毒死或者死因不明的禽、畜、兽、水产动物肉类或者生产经营其制品</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违反条款：第十三条第二项；</w:t>
            </w:r>
          </w:p>
          <w:p>
            <w:pPr>
              <w:rPr>
                <w:rFonts w:ascii="仿宋_GB2312" w:eastAsia="仿宋_GB2312"/>
              </w:rPr>
            </w:pPr>
            <w:r>
              <w:rPr>
                <w:rFonts w:hint="eastAsia" w:ascii="仿宋_GB2312" w:eastAsia="仿宋_GB2312"/>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w:t>
            </w:r>
            <w:r>
              <w:rPr>
                <w:rFonts w:ascii="仿宋_GB2312" w:hAnsi="宋体" w:eastAsia="仿宋_GB2312" w:cs="宋体"/>
                <w:kern w:val="0"/>
                <w:szCs w:val="21"/>
              </w:rPr>
              <w:t>货值金额不足</w:t>
            </w:r>
            <w:r>
              <w:rPr>
                <w:rFonts w:hint="eastAsia" w:ascii="仿宋_GB2312" w:hAnsi="宋体" w:eastAsia="仿宋_GB2312" w:cs="宋体"/>
                <w:kern w:val="0"/>
                <w:szCs w:val="21"/>
              </w:rPr>
              <w:t>1万元</w:t>
            </w:r>
            <w:r>
              <w:rPr>
                <w:rFonts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w:t>
            </w:r>
            <w:r>
              <w:rPr>
                <w:rFonts w:ascii="仿宋_GB2312" w:hAnsi="宋体" w:eastAsia="仿宋_GB2312" w:cs="宋体"/>
                <w:kern w:val="0"/>
                <w:szCs w:val="21"/>
              </w:rPr>
              <w:t>00000</w:t>
            </w:r>
            <w:r>
              <w:rPr>
                <w:rFonts w:hint="eastAsia" w:ascii="仿宋_GB2312" w:hAnsi="宋体" w:eastAsia="仿宋_GB2312" w:cs="宋体"/>
                <w:kern w:val="0"/>
                <w:szCs w:val="21"/>
              </w:rPr>
              <w:t>+货值</w:t>
            </w:r>
            <w:r>
              <w:rPr>
                <w:rFonts w:ascii="仿宋_GB2312" w:hAnsi="宋体" w:eastAsia="仿宋_GB2312" w:cs="宋体"/>
                <w:kern w:val="0"/>
                <w:szCs w:val="21"/>
              </w:rPr>
              <w:t>金额</w:t>
            </w:r>
            <w:r>
              <w:rPr>
                <w:rFonts w:hint="eastAsia" w:ascii="仿宋_GB2312" w:hAnsi="宋体" w:eastAsia="仿宋_GB2312" w:cs="宋体"/>
                <w:kern w:val="0"/>
                <w:szCs w:val="21"/>
              </w:rPr>
              <w:t>*5</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货值</w:t>
            </w:r>
            <w:r>
              <w:rPr>
                <w:rFonts w:ascii="仿宋_GB2312" w:hAnsi="宋体" w:eastAsia="仿宋_GB2312" w:cs="宋体"/>
                <w:kern w:val="0"/>
                <w:szCs w:val="21"/>
              </w:rPr>
              <w:t>金额</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案件情况按照</w:t>
            </w:r>
            <w:r>
              <w:rPr>
                <w:rFonts w:hint="eastAsia" w:ascii="仿宋_GB2312" w:hAnsi="宋体" w:eastAsia="仿宋_GB2312" w:cs="宋体"/>
                <w:kern w:val="0"/>
                <w:szCs w:val="21"/>
              </w:rPr>
              <w:t>货值</w:t>
            </w:r>
            <w:r>
              <w:rPr>
                <w:rFonts w:ascii="仿宋_GB2312" w:hAnsi="宋体" w:eastAsia="仿宋_GB2312" w:cs="宋体"/>
                <w:kern w:val="0"/>
                <w:szCs w:val="21"/>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食品摊贩经营未按规定进行检疫或者检疫不合格的肉类（未经检验或者检验不合格的肉类制品）</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违反条款：第十三条第三项；</w:t>
            </w:r>
          </w:p>
          <w:p>
            <w:pPr>
              <w:rPr>
                <w:rFonts w:ascii="仿宋_GB2312" w:eastAsia="仿宋_GB2312"/>
              </w:rPr>
            </w:pPr>
            <w:r>
              <w:rPr>
                <w:rFonts w:hint="eastAsia" w:ascii="仿宋_GB2312" w:eastAsia="仿宋_GB2312"/>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w:t>
            </w:r>
            <w:r>
              <w:rPr>
                <w:rFonts w:ascii="仿宋_GB2312" w:hAnsi="宋体" w:eastAsia="仿宋_GB2312" w:cs="宋体"/>
                <w:kern w:val="0"/>
                <w:szCs w:val="21"/>
              </w:rPr>
              <w:t>货值金额不足</w:t>
            </w:r>
            <w:r>
              <w:rPr>
                <w:rFonts w:hint="eastAsia" w:ascii="仿宋_GB2312" w:hAnsi="宋体" w:eastAsia="仿宋_GB2312" w:cs="宋体"/>
                <w:kern w:val="0"/>
                <w:szCs w:val="21"/>
              </w:rPr>
              <w:t>1万元</w:t>
            </w:r>
            <w:r>
              <w:rPr>
                <w:rFonts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w:t>
            </w:r>
            <w:r>
              <w:rPr>
                <w:rFonts w:ascii="仿宋_GB2312" w:hAnsi="宋体" w:eastAsia="仿宋_GB2312" w:cs="宋体"/>
                <w:kern w:val="0"/>
                <w:szCs w:val="21"/>
              </w:rPr>
              <w:t>00000</w:t>
            </w:r>
            <w:r>
              <w:rPr>
                <w:rFonts w:hint="eastAsia" w:ascii="仿宋_GB2312" w:hAnsi="宋体" w:eastAsia="仿宋_GB2312" w:cs="宋体"/>
                <w:kern w:val="0"/>
                <w:szCs w:val="21"/>
              </w:rPr>
              <w:t>+货值</w:t>
            </w:r>
            <w:r>
              <w:rPr>
                <w:rFonts w:ascii="仿宋_GB2312" w:hAnsi="宋体" w:eastAsia="仿宋_GB2312" w:cs="宋体"/>
                <w:kern w:val="0"/>
                <w:szCs w:val="21"/>
              </w:rPr>
              <w:t>金额</w:t>
            </w:r>
            <w:r>
              <w:rPr>
                <w:rFonts w:hint="eastAsia" w:ascii="仿宋_GB2312" w:hAnsi="宋体" w:eastAsia="仿宋_GB2312" w:cs="宋体"/>
                <w:kern w:val="0"/>
                <w:szCs w:val="21"/>
              </w:rPr>
              <w:t>*5</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货值</w:t>
            </w:r>
            <w:r>
              <w:rPr>
                <w:rFonts w:ascii="仿宋_GB2312" w:hAnsi="宋体" w:eastAsia="仿宋_GB2312" w:cs="宋体"/>
                <w:kern w:val="0"/>
                <w:szCs w:val="21"/>
              </w:rPr>
              <w:t>金额</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案件情况按照</w:t>
            </w:r>
            <w:r>
              <w:rPr>
                <w:rFonts w:hint="eastAsia" w:ascii="仿宋_GB2312" w:hAnsi="宋体" w:eastAsia="仿宋_GB2312" w:cs="宋体"/>
                <w:kern w:val="0"/>
                <w:szCs w:val="21"/>
              </w:rPr>
              <w:t>货值</w:t>
            </w:r>
            <w:r>
              <w:rPr>
                <w:rFonts w:ascii="仿宋_GB2312" w:hAnsi="宋体" w:eastAsia="仿宋_GB2312" w:cs="宋体"/>
                <w:kern w:val="0"/>
                <w:szCs w:val="21"/>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食品摊贩生产经营国家为防病等特殊需要明令禁止生产经营的食品；</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违反条款：第十三条第四项；</w:t>
            </w:r>
          </w:p>
          <w:p>
            <w:pPr>
              <w:rPr>
                <w:rFonts w:ascii="仿宋_GB2312" w:eastAsia="仿宋_GB2312"/>
              </w:rPr>
            </w:pPr>
            <w:r>
              <w:rPr>
                <w:rFonts w:hint="eastAsia" w:ascii="仿宋_GB2312" w:eastAsia="仿宋_GB2312"/>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w:t>
            </w:r>
            <w:r>
              <w:rPr>
                <w:rFonts w:ascii="仿宋_GB2312" w:hAnsi="宋体" w:eastAsia="仿宋_GB2312" w:cs="宋体"/>
                <w:kern w:val="0"/>
                <w:szCs w:val="21"/>
              </w:rPr>
              <w:t>货值金额不足</w:t>
            </w:r>
            <w:r>
              <w:rPr>
                <w:rFonts w:hint="eastAsia" w:ascii="仿宋_GB2312" w:hAnsi="宋体" w:eastAsia="仿宋_GB2312" w:cs="宋体"/>
                <w:kern w:val="0"/>
                <w:szCs w:val="21"/>
              </w:rPr>
              <w:t>1万元</w:t>
            </w:r>
            <w:r>
              <w:rPr>
                <w:rFonts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w:t>
            </w:r>
            <w:r>
              <w:rPr>
                <w:rFonts w:ascii="仿宋_GB2312" w:hAnsi="宋体" w:eastAsia="仿宋_GB2312" w:cs="宋体"/>
                <w:kern w:val="0"/>
                <w:szCs w:val="21"/>
              </w:rPr>
              <w:t>00000</w:t>
            </w:r>
            <w:r>
              <w:rPr>
                <w:rFonts w:hint="eastAsia" w:ascii="仿宋_GB2312" w:hAnsi="宋体" w:eastAsia="仿宋_GB2312" w:cs="宋体"/>
                <w:kern w:val="0"/>
                <w:szCs w:val="21"/>
              </w:rPr>
              <w:t>+货值</w:t>
            </w:r>
            <w:r>
              <w:rPr>
                <w:rFonts w:ascii="仿宋_GB2312" w:hAnsi="宋体" w:eastAsia="仿宋_GB2312" w:cs="宋体"/>
                <w:kern w:val="0"/>
                <w:szCs w:val="21"/>
              </w:rPr>
              <w:t>金额</w:t>
            </w:r>
            <w:r>
              <w:rPr>
                <w:rFonts w:hint="eastAsia" w:ascii="仿宋_GB2312" w:hAnsi="宋体" w:eastAsia="仿宋_GB2312" w:cs="宋体"/>
                <w:kern w:val="0"/>
                <w:szCs w:val="21"/>
              </w:rPr>
              <w:t>*5</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货值</w:t>
            </w:r>
            <w:r>
              <w:rPr>
                <w:rFonts w:ascii="仿宋_GB2312" w:hAnsi="宋体" w:eastAsia="仿宋_GB2312" w:cs="宋体"/>
                <w:kern w:val="0"/>
                <w:szCs w:val="21"/>
              </w:rPr>
              <w:t>金额</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案件情况按照</w:t>
            </w:r>
            <w:r>
              <w:rPr>
                <w:rFonts w:hint="eastAsia" w:ascii="仿宋_GB2312" w:hAnsi="宋体" w:eastAsia="仿宋_GB2312" w:cs="宋体"/>
                <w:kern w:val="0"/>
                <w:szCs w:val="21"/>
              </w:rPr>
              <w:t>货值</w:t>
            </w:r>
            <w:r>
              <w:rPr>
                <w:rFonts w:ascii="仿宋_GB2312" w:hAnsi="宋体" w:eastAsia="仿宋_GB2312" w:cs="宋体"/>
                <w:kern w:val="0"/>
                <w:szCs w:val="21"/>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restart"/>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vMerge w:val="restart"/>
            <w:shd w:val="clear" w:color="auto" w:fill="auto"/>
            <w:vAlign w:val="center"/>
          </w:tcPr>
          <w:p>
            <w:pPr>
              <w:rPr>
                <w:rFonts w:ascii="仿宋_GB2312" w:eastAsia="仿宋_GB2312"/>
              </w:rPr>
            </w:pPr>
            <w:r>
              <w:rPr>
                <w:rFonts w:hint="eastAsia" w:ascii="仿宋_GB2312" w:eastAsia="仿宋_GB2312"/>
              </w:rPr>
              <w:t>食品摊贩违反国家规定在食品中添加药品</w:t>
            </w:r>
          </w:p>
        </w:tc>
        <w:tc>
          <w:tcPr>
            <w:tcW w:w="4318" w:type="dxa"/>
            <w:gridSpan w:val="8"/>
            <w:vMerge w:val="restart"/>
            <w:shd w:val="clear" w:color="auto" w:fill="auto"/>
            <w:vAlign w:val="center"/>
          </w:tcPr>
          <w:p>
            <w:pPr>
              <w:rPr>
                <w:rFonts w:ascii="仿宋_GB2312" w:eastAsia="仿宋_GB2312"/>
              </w:rPr>
            </w:pPr>
            <w:r>
              <w:rPr>
                <w:rFonts w:hint="eastAsia" w:ascii="仿宋_GB2312" w:eastAsia="仿宋_GB2312"/>
              </w:rPr>
              <w:t>违反条款：第十三条第五项；</w:t>
            </w:r>
          </w:p>
          <w:p>
            <w:pPr>
              <w:rPr>
                <w:rFonts w:ascii="仿宋_GB2312" w:eastAsia="仿宋_GB2312"/>
              </w:rPr>
            </w:pPr>
            <w:r>
              <w:rPr>
                <w:rFonts w:hint="eastAsia" w:ascii="仿宋_GB2312" w:eastAsia="仿宋_GB2312"/>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100000（</w:t>
            </w:r>
            <w:r>
              <w:rPr>
                <w:rFonts w:ascii="仿宋_GB2312" w:hAnsi="宋体" w:eastAsia="仿宋_GB2312" w:cs="宋体"/>
                <w:kern w:val="0"/>
                <w:szCs w:val="21"/>
              </w:rPr>
              <w:t>货值金额不足</w:t>
            </w:r>
            <w:r>
              <w:rPr>
                <w:rFonts w:hint="eastAsia" w:ascii="仿宋_GB2312" w:hAnsi="宋体" w:eastAsia="仿宋_GB2312" w:cs="宋体"/>
                <w:kern w:val="0"/>
                <w:szCs w:val="21"/>
              </w:rPr>
              <w:t>1万元</w:t>
            </w:r>
            <w:r>
              <w:rPr>
                <w:rFonts w:ascii="仿宋_GB2312" w:hAnsi="宋体" w:eastAsia="仿宋_GB2312" w:cs="宋体"/>
                <w:kern w:val="0"/>
                <w:szCs w:val="21"/>
              </w:rPr>
              <w:t>）</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w:t>
            </w:r>
            <w:r>
              <w:rPr>
                <w:rFonts w:ascii="仿宋_GB2312" w:hAnsi="宋体" w:eastAsia="仿宋_GB2312" w:cs="宋体"/>
                <w:kern w:val="0"/>
                <w:szCs w:val="21"/>
              </w:rPr>
              <w:t>00000</w:t>
            </w:r>
            <w:r>
              <w:rPr>
                <w:rFonts w:hint="eastAsia" w:ascii="仿宋_GB2312" w:hAnsi="宋体" w:eastAsia="仿宋_GB2312" w:cs="宋体"/>
                <w:kern w:val="0"/>
                <w:szCs w:val="21"/>
              </w:rPr>
              <w:t>+货值</w:t>
            </w:r>
            <w:r>
              <w:rPr>
                <w:rFonts w:ascii="仿宋_GB2312" w:hAnsi="宋体" w:eastAsia="仿宋_GB2312" w:cs="宋体"/>
                <w:kern w:val="0"/>
                <w:szCs w:val="21"/>
              </w:rPr>
              <w:t>金额</w:t>
            </w:r>
            <w:r>
              <w:rPr>
                <w:rFonts w:hint="eastAsia" w:ascii="仿宋_GB2312" w:hAnsi="宋体" w:eastAsia="仿宋_GB2312" w:cs="宋体"/>
                <w:kern w:val="0"/>
                <w:szCs w:val="21"/>
              </w:rPr>
              <w:t>*5</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vMerge w:val="continue"/>
            <w:shd w:val="clear" w:color="auto" w:fill="auto"/>
            <w:noWrap/>
            <w:vAlign w:val="center"/>
          </w:tcPr>
          <w:p>
            <w:pPr>
              <w:widowControl/>
              <w:spacing w:line="0" w:lineRule="atLeast"/>
              <w:jc w:val="center"/>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eastAsia="仿宋_GB2312"/>
              </w:rPr>
            </w:pPr>
          </w:p>
        </w:tc>
        <w:tc>
          <w:tcPr>
            <w:tcW w:w="4318" w:type="dxa"/>
            <w:gridSpan w:val="8"/>
            <w:vMerge w:val="continue"/>
            <w:shd w:val="clear" w:color="auto" w:fill="auto"/>
            <w:vAlign w:val="center"/>
          </w:tcPr>
          <w:p>
            <w:pPr>
              <w:rPr>
                <w:rFonts w:ascii="仿宋_GB2312" w:eastAsia="仿宋_GB2312"/>
              </w:rPr>
            </w:pP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货值</w:t>
            </w:r>
            <w:r>
              <w:rPr>
                <w:rFonts w:ascii="仿宋_GB2312" w:hAnsi="宋体" w:eastAsia="仿宋_GB2312" w:cs="宋体"/>
                <w:kern w:val="0"/>
                <w:szCs w:val="21"/>
              </w:rPr>
              <w:t>金额</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案件情况按照</w:t>
            </w:r>
            <w:r>
              <w:rPr>
                <w:rFonts w:hint="eastAsia" w:ascii="仿宋_GB2312" w:hAnsi="宋体" w:eastAsia="仿宋_GB2312" w:cs="宋体"/>
                <w:kern w:val="0"/>
                <w:szCs w:val="21"/>
              </w:rPr>
              <w:t>货值</w:t>
            </w:r>
            <w:r>
              <w:rPr>
                <w:rFonts w:ascii="仿宋_GB2312" w:hAnsi="宋体" w:eastAsia="仿宋_GB2312" w:cs="宋体"/>
                <w:kern w:val="0"/>
                <w:szCs w:val="21"/>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食品摊贩生产制作致病性微生物，农药残留、兽药残留、生物毒素、重金属等污染物质以及其它危害人体健康的物质含量超过食品安全标准限量的食品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违反条款：第十三条第六项；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食品摊贩超范围、超限量使用食品添加剂生产制作食品（用超过保质期的食品原料、食品添加剂生产制作食品）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违反条款：第十三条第七项；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食品摊贩生产经营腐败变质、油脂酸败、霉变生虫、污秽不洁、混有异物、掺假掺杂或者感官性状异常的食品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违反条款：第十三条第八项；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食品摊贩标注虚假生产日期、保质期（销售超过保质期的食品）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违反条款：第十三条第九项；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食品摊贩生产制作其它不符合食品安全标准的食品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食品摊贩经营冷荤凉菜（生食水产品、裱花蛋糕、散装熟食、散装酒，保健食品、婴幼儿配方食品和特殊医学用途配方食品等特殊食品、区人民政府确定不得经营的类别）</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违反条款：第二十条第二项；</w:t>
            </w:r>
          </w:p>
          <w:p>
            <w:pPr>
              <w:rPr>
                <w:rFonts w:ascii="仿宋_GB2312" w:eastAsia="仿宋_GB2312"/>
              </w:rPr>
            </w:pPr>
            <w:r>
              <w:rPr>
                <w:rFonts w:hint="eastAsia" w:ascii="仿宋_GB2312" w:eastAsia="仿宋_GB2312"/>
              </w:rPr>
              <w:t>处罚条款：第二十六条，尚不构成犯罪的，没收违法所得和违法生产经营的食品，并可以没收用于违法生产经营的工具、设备、原料等物品；对食品摊贩并处5000元以上1万元以下罚款。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1.经营</w:t>
            </w:r>
            <w:r>
              <w:rPr>
                <w:rFonts w:ascii="仿宋_GB2312" w:hAnsi="宋体" w:eastAsia="仿宋_GB2312" w:cs="宋体"/>
                <w:kern w:val="0"/>
                <w:szCs w:val="21"/>
              </w:rPr>
              <w:t>冷荤</w:t>
            </w:r>
            <w:r>
              <w:rPr>
                <w:rFonts w:hint="eastAsia" w:ascii="仿宋_GB2312" w:hAnsi="宋体" w:eastAsia="仿宋_GB2312" w:cs="宋体"/>
                <w:kern w:val="0"/>
                <w:szCs w:val="21"/>
              </w:rPr>
              <w:t>凉菜</w:t>
            </w:r>
            <w:r>
              <w:rPr>
                <w:rFonts w:ascii="仿宋_GB2312" w:hAnsi="宋体" w:eastAsia="仿宋_GB2312" w:cs="宋体"/>
                <w:kern w:val="0"/>
                <w:szCs w:val="21"/>
              </w:rPr>
              <w:t>、</w:t>
            </w:r>
            <w:r>
              <w:rPr>
                <w:rFonts w:hint="eastAsia" w:ascii="仿宋_GB2312" w:eastAsia="仿宋_GB2312"/>
              </w:rPr>
              <w:t>生食水产品、裱花蛋糕、散装熟食、散装酒的</w:t>
            </w:r>
            <w:r>
              <w:rPr>
                <w:rFonts w:ascii="仿宋_GB2312" w:eastAsia="仿宋_GB2312"/>
              </w:rPr>
              <w:t>，系数</w:t>
            </w:r>
            <w:r>
              <w:rPr>
                <w:rFonts w:hint="eastAsia" w:ascii="仿宋_GB2312" w:eastAsia="仿宋_GB2312"/>
              </w:rPr>
              <w:t>为0.5；</w:t>
            </w:r>
            <w:r>
              <w:rPr>
                <w:rFonts w:ascii="仿宋_GB2312" w:eastAsia="仿宋_GB2312"/>
              </w:rPr>
              <w:t>2.</w:t>
            </w:r>
            <w:r>
              <w:rPr>
                <w:rFonts w:hint="eastAsia" w:ascii="仿宋_GB2312" w:eastAsia="仿宋_GB2312"/>
              </w:rPr>
              <w:t>经营保健食品、婴幼儿配方食品和特殊医学用途配方食品等特殊食品的</w:t>
            </w:r>
            <w:r>
              <w:rPr>
                <w:rFonts w:ascii="仿宋_GB2312" w:eastAsia="仿宋_GB2312"/>
              </w:rPr>
              <w:t>，系数为</w:t>
            </w:r>
            <w:r>
              <w:rPr>
                <w:rFonts w:hint="eastAsia" w:ascii="仿宋_GB2312" w:eastAsia="仿宋_GB2312"/>
              </w:rPr>
              <w:t>1；3.经营</w:t>
            </w:r>
            <w:r>
              <w:rPr>
                <w:rFonts w:ascii="仿宋_GB2312" w:eastAsia="仿宋_GB2312"/>
              </w:rPr>
              <w:t>区人民政府确定的不得经营的类别的，系数为</w:t>
            </w:r>
            <w:r>
              <w:rPr>
                <w:rFonts w:hint="eastAsia" w:ascii="仿宋_GB2312" w:eastAsia="仿宋_GB2312"/>
              </w:rPr>
              <w:t>0。</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＝5000×（1+变量</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根据</w:t>
            </w:r>
            <w:r>
              <w:rPr>
                <w:rFonts w:ascii="仿宋_GB2312" w:hAnsi="宋体" w:eastAsia="仿宋_GB2312" w:cs="宋体"/>
                <w:kern w:val="0"/>
                <w:szCs w:val="21"/>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食品摊贩生产经营被包装材料、容器、运输工具等污染的食品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违反条款：第十三条第十二项；</w:t>
            </w:r>
          </w:p>
          <w:p>
            <w:pPr>
              <w:rPr>
                <w:rFonts w:ascii="仿宋_GB2312" w:eastAsia="仿宋_GB2312"/>
              </w:rPr>
            </w:pPr>
            <w:r>
              <w:rPr>
                <w:rFonts w:hint="eastAsia" w:ascii="仿宋_GB2312" w:eastAsia="仿宋_GB2312"/>
              </w:rPr>
              <w:t>处罚条款：第二十七条，没收违法所得和违法生产经营的食品，并可以没收违法生产经营的工具、设备、原料等物品；对食品摊贩并处1000元以上5000元以下罚款；情节严重的，责令停产停业。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＝1000×（1+情节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食品摊贩采购、销售第十三条第一项、第五项至第七项、第十项规定情形的食品（使用第十三条第一项、第五项至第七项、第十项食品作为食品原料；）</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违反条款：第十三条第十三项；</w:t>
            </w:r>
          </w:p>
          <w:p>
            <w:pPr>
              <w:rPr>
                <w:rFonts w:ascii="仿宋_GB2312" w:eastAsia="仿宋_GB2312"/>
              </w:rPr>
            </w:pPr>
            <w:r>
              <w:rPr>
                <w:rFonts w:hint="eastAsia" w:ascii="仿宋_GB2312" w:eastAsia="仿宋_GB2312"/>
              </w:rPr>
              <w:t>处罚条款：第二十七条，没收违法所得和违法生产经营的食品，并可以没收违法生产经营的工具、设备、原料等物品；对食品摊贩并处1000元以上5000元以下罚款；情节严重的，责令停产停业。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＝1000×（1+情节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食品摊贩购进、存放、使用亚硝酸盐等易滥用的食品添加剂</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违反条款：第十六条第二款；</w:t>
            </w:r>
          </w:p>
          <w:p>
            <w:pPr>
              <w:rPr>
                <w:rFonts w:ascii="仿宋_GB2312" w:eastAsia="仿宋_GB2312"/>
              </w:rPr>
            </w:pPr>
            <w:r>
              <w:rPr>
                <w:rFonts w:hint="eastAsia" w:ascii="仿宋_GB2312" w:eastAsia="仿宋_GB2312"/>
              </w:rPr>
              <w:t>处罚条款：第二十七条，没收违法所得和违法生产经营的食品，并可以没收违法生产经营的工具、设备、原料等物品；对食品摊贩并处1000元以上5000元以下罚款；情节严重的，责令停产停业。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＝1000×（1+情节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食品摊贩生产经营无标签的预包装食品（标签不符合法律、法规规定的食品）</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违反条款：第十三条第十四项；</w:t>
            </w:r>
          </w:p>
          <w:p>
            <w:pPr>
              <w:rPr>
                <w:rFonts w:ascii="仿宋_GB2312" w:eastAsia="仿宋_GB2312"/>
              </w:rPr>
            </w:pPr>
            <w:r>
              <w:rPr>
                <w:rFonts w:hint="eastAsia" w:ascii="仿宋_GB2312" w:eastAsia="仿宋_GB2312"/>
              </w:rPr>
              <w:t>处罚条款：第二十八条，责令限期改正；逾期拒不改正的，对食品摊贩处500元以上2000元以下罚款；情节严重的，责令停产停业。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1.无</w:t>
            </w:r>
            <w:r>
              <w:rPr>
                <w:rFonts w:ascii="仿宋_GB2312" w:hAnsi="宋体" w:eastAsia="仿宋_GB2312" w:cs="宋体"/>
                <w:kern w:val="0"/>
                <w:szCs w:val="21"/>
              </w:rPr>
              <w:t>标签的预包装食品，系数为2</w:t>
            </w:r>
            <w:r>
              <w:rPr>
                <w:rFonts w:hint="eastAsia" w:ascii="仿宋_GB2312" w:hAnsi="宋体" w:eastAsia="仿宋_GB2312" w:cs="宋体"/>
                <w:kern w:val="0"/>
                <w:szCs w:val="21"/>
              </w:rPr>
              <w:t>；2.标签</w:t>
            </w:r>
            <w:r>
              <w:rPr>
                <w:rFonts w:ascii="仿宋_GB2312" w:hAnsi="宋体" w:eastAsia="仿宋_GB2312" w:cs="宋体"/>
                <w:kern w:val="0"/>
                <w:szCs w:val="21"/>
              </w:rPr>
              <w:t>不符合法律、法规规定的食品，系数为</w:t>
            </w:r>
            <w:r>
              <w:rPr>
                <w:rFonts w:hint="eastAsia" w:ascii="仿宋_GB2312" w:hAnsi="宋体" w:eastAsia="仿宋_GB2312" w:cs="宋体"/>
                <w:kern w:val="0"/>
                <w:szCs w:val="21"/>
              </w:rPr>
              <w:t>1。</w:t>
            </w: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＝500×（1+情节</w:t>
            </w:r>
            <w:r>
              <w:rPr>
                <w:rFonts w:ascii="仿宋_GB2312" w:hAnsi="宋体" w:eastAsia="仿宋_GB2312" w:cs="宋体"/>
                <w:kern w:val="0"/>
                <w:szCs w:val="21"/>
              </w:rPr>
              <w:t>系数</w:t>
            </w:r>
            <w:r>
              <w:rPr>
                <w:rFonts w:hint="eastAsia" w:ascii="仿宋_GB2312" w:hAnsi="宋体" w:eastAsia="仿宋_GB2312" w:cs="宋体"/>
                <w:kern w:val="0"/>
                <w:szCs w:val="21"/>
              </w:rPr>
              <w:t>+变量</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食品摊贩在生产经营条件发生变化，不再符合法律、法规规定要求的情况下继续生产经营</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违反条款：第十三条第十五项；</w:t>
            </w:r>
          </w:p>
          <w:p>
            <w:pPr>
              <w:rPr>
                <w:rFonts w:ascii="仿宋_GB2312" w:eastAsia="仿宋_GB2312"/>
              </w:rPr>
            </w:pPr>
            <w:r>
              <w:rPr>
                <w:rFonts w:hint="eastAsia" w:ascii="仿宋_GB2312" w:eastAsia="仿宋_GB2312"/>
              </w:rPr>
              <w:t>处罚条款：第二十八条，责令限期改正；逾期拒不改正的，对食品摊贩处500元以上2000元以下罚款；情节严重的，责令停产停业。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食品摊贩安排未取得健康证明或者患有国务院卫生健康行政部门规定的有碍食品安全疾病的人员从事接触直接入口食品的工作</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违反条款：第十三条第十六项；</w:t>
            </w:r>
          </w:p>
          <w:p>
            <w:pPr>
              <w:rPr>
                <w:rFonts w:ascii="仿宋_GB2312" w:eastAsia="仿宋_GB2312"/>
              </w:rPr>
            </w:pPr>
            <w:r>
              <w:rPr>
                <w:rFonts w:hint="eastAsia" w:ascii="仿宋_GB2312" w:eastAsia="仿宋_GB2312"/>
              </w:rPr>
              <w:t>处罚条款：第二十八条，责令限期改正；逾期拒不改正的，对食品摊贩处500元以上2000元以下罚款；情节严重的，责令停产停业。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食品摊贩采购食品、食品原料、食品添加剂、食品相关产品时查验、记录不规范</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违反条款：第十五条；</w:t>
            </w:r>
          </w:p>
          <w:p>
            <w:pPr>
              <w:rPr>
                <w:rFonts w:ascii="仿宋_GB2312" w:eastAsia="仿宋_GB2312"/>
              </w:rPr>
            </w:pPr>
            <w:r>
              <w:rPr>
                <w:rFonts w:hint="eastAsia" w:ascii="仿宋_GB2312" w:eastAsia="仿宋_GB2312"/>
              </w:rPr>
              <w:t>处罚条款：第二十八条，责令限期改正；逾期拒不改正的，对食品摊贩处500元以上2000元以下罚款；情节严重的，责令停产停业。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食品摊贩未对食品添加剂实行专区(柜)存放或没有专用的称量器具</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违反条款：第十六条第一款；</w:t>
            </w:r>
          </w:p>
          <w:p>
            <w:pPr>
              <w:rPr>
                <w:rFonts w:ascii="仿宋_GB2312" w:eastAsia="仿宋_GB2312"/>
              </w:rPr>
            </w:pPr>
            <w:r>
              <w:rPr>
                <w:rFonts w:hint="eastAsia" w:ascii="仿宋_GB2312" w:eastAsia="仿宋_GB2312"/>
              </w:rPr>
              <w:t>处罚条款：第二十八条，责令限期改正；逾期拒不改正的，对食品摊贩处500元以上2000元以下罚款；情节严重的，责令停产停业。</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＝500×（1+情节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情节严重</w:t>
            </w:r>
            <w:r>
              <w:rPr>
                <w:rFonts w:ascii="仿宋_GB2312" w:hAnsi="宋体" w:eastAsia="仿宋_GB2312" w:cs="宋体"/>
                <w:kern w:val="0"/>
                <w:szCs w:val="21"/>
              </w:rPr>
              <w:t>的情形：</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一年内因同类违法行为，受到城管执法机关2次罚款处罚后又发生同类违法行为的；</w:t>
            </w:r>
          </w:p>
          <w:p>
            <w:pPr>
              <w:widowControl/>
              <w:spacing w:line="0" w:lineRule="atLeast"/>
              <w:rPr>
                <w:rFonts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因违法行为导致严重后果或造成重大社会影响的；</w:t>
            </w:r>
          </w:p>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503"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食品摊贩未在生产经营场所显著位置公示备案证明、从业人员健康证明</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违反条款：第十四条；</w:t>
            </w:r>
          </w:p>
          <w:p>
            <w:pPr>
              <w:rPr>
                <w:rFonts w:ascii="仿宋_GB2312" w:eastAsia="仿宋_GB2312"/>
              </w:rPr>
            </w:pPr>
            <w:r>
              <w:rPr>
                <w:rFonts w:hint="eastAsia" w:ascii="仿宋_GB2312" w:eastAsia="仿宋_GB2312"/>
              </w:rPr>
              <w:t>处罚条款：第二十九条，责令限期改正；逾期拒不改正的，对食品摊贩处200元以上500元以下罚款。</w:t>
            </w:r>
          </w:p>
        </w:tc>
        <w:tc>
          <w:tcPr>
            <w:tcW w:w="961" w:type="dxa"/>
            <w:gridSpan w:val="4"/>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0" w:lineRule="atLeast"/>
              <w:rPr>
                <w:rFonts w:ascii="仿宋_GB2312" w:hAnsi="宋体" w:eastAsia="仿宋_GB2312" w:cs="宋体"/>
                <w:kern w:val="0"/>
                <w:szCs w:val="21"/>
              </w:rPr>
            </w:pPr>
          </w:p>
        </w:tc>
        <w:tc>
          <w:tcPr>
            <w:tcW w:w="1740" w:type="dxa"/>
            <w:gridSpan w:val="2"/>
            <w:shd w:val="clear" w:color="auto" w:fill="auto"/>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w:t>
            </w:r>
            <w:r>
              <w:rPr>
                <w:rFonts w:ascii="仿宋_GB2312" w:hAnsi="宋体" w:eastAsia="仿宋_GB2312" w:cs="宋体"/>
                <w:kern w:val="0"/>
                <w:szCs w:val="21"/>
              </w:rPr>
              <w:t>2</w:t>
            </w:r>
            <w:r>
              <w:rPr>
                <w:rFonts w:hint="eastAsia" w:ascii="仿宋_GB2312" w:hAnsi="宋体" w:eastAsia="仿宋_GB2312" w:cs="宋体"/>
                <w:kern w:val="0"/>
                <w:szCs w:val="21"/>
              </w:rPr>
              <w:t>00×（1+情节</w:t>
            </w:r>
            <w:r>
              <w:rPr>
                <w:rFonts w:ascii="仿宋_GB2312" w:hAnsi="宋体" w:eastAsia="仿宋_GB2312" w:cs="宋体"/>
                <w:kern w:val="0"/>
                <w:szCs w:val="21"/>
              </w:rPr>
              <w:t>系数）</w:t>
            </w:r>
          </w:p>
        </w:tc>
        <w:tc>
          <w:tcPr>
            <w:tcW w:w="2415" w:type="dxa"/>
            <w:gridSpan w:val="7"/>
            <w:shd w:val="clear" w:color="auto" w:fill="auto"/>
            <w:noWrap/>
            <w:vAlign w:val="center"/>
          </w:tcPr>
          <w:p>
            <w:pPr>
              <w:widowControl/>
              <w:spacing w:line="0" w:lineRule="atLeas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503"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23</w:t>
            </w:r>
          </w:p>
        </w:tc>
        <w:tc>
          <w:tcPr>
            <w:tcW w:w="1201" w:type="dxa"/>
            <w:gridSpan w:val="2"/>
            <w:shd w:val="clear" w:color="auto" w:fill="auto"/>
            <w:vAlign w:val="center"/>
          </w:tcPr>
          <w:p>
            <w:pPr>
              <w:rPr>
                <w:rFonts w:ascii="仿宋_GB2312" w:eastAsia="仿宋_GB2312"/>
              </w:rPr>
            </w:pPr>
            <w:r>
              <w:rPr>
                <w:rFonts w:hint="eastAsia" w:ascii="仿宋_GB2312" w:eastAsia="仿宋_GB2312"/>
              </w:rPr>
              <w:t>食品摊贩使用食品添加剂的记录、公示不规范</w:t>
            </w:r>
          </w:p>
        </w:tc>
        <w:tc>
          <w:tcPr>
            <w:tcW w:w="4318" w:type="dxa"/>
            <w:gridSpan w:val="8"/>
            <w:shd w:val="clear" w:color="auto" w:fill="auto"/>
            <w:vAlign w:val="center"/>
          </w:tcPr>
          <w:p>
            <w:pPr>
              <w:rPr>
                <w:rFonts w:ascii="仿宋_GB2312" w:eastAsia="仿宋_GB2312"/>
              </w:rPr>
            </w:pPr>
            <w:r>
              <w:rPr>
                <w:rFonts w:hint="eastAsia" w:ascii="仿宋_GB2312" w:eastAsia="仿宋_GB2312"/>
              </w:rPr>
              <w:t>违反条款：第二十条第一项；</w:t>
            </w:r>
          </w:p>
          <w:p>
            <w:pPr>
              <w:rPr>
                <w:rFonts w:ascii="仿宋_GB2312" w:eastAsia="仿宋_GB2312"/>
              </w:rPr>
            </w:pPr>
            <w:r>
              <w:rPr>
                <w:rFonts w:hint="eastAsia" w:ascii="仿宋_GB2312" w:eastAsia="仿宋_GB2312"/>
              </w:rPr>
              <w:t>处罚条款：处罚条款：第二十九条，责令限期改正；逾期拒不改正的，对食品摊贩处200元以上500元以下罚款。</w:t>
            </w:r>
          </w:p>
        </w:tc>
        <w:tc>
          <w:tcPr>
            <w:tcW w:w="961" w:type="dxa"/>
            <w:gridSpan w:val="4"/>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200</w:t>
            </w:r>
          </w:p>
        </w:tc>
        <w:tc>
          <w:tcPr>
            <w:tcW w:w="720" w:type="dxa"/>
            <w:gridSpan w:val="2"/>
            <w:shd w:val="clear" w:color="auto" w:fill="auto"/>
            <w:noWrap/>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w:t>
            </w:r>
            <w:r>
              <w:rPr>
                <w:rFonts w:ascii="仿宋_GB2312" w:hAnsi="宋体" w:eastAsia="仿宋_GB2312" w:cs="宋体"/>
                <w:kern w:val="0"/>
                <w:szCs w:val="21"/>
              </w:rPr>
              <w:t>数额</w:t>
            </w:r>
            <w:r>
              <w:rPr>
                <w:rFonts w:hint="eastAsia" w:ascii="仿宋_GB2312" w:hAnsi="宋体" w:eastAsia="仿宋_GB2312" w:cs="宋体"/>
                <w:kern w:val="0"/>
                <w:szCs w:val="21"/>
              </w:rPr>
              <w:t>＝</w:t>
            </w:r>
            <w:r>
              <w:rPr>
                <w:rFonts w:ascii="仿宋_GB2312" w:hAnsi="宋体" w:eastAsia="仿宋_GB2312" w:cs="宋体"/>
                <w:kern w:val="0"/>
                <w:szCs w:val="21"/>
              </w:rPr>
              <w:t>2</w:t>
            </w:r>
            <w:r>
              <w:rPr>
                <w:rFonts w:hint="eastAsia" w:ascii="仿宋_GB2312" w:hAnsi="宋体" w:eastAsia="仿宋_GB2312" w:cs="宋体"/>
                <w:kern w:val="0"/>
                <w:szCs w:val="21"/>
              </w:rPr>
              <w:t>00×（1+情节</w:t>
            </w:r>
            <w:r>
              <w:rPr>
                <w:rFonts w:ascii="仿宋_GB2312" w:hAnsi="宋体" w:eastAsia="仿宋_GB2312" w:cs="宋体"/>
                <w:kern w:val="0"/>
                <w:szCs w:val="21"/>
              </w:rPr>
              <w:t>系数）</w:t>
            </w:r>
          </w:p>
        </w:tc>
        <w:tc>
          <w:tcPr>
            <w:tcW w:w="2415" w:type="dxa"/>
            <w:gridSpan w:val="7"/>
            <w:shd w:val="clear" w:color="auto" w:fill="auto"/>
            <w:noWrap/>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7" w:hRule="atLeast"/>
          <w:jc w:val="center"/>
        </w:trPr>
        <w:tc>
          <w:tcPr>
            <w:tcW w:w="15458" w:type="dxa"/>
            <w:gridSpan w:val="34"/>
            <w:shd w:val="clear" w:color="auto" w:fill="auto"/>
            <w:vAlign w:val="center"/>
          </w:tcPr>
          <w:p>
            <w:pPr>
              <w:pStyle w:val="2"/>
              <w:rPr>
                <w:rFonts w:ascii="方正小标宋简体"/>
              </w:rPr>
            </w:pPr>
            <w:bookmarkStart w:id="69" w:name="_Toc39911722"/>
            <w:r>
              <w:rPr>
                <w:rFonts w:hint="eastAsia"/>
              </w:rPr>
              <w:t>能源运行管理方面</w:t>
            </w:r>
            <w:r>
              <w:t>39</w:t>
            </w:r>
            <w:r>
              <w:rPr>
                <w:rFonts w:hint="eastAsia"/>
              </w:rPr>
              <w:t>项</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9" w:hRule="atLeast"/>
          <w:jc w:val="center"/>
        </w:trPr>
        <w:tc>
          <w:tcPr>
            <w:tcW w:w="15458" w:type="dxa"/>
            <w:gridSpan w:val="34"/>
            <w:shd w:val="clear" w:color="auto" w:fill="auto"/>
            <w:vAlign w:val="center"/>
          </w:tcPr>
          <w:p>
            <w:pPr>
              <w:jc w:val="left"/>
              <w:rPr>
                <w:rFonts w:ascii="宋体" w:hAnsi="宋体"/>
                <w:b/>
                <w:kern w:val="0"/>
                <w:sz w:val="32"/>
                <w:szCs w:val="32"/>
              </w:rPr>
            </w:pPr>
            <w:r>
              <w:rPr>
                <w:rFonts w:hint="eastAsia" w:ascii="楷体_GB2312" w:eastAsia="楷体_GB2312"/>
                <w:b/>
                <w:kern w:val="0"/>
                <w:sz w:val="32"/>
                <w:szCs w:val="32"/>
              </w:rPr>
              <w:t>煤炭经营管理类案由3</w:t>
            </w:r>
            <w:r>
              <w:rPr>
                <w:rFonts w:ascii="楷体_GB2312" w:eastAsia="楷体_GB2312"/>
                <w:b/>
                <w:kern w:val="0"/>
                <w:sz w:val="32"/>
                <w:szCs w:val="3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1" w:hRule="atLeast"/>
          <w:jc w:val="center"/>
        </w:trPr>
        <w:tc>
          <w:tcPr>
            <w:tcW w:w="15458" w:type="dxa"/>
            <w:gridSpan w:val="34"/>
            <w:shd w:val="clear" w:color="auto" w:fill="FFFFFF"/>
            <w:vAlign w:val="center"/>
          </w:tcPr>
          <w:p>
            <w:pPr>
              <w:pStyle w:val="3"/>
            </w:pPr>
            <w:bookmarkStart w:id="70" w:name="_Toc39911723"/>
            <w:r>
              <w:rPr>
                <w:rFonts w:hint="eastAsia"/>
              </w:rPr>
              <w:t>《中华人民共和国煤炭法》案由</w:t>
            </w:r>
            <w:r>
              <w:t>3</w:t>
            </w:r>
            <w:r>
              <w:rPr>
                <w:rFonts w:hint="eastAsia"/>
              </w:rPr>
              <w:t>项</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31" w:hRule="atLeast"/>
          <w:jc w:val="center"/>
        </w:trPr>
        <w:tc>
          <w:tcPr>
            <w:tcW w:w="503" w:type="dxa"/>
            <w:gridSpan w:val="2"/>
            <w:tcBorders>
              <w:bottom w:val="single" w:color="auto" w:sz="4" w:space="0"/>
            </w:tcBorders>
            <w:shd w:val="clear" w:color="auto" w:fill="FFFFFF"/>
            <w:vAlign w:val="center"/>
          </w:tcPr>
          <w:p>
            <w:pPr>
              <w:rPr>
                <w:rFonts w:ascii="仿宋_GB2312" w:eastAsia="仿宋_GB2312"/>
                <w:szCs w:val="21"/>
              </w:rPr>
            </w:pPr>
            <w:r>
              <w:rPr>
                <w:rFonts w:hint="eastAsia" w:ascii="仿宋_GB2312" w:eastAsia="仿宋_GB2312"/>
                <w:szCs w:val="21"/>
              </w:rPr>
              <w:t>1</w:t>
            </w:r>
          </w:p>
        </w:tc>
        <w:tc>
          <w:tcPr>
            <w:tcW w:w="1201" w:type="dxa"/>
            <w:gridSpan w:val="2"/>
            <w:shd w:val="clear" w:color="auto" w:fill="FFFFFF"/>
            <w:vAlign w:val="center"/>
          </w:tcPr>
          <w:p>
            <w:pPr>
              <w:spacing w:line="360" w:lineRule="exact"/>
              <w:rPr>
                <w:rFonts w:ascii="仿宋_GB2312" w:eastAsia="仿宋_GB2312"/>
                <w:szCs w:val="21"/>
              </w:rPr>
            </w:pPr>
            <w:r>
              <w:rPr>
                <w:rFonts w:hint="eastAsia" w:ascii="仿宋_GB2312" w:eastAsia="仿宋_GB2312"/>
                <w:szCs w:val="21"/>
              </w:rPr>
              <w:t>擅自开采保安煤柱或者采用危及相邻煤矿生产安全的危险方法采矿作业</w:t>
            </w:r>
          </w:p>
        </w:tc>
        <w:tc>
          <w:tcPr>
            <w:tcW w:w="4325" w:type="dxa"/>
            <w:gridSpan w:val="9"/>
            <w:shd w:val="clear" w:color="auto" w:fill="FFFFFF"/>
            <w:vAlign w:val="center"/>
          </w:tcPr>
          <w:p>
            <w:pPr>
              <w:widowControl/>
              <w:spacing w:line="360" w:lineRule="exact"/>
              <w:rPr>
                <w:rFonts w:ascii="仿宋_GB2312" w:eastAsia="仿宋_GB2312"/>
                <w:szCs w:val="21"/>
              </w:rPr>
            </w:pPr>
            <w:r>
              <w:rPr>
                <w:rFonts w:hint="eastAsia" w:ascii="仿宋_GB2312" w:eastAsia="仿宋_GB2312"/>
                <w:szCs w:val="21"/>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918" w:type="dxa"/>
            <w:gridSpan w:val="2"/>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违法所得</w:t>
            </w:r>
          </w:p>
        </w:tc>
        <w:tc>
          <w:tcPr>
            <w:tcW w:w="756" w:type="dxa"/>
            <w:gridSpan w:val="3"/>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1.存在较大安全隐患的，系数2</w:t>
            </w:r>
            <w:r>
              <w:rPr>
                <w:rFonts w:ascii="仿宋_GB2312" w:hAnsi="宋体" w:eastAsia="仿宋_GB2312" w:cs="宋体"/>
                <w:kern w:val="0"/>
                <w:szCs w:val="21"/>
              </w:rPr>
              <w:t>-3</w:t>
            </w:r>
            <w:r>
              <w:rPr>
                <w:rFonts w:hint="eastAsia" w:ascii="仿宋_GB2312" w:hAnsi="宋体" w:eastAsia="仿宋_GB2312" w:cs="宋体"/>
                <w:kern w:val="0"/>
                <w:szCs w:val="21"/>
              </w:rPr>
              <w:t>；2.发生安全事故的，系数4。</w:t>
            </w:r>
          </w:p>
        </w:tc>
        <w:tc>
          <w:tcPr>
            <w:tcW w:w="1740" w:type="dxa"/>
            <w:gridSpan w:val="2"/>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罚款数额＝违法所得×（1＋情节系数＋变量系数）</w:t>
            </w:r>
          </w:p>
        </w:tc>
        <w:tc>
          <w:tcPr>
            <w:tcW w:w="2415" w:type="dxa"/>
            <w:gridSpan w:val="7"/>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罚款数额不超过违法所得五倍。</w:t>
            </w:r>
          </w:p>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3" w:hRule="atLeast"/>
          <w:jc w:val="center"/>
        </w:trPr>
        <w:tc>
          <w:tcPr>
            <w:tcW w:w="503" w:type="dxa"/>
            <w:gridSpan w:val="2"/>
            <w:shd w:val="clear" w:color="auto" w:fill="FFFFFF"/>
            <w:vAlign w:val="center"/>
          </w:tcPr>
          <w:p>
            <w:pPr>
              <w:rPr>
                <w:rFonts w:ascii="仿宋_GB2312" w:eastAsia="仿宋_GB2312"/>
                <w:szCs w:val="21"/>
              </w:rPr>
            </w:pPr>
            <w:r>
              <w:rPr>
                <w:rFonts w:hint="eastAsia" w:ascii="仿宋_GB2312" w:eastAsia="仿宋_GB2312"/>
                <w:szCs w:val="21"/>
              </w:rPr>
              <w:t>2</w:t>
            </w:r>
          </w:p>
        </w:tc>
        <w:tc>
          <w:tcPr>
            <w:tcW w:w="1201" w:type="dxa"/>
            <w:gridSpan w:val="2"/>
            <w:shd w:val="clear" w:color="auto" w:fill="FFFFFF"/>
            <w:vAlign w:val="center"/>
          </w:tcPr>
          <w:p>
            <w:pPr>
              <w:rPr>
                <w:rFonts w:ascii="仿宋_GB2312" w:eastAsia="仿宋_GB2312"/>
                <w:szCs w:val="21"/>
              </w:rPr>
            </w:pPr>
            <w:r>
              <w:rPr>
                <w:rFonts w:hint="eastAsia" w:ascii="仿宋_GB2312" w:eastAsia="仿宋_GB2312"/>
                <w:szCs w:val="21"/>
              </w:rPr>
              <w:t>未经批准或者未采取安全措施在煤矿采区范围内进行危及煤矿安全的作业</w:t>
            </w:r>
          </w:p>
        </w:tc>
        <w:tc>
          <w:tcPr>
            <w:tcW w:w="4325" w:type="dxa"/>
            <w:gridSpan w:val="9"/>
            <w:shd w:val="clear" w:color="auto" w:fill="FFFFFF"/>
            <w:vAlign w:val="center"/>
          </w:tcPr>
          <w:p>
            <w:pPr>
              <w:spacing w:line="360" w:lineRule="exact"/>
              <w:rPr>
                <w:rFonts w:ascii="仿宋_GB2312" w:eastAsia="仿宋_GB2312"/>
                <w:szCs w:val="21"/>
              </w:rPr>
            </w:pPr>
            <w:r>
              <w:rPr>
                <w:rFonts w:hint="eastAsia" w:ascii="仿宋_GB2312" w:eastAsia="仿宋_GB2312"/>
                <w:szCs w:val="21"/>
              </w:rPr>
              <w:t>违反条款：《中华人民共和国煤炭法》第五十二条第一款；处罚条款：第六十二条，责令停止作业，可以并处五万元以下的罚款。</w:t>
            </w:r>
          </w:p>
        </w:tc>
        <w:tc>
          <w:tcPr>
            <w:tcW w:w="918" w:type="dxa"/>
            <w:gridSpan w:val="2"/>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10000</w:t>
            </w:r>
          </w:p>
        </w:tc>
        <w:tc>
          <w:tcPr>
            <w:tcW w:w="756" w:type="dxa"/>
            <w:gridSpan w:val="3"/>
            <w:shd w:val="clear" w:color="auto" w:fill="FFFFFF"/>
            <w:vAlign w:val="center"/>
          </w:tcPr>
          <w:p>
            <w:pPr>
              <w:widowControl/>
              <w:spacing w:line="2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1.存在较大安全隐患的，系数2</w:t>
            </w:r>
            <w:r>
              <w:rPr>
                <w:rFonts w:ascii="仿宋_GB2312" w:hAnsi="宋体" w:eastAsia="仿宋_GB2312" w:cs="宋体"/>
                <w:kern w:val="0"/>
                <w:szCs w:val="21"/>
              </w:rPr>
              <w:t>-3</w:t>
            </w:r>
            <w:r>
              <w:rPr>
                <w:rFonts w:hint="eastAsia" w:ascii="仿宋_GB2312" w:hAnsi="宋体" w:eastAsia="仿宋_GB2312" w:cs="宋体"/>
                <w:kern w:val="0"/>
                <w:szCs w:val="21"/>
              </w:rPr>
              <w:t>；2.发生安全事故的，系数4。</w:t>
            </w:r>
          </w:p>
        </w:tc>
        <w:tc>
          <w:tcPr>
            <w:tcW w:w="1740" w:type="dxa"/>
            <w:gridSpan w:val="2"/>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其它额度处罚的</w:t>
            </w:r>
            <w:r>
              <w:rPr>
                <w:rFonts w:hint="eastAsia" w:ascii="仿宋_GB2312" w:hAnsi="宋体" w:eastAsia="仿宋_GB2312" w:cs="宋体"/>
                <w:kern w:val="0"/>
                <w:szCs w:val="21"/>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58" w:hRule="atLeast"/>
          <w:jc w:val="center"/>
        </w:trPr>
        <w:tc>
          <w:tcPr>
            <w:tcW w:w="503" w:type="dxa"/>
            <w:gridSpan w:val="2"/>
            <w:shd w:val="clear" w:color="auto" w:fill="FFFFFF"/>
            <w:vAlign w:val="center"/>
          </w:tcPr>
          <w:p>
            <w:pPr>
              <w:rPr>
                <w:rFonts w:ascii="仿宋_GB2312" w:eastAsia="仿宋_GB2312"/>
                <w:szCs w:val="21"/>
              </w:rPr>
            </w:pPr>
            <w:r>
              <w:rPr>
                <w:rFonts w:hint="eastAsia" w:ascii="仿宋_GB2312" w:eastAsia="仿宋_GB2312"/>
                <w:szCs w:val="21"/>
              </w:rPr>
              <w:t>3</w:t>
            </w:r>
          </w:p>
        </w:tc>
        <w:tc>
          <w:tcPr>
            <w:tcW w:w="1201" w:type="dxa"/>
            <w:gridSpan w:val="2"/>
            <w:shd w:val="clear" w:color="auto" w:fill="FFFFFF"/>
            <w:vAlign w:val="center"/>
          </w:tcPr>
          <w:p>
            <w:pPr>
              <w:rPr>
                <w:rFonts w:ascii="仿宋_GB2312" w:eastAsia="仿宋_GB2312"/>
                <w:szCs w:val="21"/>
              </w:rPr>
            </w:pPr>
            <w:r>
              <w:rPr>
                <w:rFonts w:hint="eastAsia" w:ascii="仿宋_GB2312" w:eastAsia="仿宋_GB2312"/>
                <w:szCs w:val="21"/>
              </w:rPr>
              <w:t>在煤炭产品中掺杂、掺假，以次充好</w:t>
            </w:r>
          </w:p>
        </w:tc>
        <w:tc>
          <w:tcPr>
            <w:tcW w:w="4325" w:type="dxa"/>
            <w:gridSpan w:val="9"/>
            <w:shd w:val="clear" w:color="auto" w:fill="FFFFFF"/>
            <w:vAlign w:val="center"/>
          </w:tcPr>
          <w:p>
            <w:pPr>
              <w:ind w:right="315" w:rightChars="150"/>
              <w:rPr>
                <w:rFonts w:ascii="仿宋_GB2312" w:eastAsia="仿宋_GB2312"/>
                <w:szCs w:val="21"/>
              </w:rPr>
            </w:pPr>
            <w:r>
              <w:rPr>
                <w:rFonts w:hint="eastAsia" w:ascii="仿宋_GB2312" w:eastAsia="仿宋_GB2312"/>
                <w:szCs w:val="21"/>
              </w:rPr>
              <w:t>违反条款：《中华人民共和国煤炭法》第四十三条第二款；处罚条款：第五十九条，责令停止销售，没收违法所得，并处违法所得一倍以上五倍以下的罚款。</w:t>
            </w:r>
          </w:p>
        </w:tc>
        <w:tc>
          <w:tcPr>
            <w:tcW w:w="905" w:type="dxa"/>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违法所得</w:t>
            </w:r>
          </w:p>
        </w:tc>
        <w:tc>
          <w:tcPr>
            <w:tcW w:w="769" w:type="dxa"/>
            <w:gridSpan w:val="4"/>
            <w:shd w:val="clear" w:color="auto" w:fill="FFFFFF"/>
            <w:vAlign w:val="center"/>
          </w:tcPr>
          <w:p>
            <w:pPr>
              <w:widowControl/>
              <w:spacing w:line="24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造成严重后果或者社会恶劣影响的，系数4。</w:t>
            </w:r>
          </w:p>
        </w:tc>
        <w:tc>
          <w:tcPr>
            <w:tcW w:w="1740" w:type="dxa"/>
            <w:gridSpan w:val="2"/>
            <w:shd w:val="clear" w:color="auto" w:fill="FFFFFF"/>
            <w:vAlign w:val="center"/>
          </w:tcPr>
          <w:p>
            <w:pPr>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罚款数额＝违法所得×（1＋情节系数＋变量系数）</w:t>
            </w:r>
          </w:p>
        </w:tc>
        <w:tc>
          <w:tcPr>
            <w:tcW w:w="2415" w:type="dxa"/>
            <w:gridSpan w:val="7"/>
            <w:shd w:val="clear" w:color="auto" w:fill="FFFFFF"/>
            <w:vAlign w:val="center"/>
          </w:tcPr>
          <w:p>
            <w:pPr>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罚款数额不超过违法所得五倍。</w:t>
            </w:r>
          </w:p>
          <w:p>
            <w:pPr>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7" w:hRule="atLeast"/>
          <w:jc w:val="center"/>
        </w:trPr>
        <w:tc>
          <w:tcPr>
            <w:tcW w:w="15458" w:type="dxa"/>
            <w:gridSpan w:val="34"/>
            <w:tcBorders>
              <w:bottom w:val="single" w:color="auto" w:sz="4" w:space="0"/>
            </w:tcBorders>
            <w:shd w:val="clear" w:color="auto" w:fill="FFFFFF"/>
            <w:vAlign w:val="center"/>
          </w:tcPr>
          <w:p>
            <w:pPr>
              <w:widowControl/>
              <w:spacing w:line="0" w:lineRule="atLeast"/>
              <w:rPr>
                <w:rFonts w:ascii="仿宋_GB2312" w:eastAsia="仿宋_GB2312"/>
                <w:b/>
                <w:szCs w:val="21"/>
              </w:rPr>
            </w:pPr>
            <w:r>
              <w:rPr>
                <w:rFonts w:hint="eastAsia" w:ascii="楷体_GB2312" w:eastAsia="楷体_GB2312"/>
                <w:b/>
                <w:kern w:val="0"/>
                <w:sz w:val="32"/>
                <w:szCs w:val="32"/>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7" w:hRule="atLeast"/>
          <w:jc w:val="center"/>
        </w:trPr>
        <w:tc>
          <w:tcPr>
            <w:tcW w:w="15458" w:type="dxa"/>
            <w:gridSpan w:val="34"/>
            <w:tcBorders>
              <w:bottom w:val="single" w:color="auto" w:sz="4" w:space="0"/>
            </w:tcBorders>
            <w:shd w:val="clear" w:color="auto" w:fill="FFFFFF"/>
            <w:vAlign w:val="center"/>
          </w:tcPr>
          <w:p>
            <w:pPr>
              <w:pStyle w:val="3"/>
            </w:pPr>
            <w:bookmarkStart w:id="71" w:name="_Toc39911724"/>
            <w:r>
              <w:rPr>
                <w:rFonts w:hint="eastAsia"/>
              </w:rPr>
              <w:t>《中华人民共和国可再生能源法》案由2项</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86" w:hRule="atLeast"/>
          <w:jc w:val="center"/>
        </w:trPr>
        <w:tc>
          <w:tcPr>
            <w:tcW w:w="503" w:type="dxa"/>
            <w:gridSpan w:val="2"/>
            <w:shd w:val="clear" w:color="auto" w:fill="FFFFFF"/>
            <w:vAlign w:val="center"/>
          </w:tcPr>
          <w:p>
            <w:pPr>
              <w:rPr>
                <w:rFonts w:ascii="仿宋_GB2312" w:eastAsia="仿宋_GB2312"/>
                <w:szCs w:val="21"/>
              </w:rPr>
            </w:pPr>
            <w:r>
              <w:rPr>
                <w:rFonts w:hint="eastAsia" w:ascii="仿宋_GB2312" w:eastAsia="仿宋_GB2312"/>
                <w:szCs w:val="21"/>
              </w:rPr>
              <w:t>1</w:t>
            </w:r>
          </w:p>
        </w:tc>
        <w:tc>
          <w:tcPr>
            <w:tcW w:w="1201" w:type="dxa"/>
            <w:gridSpan w:val="2"/>
            <w:shd w:val="clear" w:color="auto" w:fill="FFFFFF"/>
            <w:vAlign w:val="center"/>
          </w:tcPr>
          <w:p>
            <w:pPr>
              <w:rPr>
                <w:rFonts w:ascii="仿宋_GB2312" w:eastAsia="仿宋_GB2312"/>
                <w:szCs w:val="21"/>
              </w:rPr>
            </w:pPr>
            <w:r>
              <w:rPr>
                <w:rFonts w:hint="eastAsia" w:ascii="仿宋_GB2312" w:eastAsia="仿宋_GB2312"/>
                <w:szCs w:val="21"/>
              </w:rPr>
              <w:t>经营燃气管网、热力管网的企业不准许符合入网技术标准的燃气、热力入网</w:t>
            </w:r>
          </w:p>
        </w:tc>
        <w:tc>
          <w:tcPr>
            <w:tcW w:w="4325" w:type="dxa"/>
            <w:gridSpan w:val="9"/>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违反条款：第十六条第二款；处罚条款：第三十条，责令限期改正；拒不改正的，处以燃气、热力生产企业经济损失额一倍以下的罚款。</w:t>
            </w:r>
          </w:p>
        </w:tc>
        <w:tc>
          <w:tcPr>
            <w:tcW w:w="905" w:type="dxa"/>
            <w:shd w:val="clear" w:color="auto" w:fill="FFFFFF"/>
            <w:vAlign w:val="center"/>
          </w:tcPr>
          <w:p>
            <w:pPr>
              <w:rPr>
                <w:rFonts w:ascii="仿宋_GB2312" w:eastAsia="仿宋_GB2312"/>
                <w:szCs w:val="21"/>
              </w:rPr>
            </w:pPr>
            <w:r>
              <w:rPr>
                <w:rFonts w:hint="eastAsia" w:ascii="仿宋_GB2312" w:eastAsia="仿宋_GB2312"/>
                <w:szCs w:val="21"/>
              </w:rPr>
              <w:t>经济损失额</w:t>
            </w:r>
          </w:p>
        </w:tc>
        <w:tc>
          <w:tcPr>
            <w:tcW w:w="769" w:type="dxa"/>
            <w:gridSpan w:val="4"/>
            <w:shd w:val="clear" w:color="auto" w:fill="FFFFFF"/>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rPr>
                <w:rFonts w:ascii="仿宋_GB2312" w:eastAsia="仿宋_GB2312"/>
                <w:szCs w:val="21"/>
              </w:rPr>
            </w:pPr>
          </w:p>
        </w:tc>
        <w:tc>
          <w:tcPr>
            <w:tcW w:w="1740" w:type="dxa"/>
            <w:gridSpan w:val="2"/>
            <w:shd w:val="clear" w:color="auto" w:fill="FFFFFF"/>
            <w:vAlign w:val="center"/>
          </w:tcPr>
          <w:p>
            <w:pPr>
              <w:rPr>
                <w:rFonts w:ascii="仿宋_GB2312" w:eastAsia="仿宋_GB2312"/>
                <w:szCs w:val="21"/>
              </w:rPr>
            </w:pPr>
          </w:p>
        </w:tc>
        <w:tc>
          <w:tcPr>
            <w:tcW w:w="2415" w:type="dxa"/>
            <w:gridSpan w:val="7"/>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76" w:hRule="atLeast"/>
          <w:jc w:val="center"/>
        </w:trPr>
        <w:tc>
          <w:tcPr>
            <w:tcW w:w="503" w:type="dxa"/>
            <w:gridSpan w:val="2"/>
            <w:shd w:val="clear" w:color="auto" w:fill="FFFFFF"/>
            <w:vAlign w:val="center"/>
          </w:tcPr>
          <w:p>
            <w:pPr>
              <w:rPr>
                <w:rFonts w:ascii="仿宋_GB2312" w:eastAsia="仿宋_GB2312"/>
                <w:szCs w:val="21"/>
              </w:rPr>
            </w:pPr>
            <w:r>
              <w:rPr>
                <w:rFonts w:hint="eastAsia" w:ascii="仿宋_GB2312" w:eastAsia="仿宋_GB2312"/>
                <w:szCs w:val="21"/>
              </w:rPr>
              <w:t>2</w:t>
            </w:r>
          </w:p>
        </w:tc>
        <w:tc>
          <w:tcPr>
            <w:tcW w:w="1201" w:type="dxa"/>
            <w:gridSpan w:val="2"/>
            <w:shd w:val="clear" w:color="auto" w:fill="FFFFFF"/>
            <w:vAlign w:val="center"/>
          </w:tcPr>
          <w:p>
            <w:pPr>
              <w:rPr>
                <w:rFonts w:ascii="仿宋_GB2312" w:eastAsia="仿宋_GB2312"/>
                <w:szCs w:val="21"/>
              </w:rPr>
            </w:pPr>
            <w:r>
              <w:rPr>
                <w:rFonts w:hint="eastAsia" w:ascii="仿宋_GB2312" w:eastAsia="仿宋_GB2312"/>
                <w:szCs w:val="21"/>
              </w:rPr>
              <w:t>石油销售企业未按照规定将符合国家标准的生物液体燃料纳入其燃料销售体系</w:t>
            </w:r>
          </w:p>
        </w:tc>
        <w:tc>
          <w:tcPr>
            <w:tcW w:w="4325" w:type="dxa"/>
            <w:gridSpan w:val="9"/>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违反条款：第十六条第三款；处罚条款：第三十一条，责令限期改正；拒不改正的，处以生物液体燃料生产企业经济损失额一倍以下的罚款。</w:t>
            </w:r>
          </w:p>
        </w:tc>
        <w:tc>
          <w:tcPr>
            <w:tcW w:w="905" w:type="dxa"/>
            <w:shd w:val="clear" w:color="auto" w:fill="FFFFFF"/>
            <w:vAlign w:val="center"/>
          </w:tcPr>
          <w:p>
            <w:pPr>
              <w:rPr>
                <w:rFonts w:ascii="仿宋_GB2312" w:eastAsia="仿宋_GB2312"/>
                <w:szCs w:val="21"/>
              </w:rPr>
            </w:pPr>
            <w:r>
              <w:rPr>
                <w:rFonts w:hint="eastAsia" w:ascii="仿宋_GB2312" w:eastAsia="仿宋_GB2312"/>
                <w:szCs w:val="21"/>
              </w:rPr>
              <w:t>经济损失额</w:t>
            </w:r>
          </w:p>
        </w:tc>
        <w:tc>
          <w:tcPr>
            <w:tcW w:w="769" w:type="dxa"/>
            <w:gridSpan w:val="4"/>
            <w:shd w:val="clear" w:color="auto" w:fill="FFFFFF"/>
            <w:vAlign w:val="center"/>
          </w:tcPr>
          <w:p>
            <w:pPr>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rPr>
                <w:rFonts w:ascii="仿宋_GB2312" w:eastAsia="仿宋_GB2312"/>
                <w:szCs w:val="21"/>
              </w:rPr>
            </w:pPr>
          </w:p>
        </w:tc>
        <w:tc>
          <w:tcPr>
            <w:tcW w:w="1740" w:type="dxa"/>
            <w:gridSpan w:val="2"/>
            <w:shd w:val="clear" w:color="auto" w:fill="FFFFFF"/>
            <w:vAlign w:val="center"/>
          </w:tcPr>
          <w:p>
            <w:pPr>
              <w:rPr>
                <w:rFonts w:ascii="仿宋_GB2312" w:eastAsia="仿宋_GB2312"/>
                <w:szCs w:val="21"/>
              </w:rPr>
            </w:pPr>
          </w:p>
        </w:tc>
        <w:tc>
          <w:tcPr>
            <w:tcW w:w="2415" w:type="dxa"/>
            <w:gridSpan w:val="7"/>
            <w:shd w:val="clear" w:color="auto" w:fill="FFFFFF"/>
            <w:vAlign w:val="center"/>
          </w:tcPr>
          <w:p>
            <w:pPr>
              <w:widowControl/>
              <w:spacing w:line="0" w:lineRule="atLeas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6" w:hRule="atLeast"/>
          <w:jc w:val="center"/>
        </w:trPr>
        <w:tc>
          <w:tcPr>
            <w:tcW w:w="15458" w:type="dxa"/>
            <w:gridSpan w:val="34"/>
            <w:shd w:val="clear" w:color="auto" w:fill="FFFFFF"/>
            <w:vAlign w:val="center"/>
          </w:tcPr>
          <w:p>
            <w:pPr>
              <w:widowControl/>
              <w:spacing w:line="0" w:lineRule="atLeast"/>
              <w:rPr>
                <w:rFonts w:ascii="仿宋_GB2312" w:eastAsia="仿宋_GB2312"/>
                <w:b/>
                <w:szCs w:val="21"/>
              </w:rPr>
            </w:pPr>
            <w:r>
              <w:rPr>
                <w:rFonts w:hint="eastAsia" w:ascii="楷体_GB2312" w:eastAsia="楷体_GB2312"/>
                <w:b/>
                <w:kern w:val="0"/>
                <w:sz w:val="32"/>
                <w:szCs w:val="32"/>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5" w:hRule="atLeast"/>
          <w:jc w:val="center"/>
        </w:trPr>
        <w:tc>
          <w:tcPr>
            <w:tcW w:w="15458" w:type="dxa"/>
            <w:gridSpan w:val="34"/>
            <w:shd w:val="clear" w:color="auto" w:fill="FFFFFF"/>
            <w:vAlign w:val="center"/>
          </w:tcPr>
          <w:p>
            <w:pPr>
              <w:pStyle w:val="3"/>
            </w:pPr>
            <w:bookmarkStart w:id="72" w:name="_Toc39911725"/>
            <w:r>
              <w:rPr>
                <w:rFonts w:hint="eastAsia"/>
              </w:rPr>
              <w:t>《中华人民共和国电力法》《电力供应与使用条例》案由</w:t>
            </w:r>
            <w:r>
              <w:t>6</w:t>
            </w:r>
            <w:r>
              <w:rPr>
                <w:rFonts w:hint="eastAsia"/>
              </w:rPr>
              <w:t>项</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20" w:hRule="atLeast"/>
          <w:jc w:val="center"/>
        </w:trPr>
        <w:tc>
          <w:tcPr>
            <w:tcW w:w="503"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1</w:t>
            </w:r>
          </w:p>
        </w:tc>
        <w:tc>
          <w:tcPr>
            <w:tcW w:w="1201"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电力建设项目使用国家明令淘汰的电力设备和技术</w:t>
            </w:r>
          </w:p>
        </w:tc>
        <w:tc>
          <w:tcPr>
            <w:tcW w:w="4325" w:type="dxa"/>
            <w:gridSpan w:val="9"/>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违反条款：《中华人民共和国电力法》第十四条第二款；处罚条款：第六十二条第二款，责令停止使用，没收国家明令淘汰的电力设备，并处五万元以下的罚款。</w:t>
            </w:r>
          </w:p>
        </w:tc>
        <w:tc>
          <w:tcPr>
            <w:tcW w:w="918"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56" w:type="dxa"/>
            <w:gridSpan w:val="3"/>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1.存在较大安全隐患的，系数2-3；2.发生安全事故的，系数4。</w:t>
            </w:r>
          </w:p>
        </w:tc>
        <w:tc>
          <w:tcPr>
            <w:tcW w:w="1740"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其它额度</w:t>
            </w:r>
            <w:r>
              <w:rPr>
                <w:rFonts w:hint="eastAsia" w:ascii="仿宋_GB2312" w:hAnsi="宋体" w:eastAsia="仿宋_GB2312" w:cs="宋体"/>
                <w:kern w:val="0"/>
                <w:szCs w:val="21"/>
              </w:rPr>
              <w:t>处罚</w:t>
            </w:r>
            <w:r>
              <w:rPr>
                <w:rFonts w:ascii="仿宋_GB2312" w:hAnsi="宋体" w:eastAsia="仿宋_GB2312" w:cs="宋体"/>
                <w:kern w:val="0"/>
                <w:szCs w:val="21"/>
              </w:rPr>
              <w:t>的</w:t>
            </w:r>
            <w:r>
              <w:rPr>
                <w:rFonts w:hint="eastAsia" w:ascii="仿宋_GB2312" w:hAnsi="宋体" w:eastAsia="仿宋_GB2312" w:cs="宋体"/>
                <w:kern w:val="0"/>
                <w:szCs w:val="21"/>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18" w:hRule="atLeast"/>
          <w:jc w:val="center"/>
        </w:trPr>
        <w:tc>
          <w:tcPr>
            <w:tcW w:w="503" w:type="dxa"/>
            <w:gridSpan w:val="2"/>
            <w:shd w:val="clear" w:color="auto" w:fill="FFFFFF"/>
            <w:vAlign w:val="center"/>
          </w:tcPr>
          <w:p>
            <w:pPr>
              <w:widowControl/>
              <w:spacing w:line="0" w:lineRule="atLeast"/>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未经许可从事供电或者变更供电营业区</w:t>
            </w:r>
          </w:p>
        </w:tc>
        <w:tc>
          <w:tcPr>
            <w:tcW w:w="4325" w:type="dxa"/>
            <w:gridSpan w:val="9"/>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违反条款：《中华人民共和国电力法》第二十五条第一、三款；处罚条款：第六十三条，责令改正，没收违法所得，可以并处违法所得五倍以下的罚款。</w:t>
            </w:r>
          </w:p>
        </w:tc>
        <w:tc>
          <w:tcPr>
            <w:tcW w:w="918"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违法所得</w:t>
            </w:r>
          </w:p>
        </w:tc>
        <w:tc>
          <w:tcPr>
            <w:tcW w:w="756" w:type="dxa"/>
            <w:gridSpan w:val="3"/>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未经许可从事电力供应业务，系数2。</w:t>
            </w:r>
          </w:p>
        </w:tc>
        <w:tc>
          <w:tcPr>
            <w:tcW w:w="1740" w:type="dxa"/>
            <w:gridSpan w:val="2"/>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罚款数额＝违法所得×（1＋情节系数＋变量系数）</w:t>
            </w:r>
          </w:p>
        </w:tc>
        <w:tc>
          <w:tcPr>
            <w:tcW w:w="2415" w:type="dxa"/>
            <w:gridSpan w:val="7"/>
            <w:shd w:val="clear" w:color="auto" w:fill="FFFFFF"/>
            <w:vAlign w:val="center"/>
          </w:tcPr>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罚款数额不超过违法所得五倍。</w:t>
            </w:r>
          </w:p>
          <w:p>
            <w:pPr>
              <w:widowControl/>
              <w:autoSpaceDE w:val="0"/>
              <w:spacing w:line="0" w:lineRule="atLeast"/>
              <w:rPr>
                <w:rFonts w:ascii="仿宋_GB2312" w:hAnsi="宋体" w:eastAsia="仿宋_GB2312" w:cs="宋体"/>
                <w:kern w:val="0"/>
                <w:szCs w:val="21"/>
              </w:rPr>
            </w:pPr>
            <w:r>
              <w:rPr>
                <w:rFonts w:hint="eastAsia" w:ascii="仿宋_GB2312" w:hAnsi="宋体" w:eastAsia="仿宋_GB2312" w:cs="宋体"/>
                <w:kern w:val="0"/>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83" w:hRule="atLeast"/>
          <w:jc w:val="center"/>
        </w:trPr>
        <w:tc>
          <w:tcPr>
            <w:tcW w:w="503"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3</w:t>
            </w:r>
          </w:p>
        </w:tc>
        <w:tc>
          <w:tcPr>
            <w:tcW w:w="1201"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供电营业机构拒绝供电</w:t>
            </w:r>
          </w:p>
        </w:tc>
        <w:tc>
          <w:tcPr>
            <w:tcW w:w="4325" w:type="dxa"/>
            <w:gridSpan w:val="9"/>
            <w:shd w:val="clear" w:color="auto" w:fill="FFFFFF"/>
            <w:vAlign w:val="center"/>
          </w:tcPr>
          <w:p>
            <w:pPr>
              <w:spacing w:line="400" w:lineRule="exact"/>
              <w:rPr>
                <w:rFonts w:ascii="仿宋_GB2312" w:eastAsia="仿宋_GB2312"/>
                <w:szCs w:val="21"/>
              </w:rPr>
            </w:pPr>
            <w:r>
              <w:rPr>
                <w:rFonts w:hint="eastAsia" w:ascii="仿宋_GB2312" w:eastAsia="仿宋_GB2312"/>
                <w:szCs w:val="21"/>
              </w:rPr>
              <w:t>违反条款：《中华人民共和国电力法》第二十六条第一款；处罚条款：第六十四条，责令改正，给予警告。</w:t>
            </w:r>
          </w:p>
        </w:tc>
        <w:tc>
          <w:tcPr>
            <w:tcW w:w="905" w:type="dxa"/>
            <w:shd w:val="clear" w:color="auto" w:fill="FFFFFF"/>
            <w:vAlign w:val="center"/>
          </w:tcPr>
          <w:p>
            <w:pPr>
              <w:widowControl/>
              <w:spacing w:line="0" w:lineRule="atLeast"/>
              <w:rPr>
                <w:rFonts w:ascii="仿宋_GB2312" w:eastAsia="仿宋_GB2312"/>
                <w:szCs w:val="21"/>
              </w:rPr>
            </w:pPr>
          </w:p>
        </w:tc>
        <w:tc>
          <w:tcPr>
            <w:tcW w:w="769" w:type="dxa"/>
            <w:gridSpan w:val="4"/>
            <w:shd w:val="clear" w:color="auto" w:fill="FFFFFF"/>
            <w:vAlign w:val="center"/>
          </w:tcPr>
          <w:p>
            <w:pPr>
              <w:widowControl/>
              <w:spacing w:line="0" w:lineRule="atLeast"/>
              <w:rPr>
                <w:rFonts w:ascii="仿宋_GB2312" w:eastAsia="仿宋_GB2312"/>
                <w:szCs w:val="21"/>
              </w:rPr>
            </w:pPr>
          </w:p>
        </w:tc>
        <w:tc>
          <w:tcPr>
            <w:tcW w:w="3600" w:type="dxa"/>
            <w:gridSpan w:val="7"/>
            <w:shd w:val="clear" w:color="auto" w:fill="FFFFFF"/>
            <w:vAlign w:val="center"/>
          </w:tcPr>
          <w:p>
            <w:pPr>
              <w:widowControl/>
              <w:spacing w:line="0" w:lineRule="atLeast"/>
              <w:rPr>
                <w:rFonts w:ascii="仿宋_GB2312" w:eastAsia="仿宋_GB2312"/>
                <w:szCs w:val="21"/>
              </w:rPr>
            </w:pPr>
          </w:p>
        </w:tc>
        <w:tc>
          <w:tcPr>
            <w:tcW w:w="1740" w:type="dxa"/>
            <w:gridSpan w:val="2"/>
            <w:shd w:val="clear" w:color="auto" w:fill="FFFFFF"/>
            <w:vAlign w:val="center"/>
          </w:tcPr>
          <w:p>
            <w:pPr>
              <w:widowControl/>
              <w:spacing w:line="0" w:lineRule="atLeast"/>
              <w:rPr>
                <w:rFonts w:ascii="仿宋_GB2312" w:eastAsia="仿宋_GB2312"/>
                <w:szCs w:val="21"/>
              </w:rPr>
            </w:pPr>
          </w:p>
        </w:tc>
        <w:tc>
          <w:tcPr>
            <w:tcW w:w="2415" w:type="dxa"/>
            <w:gridSpan w:val="7"/>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非罚款处罚事项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13" w:hRule="atLeast"/>
          <w:jc w:val="center"/>
        </w:trPr>
        <w:tc>
          <w:tcPr>
            <w:tcW w:w="503"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4</w:t>
            </w:r>
          </w:p>
        </w:tc>
        <w:tc>
          <w:tcPr>
            <w:tcW w:w="1201"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供电企业中断供电</w:t>
            </w:r>
          </w:p>
        </w:tc>
        <w:tc>
          <w:tcPr>
            <w:tcW w:w="4325" w:type="dxa"/>
            <w:gridSpan w:val="9"/>
            <w:shd w:val="clear" w:color="auto" w:fill="FFFFFF"/>
            <w:vAlign w:val="center"/>
          </w:tcPr>
          <w:p>
            <w:pPr>
              <w:spacing w:line="400" w:lineRule="exact"/>
              <w:rPr>
                <w:rFonts w:ascii="仿宋_GB2312" w:eastAsia="仿宋_GB2312"/>
                <w:szCs w:val="21"/>
              </w:rPr>
            </w:pPr>
            <w:r>
              <w:rPr>
                <w:rFonts w:hint="eastAsia" w:ascii="仿宋_GB2312" w:eastAsia="仿宋_GB2312"/>
                <w:szCs w:val="21"/>
              </w:rPr>
              <w:t>违反条款：《中华人民共和国电力法》第二十九条第一款；处罚条款：第六十四条，责令改正，给予警告。</w:t>
            </w:r>
          </w:p>
        </w:tc>
        <w:tc>
          <w:tcPr>
            <w:tcW w:w="905" w:type="dxa"/>
            <w:shd w:val="clear" w:color="auto" w:fill="FFFFFF"/>
            <w:vAlign w:val="center"/>
          </w:tcPr>
          <w:p>
            <w:pPr>
              <w:widowControl/>
              <w:spacing w:line="0" w:lineRule="atLeast"/>
              <w:rPr>
                <w:rFonts w:ascii="仿宋_GB2312" w:eastAsia="仿宋_GB2312"/>
                <w:szCs w:val="21"/>
              </w:rPr>
            </w:pPr>
          </w:p>
        </w:tc>
        <w:tc>
          <w:tcPr>
            <w:tcW w:w="769" w:type="dxa"/>
            <w:gridSpan w:val="4"/>
            <w:shd w:val="clear" w:color="auto" w:fill="FFFFFF"/>
            <w:vAlign w:val="center"/>
          </w:tcPr>
          <w:p>
            <w:pPr>
              <w:widowControl/>
              <w:spacing w:line="0" w:lineRule="atLeast"/>
              <w:rPr>
                <w:rFonts w:ascii="仿宋_GB2312" w:eastAsia="仿宋_GB2312"/>
                <w:szCs w:val="21"/>
              </w:rPr>
            </w:pPr>
          </w:p>
        </w:tc>
        <w:tc>
          <w:tcPr>
            <w:tcW w:w="3600" w:type="dxa"/>
            <w:gridSpan w:val="7"/>
            <w:shd w:val="clear" w:color="auto" w:fill="FFFFFF"/>
            <w:vAlign w:val="center"/>
          </w:tcPr>
          <w:p>
            <w:pPr>
              <w:widowControl/>
              <w:spacing w:line="0" w:lineRule="atLeast"/>
              <w:rPr>
                <w:rFonts w:ascii="仿宋_GB2312" w:eastAsia="仿宋_GB2312"/>
                <w:szCs w:val="21"/>
              </w:rPr>
            </w:pPr>
          </w:p>
        </w:tc>
        <w:tc>
          <w:tcPr>
            <w:tcW w:w="1740" w:type="dxa"/>
            <w:gridSpan w:val="2"/>
            <w:shd w:val="clear" w:color="auto" w:fill="FFFFFF"/>
            <w:vAlign w:val="center"/>
          </w:tcPr>
          <w:p>
            <w:pPr>
              <w:widowControl/>
              <w:spacing w:line="0" w:lineRule="atLeast"/>
              <w:rPr>
                <w:rFonts w:ascii="仿宋_GB2312" w:eastAsia="仿宋_GB2312"/>
                <w:szCs w:val="21"/>
              </w:rPr>
            </w:pPr>
          </w:p>
        </w:tc>
        <w:tc>
          <w:tcPr>
            <w:tcW w:w="2415" w:type="dxa"/>
            <w:gridSpan w:val="7"/>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非罚款处罚事项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jc w:val="center"/>
        </w:trPr>
        <w:tc>
          <w:tcPr>
            <w:tcW w:w="503"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5</w:t>
            </w:r>
          </w:p>
        </w:tc>
        <w:tc>
          <w:tcPr>
            <w:tcW w:w="1201" w:type="dxa"/>
            <w:gridSpan w:val="2"/>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用户危害供电用电安全或者扰乱供电用电秩序</w:t>
            </w:r>
          </w:p>
        </w:tc>
        <w:tc>
          <w:tcPr>
            <w:tcW w:w="4325" w:type="dxa"/>
            <w:gridSpan w:val="9"/>
            <w:shd w:val="clear" w:color="auto" w:fill="FFFFFF"/>
            <w:vAlign w:val="center"/>
          </w:tcPr>
          <w:p>
            <w:pPr>
              <w:spacing w:line="400" w:lineRule="exact"/>
              <w:rPr>
                <w:rFonts w:ascii="仿宋_GB2312" w:eastAsia="仿宋_GB2312"/>
                <w:szCs w:val="21"/>
              </w:rPr>
            </w:pPr>
            <w:r>
              <w:rPr>
                <w:rFonts w:hint="eastAsia" w:ascii="仿宋_GB2312" w:eastAsia="仿宋_GB2312"/>
                <w:szCs w:val="21"/>
              </w:rPr>
              <w:t>违反条款：《中华人民共和国电力法》第三十二条第一款；处罚条款：第六十五条，责令改正，给予警告；情节严重或者拒绝改正的，可以中止供电，可以并处五万元以下的罚款。</w:t>
            </w:r>
          </w:p>
        </w:tc>
        <w:tc>
          <w:tcPr>
            <w:tcW w:w="905" w:type="dxa"/>
            <w:shd w:val="clear" w:color="auto" w:fill="FFFFFF"/>
            <w:vAlign w:val="center"/>
          </w:tcPr>
          <w:p>
            <w:pPr>
              <w:widowControl/>
              <w:spacing w:line="0" w:lineRule="atLeast"/>
              <w:rPr>
                <w:rFonts w:ascii="仿宋_GB2312" w:eastAsia="仿宋_GB2312"/>
                <w:szCs w:val="21"/>
              </w:rPr>
            </w:pPr>
          </w:p>
        </w:tc>
        <w:tc>
          <w:tcPr>
            <w:tcW w:w="769" w:type="dxa"/>
            <w:gridSpan w:val="4"/>
            <w:shd w:val="clear" w:color="auto" w:fill="FFFFFF"/>
            <w:vAlign w:val="center"/>
          </w:tcPr>
          <w:p>
            <w:pPr>
              <w:widowControl/>
              <w:spacing w:line="0" w:lineRule="atLeast"/>
              <w:rPr>
                <w:rFonts w:ascii="仿宋_GB2312" w:eastAsia="仿宋_GB2312"/>
                <w:szCs w:val="21"/>
              </w:rPr>
            </w:pPr>
          </w:p>
        </w:tc>
        <w:tc>
          <w:tcPr>
            <w:tcW w:w="3600" w:type="dxa"/>
            <w:gridSpan w:val="7"/>
            <w:shd w:val="clear" w:color="auto" w:fill="FFFFFF"/>
            <w:vAlign w:val="center"/>
          </w:tcPr>
          <w:p>
            <w:pPr>
              <w:widowControl/>
              <w:spacing w:line="240" w:lineRule="exact"/>
              <w:rPr>
                <w:rFonts w:ascii="仿宋_GB2312" w:eastAsia="仿宋_GB2312"/>
                <w:szCs w:val="21"/>
              </w:rPr>
            </w:pPr>
          </w:p>
        </w:tc>
        <w:tc>
          <w:tcPr>
            <w:tcW w:w="1740" w:type="dxa"/>
            <w:gridSpan w:val="2"/>
            <w:shd w:val="clear" w:color="auto" w:fill="FFFFFF"/>
            <w:vAlign w:val="center"/>
          </w:tcPr>
          <w:p>
            <w:pPr>
              <w:widowControl/>
              <w:spacing w:line="240" w:lineRule="exact"/>
              <w:rPr>
                <w:rFonts w:ascii="仿宋_GB2312" w:eastAsia="仿宋_GB2312"/>
                <w:szCs w:val="21"/>
              </w:rPr>
            </w:pPr>
          </w:p>
        </w:tc>
        <w:tc>
          <w:tcPr>
            <w:tcW w:w="2415" w:type="dxa"/>
            <w:gridSpan w:val="7"/>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按照规定执行。</w:t>
            </w:r>
          </w:p>
          <w:p>
            <w:pPr>
              <w:spacing w:before="100" w:beforeAutospacing="1" w:after="100" w:afterAutospacing="1"/>
              <w:jc w:val="left"/>
              <w:rPr>
                <w:rFonts w:ascii="仿宋_GB2312" w:eastAsia="仿宋_GB2312"/>
                <w:szCs w:val="21"/>
              </w:rPr>
            </w:pPr>
            <w:r>
              <w:rPr>
                <w:rFonts w:hint="eastAsia" w:ascii="仿宋_GB2312" w:eastAsia="仿宋_GB2312"/>
                <w:szCs w:val="21"/>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jc w:val="center"/>
        </w:trPr>
        <w:tc>
          <w:tcPr>
            <w:tcW w:w="503" w:type="dxa"/>
            <w:gridSpan w:val="2"/>
            <w:vMerge w:val="restart"/>
            <w:shd w:val="clear" w:color="auto" w:fill="FFFFFF"/>
            <w:vAlign w:val="center"/>
          </w:tcPr>
          <w:p>
            <w:pPr>
              <w:spacing w:before="100" w:beforeAutospacing="1" w:after="100" w:afterAutospacing="1"/>
              <w:jc w:val="left"/>
              <w:rPr>
                <w:rFonts w:ascii="仿宋_GB2312" w:eastAsia="仿宋_GB2312"/>
                <w:szCs w:val="21"/>
              </w:rPr>
            </w:pPr>
            <w:r>
              <w:rPr>
                <w:rFonts w:hint="eastAsia" w:ascii="仿宋_GB2312" w:eastAsia="仿宋_GB2312"/>
                <w:szCs w:val="21"/>
              </w:rPr>
              <w:t>6</w:t>
            </w:r>
          </w:p>
        </w:tc>
        <w:tc>
          <w:tcPr>
            <w:tcW w:w="1201" w:type="dxa"/>
            <w:gridSpan w:val="2"/>
            <w:vMerge w:val="restart"/>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盗窃电能</w:t>
            </w:r>
          </w:p>
        </w:tc>
        <w:tc>
          <w:tcPr>
            <w:tcW w:w="4325" w:type="dxa"/>
            <w:gridSpan w:val="9"/>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违反条款、处罚条款：《中华人民共和国电力法》第七十一条，责令停止违法行为，追缴电费并处应交电费五倍以下的罚款。</w:t>
            </w:r>
          </w:p>
        </w:tc>
        <w:tc>
          <w:tcPr>
            <w:tcW w:w="905" w:type="dxa"/>
            <w:vMerge w:val="restart"/>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应交电费</w:t>
            </w:r>
          </w:p>
        </w:tc>
        <w:tc>
          <w:tcPr>
            <w:tcW w:w="769" w:type="dxa"/>
            <w:gridSpan w:val="4"/>
            <w:vMerge w:val="restart"/>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r>
              <w:rPr>
                <w:rFonts w:hint="eastAsia" w:ascii="仿宋_GB2312" w:eastAsia="仿宋_GB2312"/>
                <w:szCs w:val="21"/>
              </w:rPr>
              <w:t>1</w:t>
            </w:r>
          </w:p>
        </w:tc>
        <w:tc>
          <w:tcPr>
            <w:tcW w:w="3600" w:type="dxa"/>
            <w:gridSpan w:val="7"/>
            <w:vMerge w:val="restart"/>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1.造成电能损失较大或者供电设施、用电计量装置等损坏的，系数2-3；2.造成电能损失严重或者供用电事故的，系数4。</w:t>
            </w:r>
          </w:p>
        </w:tc>
        <w:tc>
          <w:tcPr>
            <w:tcW w:w="1740" w:type="dxa"/>
            <w:gridSpan w:val="2"/>
            <w:vMerge w:val="restart"/>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罚款数额＝应交电费×（1＋情节系数＋变量系数）</w:t>
            </w:r>
          </w:p>
        </w:tc>
        <w:tc>
          <w:tcPr>
            <w:tcW w:w="2415" w:type="dxa"/>
            <w:gridSpan w:val="7"/>
            <w:vMerge w:val="restart"/>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罚款数额不超过应交电费五倍。</w:t>
            </w:r>
          </w:p>
          <w:p>
            <w:pPr>
              <w:autoSpaceDE w:val="0"/>
              <w:spacing w:line="400" w:lineRule="exact"/>
              <w:jc w:val="left"/>
              <w:rPr>
                <w:rFonts w:ascii="仿宋_GB2312" w:eastAsia="仿宋_GB2312"/>
                <w:szCs w:val="21"/>
              </w:rPr>
            </w:pPr>
            <w:r>
              <w:rPr>
                <w:rFonts w:hint="eastAsia" w:ascii="仿宋_GB2312" w:eastAsia="仿宋_GB2312"/>
                <w:szCs w:val="21"/>
              </w:rPr>
              <w:t>需要作出其它额度处罚的，报案审会讨论决定。</w:t>
            </w:r>
          </w:p>
          <w:p>
            <w:pPr>
              <w:autoSpaceDE w:val="0"/>
              <w:spacing w:line="400" w:lineRule="exact"/>
              <w:jc w:val="left"/>
              <w:rPr>
                <w:rFonts w:ascii="仿宋_GB2312" w:eastAsia="仿宋_GB2312"/>
                <w:szCs w:val="21"/>
              </w:rPr>
            </w:pPr>
            <w:r>
              <w:rPr>
                <w:rFonts w:hint="eastAsia" w:ascii="仿宋_GB2312" w:eastAsia="仿宋_GB2312"/>
                <w:szCs w:val="21"/>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40" w:hRule="atLeast"/>
          <w:jc w:val="center"/>
        </w:trPr>
        <w:tc>
          <w:tcPr>
            <w:tcW w:w="503" w:type="dxa"/>
            <w:gridSpan w:val="2"/>
            <w:vMerge w:val="continue"/>
            <w:shd w:val="clear" w:color="auto" w:fill="FFFFFF"/>
            <w:vAlign w:val="center"/>
          </w:tcPr>
          <w:p>
            <w:pPr>
              <w:spacing w:before="100" w:beforeAutospacing="1" w:after="100" w:afterAutospacing="1"/>
              <w:jc w:val="left"/>
              <w:rPr>
                <w:rFonts w:ascii="仿宋_GB2312" w:eastAsia="仿宋_GB2312"/>
                <w:szCs w:val="21"/>
              </w:rPr>
            </w:pPr>
          </w:p>
        </w:tc>
        <w:tc>
          <w:tcPr>
            <w:tcW w:w="1201" w:type="dxa"/>
            <w:gridSpan w:val="2"/>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p>
        </w:tc>
        <w:tc>
          <w:tcPr>
            <w:tcW w:w="4325" w:type="dxa"/>
            <w:gridSpan w:val="9"/>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r>
              <w:rPr>
                <w:rFonts w:hint="eastAsia" w:ascii="仿宋_GB2312" w:eastAsia="仿宋_GB2312"/>
                <w:szCs w:val="21"/>
              </w:rPr>
              <w:t>违反条款：《电力供应与使用条例》第三十一条第（一）（二）（三）（四）（五）（六）项；处罚条款：第四十一条，责令停止违法行为，追缴电费并处应交电费５倍以下的罚款。</w:t>
            </w:r>
          </w:p>
        </w:tc>
        <w:tc>
          <w:tcPr>
            <w:tcW w:w="905" w:type="dxa"/>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p>
        </w:tc>
        <w:tc>
          <w:tcPr>
            <w:tcW w:w="769" w:type="dxa"/>
            <w:gridSpan w:val="4"/>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p>
        </w:tc>
        <w:tc>
          <w:tcPr>
            <w:tcW w:w="3600" w:type="dxa"/>
            <w:gridSpan w:val="7"/>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p>
        </w:tc>
        <w:tc>
          <w:tcPr>
            <w:tcW w:w="1740" w:type="dxa"/>
            <w:gridSpan w:val="2"/>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szCs w:val="21"/>
              </w:rPr>
            </w:pPr>
          </w:p>
        </w:tc>
        <w:tc>
          <w:tcPr>
            <w:tcW w:w="2415" w:type="dxa"/>
            <w:gridSpan w:val="7"/>
            <w:vMerge w:val="continue"/>
            <w:shd w:val="clear" w:color="auto" w:fill="FFFFFF"/>
            <w:vAlign w:val="center"/>
          </w:tcPr>
          <w:p>
            <w:pPr>
              <w:widowControl/>
              <w:spacing w:before="100" w:beforeAutospacing="1" w:after="100" w:afterAutospacing="1" w:line="0" w:lineRule="atLeast"/>
              <w:jc w:val="lef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4" w:hRule="atLeast"/>
          <w:jc w:val="center"/>
        </w:trPr>
        <w:tc>
          <w:tcPr>
            <w:tcW w:w="15458" w:type="dxa"/>
            <w:gridSpan w:val="34"/>
            <w:shd w:val="clear" w:color="auto" w:fill="FFFFFF"/>
            <w:vAlign w:val="center"/>
          </w:tcPr>
          <w:p>
            <w:pPr>
              <w:pStyle w:val="3"/>
            </w:pPr>
            <w:bookmarkStart w:id="73" w:name="_Toc39911726"/>
            <w:r>
              <w:rPr>
                <w:rFonts w:hint="eastAsia"/>
              </w:rPr>
              <w:t>《电力设施保护条例》《电力设施保护条例实施细则》案由5项</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8" w:hRule="atLeast"/>
          <w:jc w:val="center"/>
        </w:trPr>
        <w:tc>
          <w:tcPr>
            <w:tcW w:w="503" w:type="dxa"/>
            <w:gridSpan w:val="2"/>
            <w:shd w:val="clear" w:color="auto" w:fill="FFFFFF"/>
            <w:vAlign w:val="center"/>
          </w:tcPr>
          <w:p>
            <w:pPr>
              <w:spacing w:before="100" w:beforeAutospacing="1" w:after="100" w:afterAutospacing="1"/>
              <w:jc w:val="left"/>
              <w:rPr>
                <w:rFonts w:ascii="仿宋_GB2312" w:eastAsia="仿宋_GB2312"/>
                <w:szCs w:val="21"/>
              </w:rPr>
            </w:pPr>
            <w:r>
              <w:rPr>
                <w:rFonts w:ascii="仿宋_GB2312" w:eastAsia="仿宋_GB2312"/>
                <w:szCs w:val="21"/>
              </w:rPr>
              <w:t>1</w:t>
            </w:r>
          </w:p>
        </w:tc>
        <w:tc>
          <w:tcPr>
            <w:tcW w:w="1201" w:type="dxa"/>
            <w:gridSpan w:val="2"/>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危害发电设施、变电设施</w:t>
            </w:r>
          </w:p>
        </w:tc>
        <w:tc>
          <w:tcPr>
            <w:tcW w:w="4325" w:type="dxa"/>
            <w:gridSpan w:val="9"/>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违反条款：《电力设施保护条例》第十三条第（一）（二）（三）（四）（五）项；处罚条款：第二十七条，责令改正；拒不改正的，处１万元以下的罚款。</w:t>
            </w:r>
          </w:p>
        </w:tc>
        <w:tc>
          <w:tcPr>
            <w:tcW w:w="905" w:type="dxa"/>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2000</w:t>
            </w:r>
          </w:p>
        </w:tc>
        <w:tc>
          <w:tcPr>
            <w:tcW w:w="769" w:type="dxa"/>
            <w:gridSpan w:val="4"/>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1.造成电能损失较大或者发电设施、变电设施损坏的，系数2-3；2.造成事故或者损失严重的，系数4。</w:t>
            </w:r>
          </w:p>
        </w:tc>
        <w:tc>
          <w:tcPr>
            <w:tcW w:w="1740" w:type="dxa"/>
            <w:gridSpan w:val="2"/>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罚款数额＝2000×（1＋情节系数＋变量系数）</w:t>
            </w:r>
          </w:p>
        </w:tc>
        <w:tc>
          <w:tcPr>
            <w:tcW w:w="2415" w:type="dxa"/>
            <w:gridSpan w:val="7"/>
            <w:shd w:val="clear" w:color="auto" w:fill="FFFFFF"/>
            <w:vAlign w:val="center"/>
          </w:tcPr>
          <w:p>
            <w:pPr>
              <w:widowControl/>
              <w:autoSpaceDE w:val="0"/>
              <w:spacing w:line="400" w:lineRule="exact"/>
              <w:rPr>
                <w:rFonts w:ascii="仿宋_GB2312" w:eastAsia="仿宋_GB2312"/>
                <w:szCs w:val="21"/>
              </w:rPr>
            </w:pPr>
            <w:r>
              <w:rPr>
                <w:rFonts w:hint="eastAsia" w:ascii="仿宋_GB2312" w:eastAsia="仿宋_GB2312"/>
                <w:szCs w:val="21"/>
              </w:rPr>
              <w:t>拒不改正的情形，不记入情节系数。</w:t>
            </w:r>
          </w:p>
          <w:p>
            <w:pPr>
              <w:widowControl/>
              <w:autoSpaceDE w:val="0"/>
              <w:spacing w:line="400" w:lineRule="exact"/>
              <w:rPr>
                <w:rFonts w:ascii="仿宋_GB2312" w:eastAsia="仿宋_GB2312"/>
                <w:szCs w:val="21"/>
              </w:rPr>
            </w:pPr>
            <w:r>
              <w:rPr>
                <w:rFonts w:hint="eastAsia" w:ascii="仿宋_GB2312" w:eastAsia="仿宋_GB2312"/>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jc w:val="center"/>
        </w:trPr>
        <w:tc>
          <w:tcPr>
            <w:tcW w:w="503" w:type="dxa"/>
            <w:gridSpan w:val="2"/>
            <w:tcBorders>
              <w:bottom w:val="single" w:color="auto" w:sz="4" w:space="0"/>
            </w:tcBorders>
            <w:shd w:val="clear" w:color="auto" w:fill="FFFFFF"/>
            <w:vAlign w:val="center"/>
          </w:tcPr>
          <w:p>
            <w:pPr>
              <w:spacing w:line="320" w:lineRule="exact"/>
              <w:jc w:val="left"/>
              <w:rPr>
                <w:rFonts w:ascii="仿宋_GB2312" w:eastAsia="仿宋_GB2312"/>
                <w:szCs w:val="21"/>
              </w:rPr>
            </w:pPr>
            <w:r>
              <w:rPr>
                <w:rFonts w:ascii="仿宋_GB2312" w:eastAsia="仿宋_GB2312"/>
                <w:szCs w:val="21"/>
              </w:rPr>
              <w:t>2</w:t>
            </w:r>
          </w:p>
        </w:tc>
        <w:tc>
          <w:tcPr>
            <w:tcW w:w="1201" w:type="dxa"/>
            <w:gridSpan w:val="2"/>
            <w:shd w:val="clear" w:color="auto" w:fill="FFFFFF"/>
            <w:vAlign w:val="center"/>
          </w:tcPr>
          <w:p>
            <w:pPr>
              <w:spacing w:line="320" w:lineRule="exact"/>
              <w:jc w:val="left"/>
              <w:rPr>
                <w:rFonts w:ascii="仿宋_GB2312" w:eastAsia="仿宋_GB2312"/>
                <w:szCs w:val="21"/>
              </w:rPr>
            </w:pPr>
            <w:r>
              <w:rPr>
                <w:rFonts w:hint="eastAsia" w:ascii="仿宋_GB2312" w:eastAsia="仿宋_GB2312"/>
                <w:szCs w:val="21"/>
              </w:rPr>
              <w:t>危害电力线路设施</w:t>
            </w:r>
          </w:p>
        </w:tc>
        <w:tc>
          <w:tcPr>
            <w:tcW w:w="4325" w:type="dxa"/>
            <w:gridSpan w:val="9"/>
            <w:shd w:val="clear" w:color="auto" w:fill="FFFFFF"/>
            <w:vAlign w:val="center"/>
          </w:tcPr>
          <w:p>
            <w:pPr>
              <w:spacing w:line="320" w:lineRule="exact"/>
              <w:rPr>
                <w:rFonts w:ascii="仿宋_GB2312" w:eastAsia="仿宋_GB2312"/>
                <w:szCs w:val="21"/>
              </w:rPr>
            </w:pPr>
            <w:r>
              <w:rPr>
                <w:rFonts w:hint="eastAsia" w:ascii="仿宋_GB2312" w:eastAsia="仿宋_GB2312"/>
                <w:szCs w:val="21"/>
              </w:rPr>
              <w:t>违反条款：《电力设施保护条例》第十四条第（一）（二）（三）（四）（五）（六）（七）（八）（九）（十）（十一）项；处罚条款：第二十七条，责令改正；拒不改正的，处1万元以下的罚款。</w:t>
            </w:r>
          </w:p>
        </w:tc>
        <w:tc>
          <w:tcPr>
            <w:tcW w:w="905" w:type="dxa"/>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2000</w:t>
            </w:r>
          </w:p>
        </w:tc>
        <w:tc>
          <w:tcPr>
            <w:tcW w:w="769" w:type="dxa"/>
            <w:gridSpan w:val="4"/>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1.造成电能损失较大或者发电设施、变电设施损坏的，系数2-3；2.造成事故或者损失严重的，系数4。</w:t>
            </w:r>
          </w:p>
        </w:tc>
        <w:tc>
          <w:tcPr>
            <w:tcW w:w="1740" w:type="dxa"/>
            <w:gridSpan w:val="2"/>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罚款数额＝2000×（1＋情节系数＋变量系数）</w:t>
            </w:r>
          </w:p>
        </w:tc>
        <w:tc>
          <w:tcPr>
            <w:tcW w:w="2415" w:type="dxa"/>
            <w:gridSpan w:val="7"/>
            <w:vMerge w:val="restart"/>
            <w:shd w:val="clear" w:color="auto" w:fill="FFFFFF"/>
            <w:vAlign w:val="center"/>
          </w:tcPr>
          <w:p>
            <w:pPr>
              <w:widowControl/>
              <w:autoSpaceDE w:val="0"/>
              <w:spacing w:line="320" w:lineRule="exact"/>
              <w:rPr>
                <w:rFonts w:ascii="仿宋_GB2312" w:eastAsia="仿宋_GB2312"/>
                <w:szCs w:val="21"/>
              </w:rPr>
            </w:pPr>
            <w:r>
              <w:rPr>
                <w:rFonts w:hint="eastAsia" w:ascii="仿宋_GB2312" w:eastAsia="仿宋_GB2312"/>
                <w:szCs w:val="21"/>
              </w:rPr>
              <w:t>拒不改正的情形，不记入情节系数。</w:t>
            </w:r>
          </w:p>
          <w:p>
            <w:pPr>
              <w:widowControl/>
              <w:autoSpaceDE w:val="0"/>
              <w:spacing w:line="320" w:lineRule="exact"/>
              <w:rPr>
                <w:rFonts w:ascii="仿宋_GB2312" w:eastAsia="仿宋_GB2312"/>
                <w:szCs w:val="21"/>
              </w:rPr>
            </w:pPr>
          </w:p>
          <w:p>
            <w:pPr>
              <w:widowControl/>
              <w:autoSpaceDE w:val="0"/>
              <w:spacing w:line="320" w:lineRule="exact"/>
              <w:rPr>
                <w:rFonts w:ascii="仿宋_GB2312" w:eastAsia="仿宋_GB2312"/>
                <w:szCs w:val="21"/>
              </w:rPr>
            </w:pPr>
            <w:r>
              <w:rPr>
                <w:rFonts w:hint="eastAsia" w:ascii="仿宋_GB2312" w:eastAsia="仿宋_GB2312"/>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0" w:hRule="atLeast"/>
          <w:jc w:val="center"/>
        </w:trPr>
        <w:tc>
          <w:tcPr>
            <w:tcW w:w="503" w:type="dxa"/>
            <w:gridSpan w:val="2"/>
            <w:tcBorders>
              <w:bottom w:val="single" w:color="auto" w:sz="4" w:space="0"/>
            </w:tcBorders>
            <w:shd w:val="clear" w:color="auto" w:fill="FFFFFF"/>
            <w:vAlign w:val="center"/>
          </w:tcPr>
          <w:p>
            <w:pPr>
              <w:spacing w:line="320" w:lineRule="exact"/>
              <w:jc w:val="left"/>
              <w:rPr>
                <w:rFonts w:ascii="仿宋_GB2312" w:eastAsia="仿宋_GB2312"/>
                <w:szCs w:val="21"/>
              </w:rPr>
            </w:pPr>
            <w:r>
              <w:rPr>
                <w:rFonts w:ascii="仿宋_GB2312" w:eastAsia="仿宋_GB2312"/>
                <w:szCs w:val="21"/>
              </w:rPr>
              <w:t>3</w:t>
            </w:r>
          </w:p>
        </w:tc>
        <w:tc>
          <w:tcPr>
            <w:tcW w:w="1201" w:type="dxa"/>
            <w:gridSpan w:val="2"/>
            <w:shd w:val="clear" w:color="auto" w:fill="FFFFFF"/>
            <w:vAlign w:val="center"/>
          </w:tcPr>
          <w:p>
            <w:pPr>
              <w:spacing w:line="320" w:lineRule="exact"/>
              <w:jc w:val="left"/>
              <w:rPr>
                <w:rFonts w:ascii="仿宋_GB2312" w:eastAsia="仿宋_GB2312"/>
                <w:szCs w:val="21"/>
              </w:rPr>
            </w:pPr>
            <w:r>
              <w:rPr>
                <w:rFonts w:hint="eastAsia" w:ascii="仿宋_GB2312" w:eastAsia="仿宋_GB2312"/>
                <w:szCs w:val="21"/>
              </w:rPr>
              <w:t>损坏使用中的杆塔基础</w:t>
            </w:r>
          </w:p>
        </w:tc>
        <w:tc>
          <w:tcPr>
            <w:tcW w:w="4325" w:type="dxa"/>
            <w:gridSpan w:val="9"/>
            <w:shd w:val="clear" w:color="auto" w:fill="FFFFFF"/>
            <w:vAlign w:val="center"/>
          </w:tcPr>
          <w:p>
            <w:pPr>
              <w:spacing w:line="320" w:lineRule="exact"/>
              <w:rPr>
                <w:rFonts w:ascii="仿宋_GB2312" w:eastAsia="仿宋_GB2312"/>
                <w:szCs w:val="21"/>
              </w:rPr>
            </w:pPr>
            <w:r>
              <w:rPr>
                <w:rFonts w:hint="eastAsia" w:ascii="仿宋_GB2312" w:eastAsia="仿宋_GB2312"/>
                <w:szCs w:val="21"/>
              </w:rPr>
              <w:t>违反、处罚条款：《电力设施保护条例实施细则》第二十条第（一）项，责令改正；拒不改正的，处1000元以上10000元以下罚款。</w:t>
            </w:r>
          </w:p>
        </w:tc>
        <w:tc>
          <w:tcPr>
            <w:tcW w:w="905" w:type="dxa"/>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2000</w:t>
            </w:r>
          </w:p>
        </w:tc>
        <w:tc>
          <w:tcPr>
            <w:tcW w:w="769" w:type="dxa"/>
            <w:gridSpan w:val="4"/>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w:t>
            </w:r>
          </w:p>
        </w:tc>
        <w:tc>
          <w:tcPr>
            <w:tcW w:w="3600" w:type="dxa"/>
            <w:gridSpan w:val="7"/>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1.造成电能损失较大或者设施损坏的，系数2-3；2.造成事故的，系数4。</w:t>
            </w:r>
          </w:p>
        </w:tc>
        <w:tc>
          <w:tcPr>
            <w:tcW w:w="1740" w:type="dxa"/>
            <w:gridSpan w:val="2"/>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罚款数额＝2000×（1＋情节系数＋变量系数）</w:t>
            </w:r>
          </w:p>
        </w:tc>
        <w:tc>
          <w:tcPr>
            <w:tcW w:w="2415" w:type="dxa"/>
            <w:gridSpan w:val="7"/>
            <w:vMerge w:val="continue"/>
            <w:shd w:val="clear" w:color="auto" w:fill="FFFFFF"/>
            <w:vAlign w:val="center"/>
          </w:tcPr>
          <w:p>
            <w:pPr>
              <w:widowControl/>
              <w:autoSpaceDE w:val="0"/>
              <w:spacing w:line="32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4" w:hRule="atLeast"/>
          <w:jc w:val="center"/>
        </w:trPr>
        <w:tc>
          <w:tcPr>
            <w:tcW w:w="503" w:type="dxa"/>
            <w:gridSpan w:val="2"/>
            <w:tcBorders>
              <w:bottom w:val="single" w:color="auto" w:sz="4" w:space="0"/>
            </w:tcBorders>
            <w:shd w:val="clear" w:color="auto" w:fill="FFFFFF"/>
            <w:vAlign w:val="center"/>
          </w:tcPr>
          <w:p>
            <w:pPr>
              <w:spacing w:line="320" w:lineRule="exact"/>
              <w:jc w:val="left"/>
              <w:rPr>
                <w:rFonts w:ascii="仿宋_GB2312" w:eastAsia="仿宋_GB2312"/>
                <w:szCs w:val="21"/>
              </w:rPr>
            </w:pPr>
            <w:r>
              <w:rPr>
                <w:rFonts w:ascii="仿宋_GB2312" w:eastAsia="仿宋_GB2312"/>
                <w:szCs w:val="21"/>
              </w:rPr>
              <w:t>4</w:t>
            </w:r>
          </w:p>
        </w:tc>
        <w:tc>
          <w:tcPr>
            <w:tcW w:w="1274" w:type="dxa"/>
            <w:gridSpan w:val="3"/>
            <w:tcBorders>
              <w:bottom w:val="single" w:color="auto" w:sz="4" w:space="0"/>
            </w:tcBorders>
            <w:shd w:val="clear" w:color="auto" w:fill="FFFFFF"/>
            <w:vAlign w:val="center"/>
          </w:tcPr>
          <w:p>
            <w:pPr>
              <w:spacing w:line="320" w:lineRule="exact"/>
              <w:jc w:val="left"/>
              <w:rPr>
                <w:rFonts w:ascii="仿宋_GB2312" w:eastAsia="仿宋_GB2312"/>
                <w:szCs w:val="21"/>
              </w:rPr>
            </w:pPr>
            <w:r>
              <w:rPr>
                <w:rFonts w:hint="eastAsia" w:ascii="仿宋_GB2312" w:eastAsia="仿宋_GB2312"/>
                <w:szCs w:val="21"/>
              </w:rPr>
              <w:t>损坏、拆卸、盗窃使用中或备用塔材、导线等电力设施</w:t>
            </w:r>
          </w:p>
        </w:tc>
        <w:tc>
          <w:tcPr>
            <w:tcW w:w="4252" w:type="dxa"/>
            <w:gridSpan w:val="8"/>
            <w:tcBorders>
              <w:bottom w:val="single" w:color="auto" w:sz="4" w:space="0"/>
            </w:tcBorders>
            <w:shd w:val="clear" w:color="auto" w:fill="FFFFFF"/>
            <w:vAlign w:val="center"/>
          </w:tcPr>
          <w:p>
            <w:pPr>
              <w:spacing w:line="320" w:lineRule="exact"/>
              <w:rPr>
                <w:rFonts w:ascii="仿宋_GB2312" w:eastAsia="仿宋_GB2312"/>
                <w:szCs w:val="21"/>
              </w:rPr>
            </w:pPr>
            <w:r>
              <w:rPr>
                <w:rFonts w:hint="eastAsia" w:ascii="仿宋_GB2312" w:eastAsia="仿宋_GB2312"/>
                <w:szCs w:val="21"/>
              </w:rPr>
              <w:t>违反、处罚条款：《电力设施保护条例实施细则》第二十条第（二）项， 责令改正；拒不改正的，处1000元以上10000元以下罚款。</w:t>
            </w:r>
          </w:p>
        </w:tc>
        <w:tc>
          <w:tcPr>
            <w:tcW w:w="905" w:type="dxa"/>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2000</w:t>
            </w:r>
          </w:p>
        </w:tc>
        <w:tc>
          <w:tcPr>
            <w:tcW w:w="769" w:type="dxa"/>
            <w:gridSpan w:val="4"/>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w:t>
            </w:r>
          </w:p>
        </w:tc>
        <w:tc>
          <w:tcPr>
            <w:tcW w:w="3600" w:type="dxa"/>
            <w:gridSpan w:val="7"/>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1.损坏、拆卸、盗窃使用中的塔材、导线等电力设施或者造成电能损失较大的，系数2-3；2.造成事故的，系数4。</w:t>
            </w:r>
          </w:p>
        </w:tc>
        <w:tc>
          <w:tcPr>
            <w:tcW w:w="1740" w:type="dxa"/>
            <w:gridSpan w:val="2"/>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罚款数额＝2000×（1＋情节系数＋变量系数）</w:t>
            </w:r>
          </w:p>
        </w:tc>
        <w:tc>
          <w:tcPr>
            <w:tcW w:w="2415" w:type="dxa"/>
            <w:gridSpan w:val="7"/>
            <w:vMerge w:val="continue"/>
            <w:shd w:val="clear" w:color="auto" w:fill="FFFFFF"/>
            <w:vAlign w:val="center"/>
          </w:tcPr>
          <w:p>
            <w:pPr>
              <w:widowControl/>
              <w:autoSpaceDE w:val="0"/>
              <w:spacing w:line="32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9" w:hRule="atLeast"/>
          <w:jc w:val="center"/>
        </w:trPr>
        <w:tc>
          <w:tcPr>
            <w:tcW w:w="503" w:type="dxa"/>
            <w:gridSpan w:val="2"/>
            <w:tcBorders>
              <w:bottom w:val="single" w:color="auto" w:sz="4" w:space="0"/>
            </w:tcBorders>
            <w:shd w:val="clear" w:color="auto" w:fill="FFFFFF"/>
            <w:vAlign w:val="center"/>
          </w:tcPr>
          <w:p>
            <w:pPr>
              <w:spacing w:line="320" w:lineRule="exact"/>
              <w:jc w:val="left"/>
              <w:rPr>
                <w:rFonts w:ascii="仿宋_GB2312" w:eastAsia="仿宋_GB2312"/>
                <w:szCs w:val="21"/>
              </w:rPr>
            </w:pPr>
            <w:r>
              <w:rPr>
                <w:rFonts w:ascii="仿宋_GB2312" w:eastAsia="仿宋_GB2312"/>
                <w:szCs w:val="21"/>
              </w:rPr>
              <w:t>5</w:t>
            </w:r>
          </w:p>
        </w:tc>
        <w:tc>
          <w:tcPr>
            <w:tcW w:w="1274" w:type="dxa"/>
            <w:gridSpan w:val="3"/>
            <w:tcBorders>
              <w:bottom w:val="single" w:color="auto" w:sz="4" w:space="0"/>
            </w:tcBorders>
            <w:shd w:val="clear" w:color="auto" w:fill="FFFFFF"/>
            <w:vAlign w:val="center"/>
          </w:tcPr>
          <w:p>
            <w:pPr>
              <w:spacing w:line="320" w:lineRule="exact"/>
              <w:jc w:val="left"/>
              <w:rPr>
                <w:rFonts w:ascii="仿宋_GB2312" w:eastAsia="仿宋_GB2312"/>
                <w:szCs w:val="21"/>
              </w:rPr>
            </w:pPr>
            <w:r>
              <w:rPr>
                <w:rFonts w:hint="eastAsia" w:ascii="仿宋_GB2312" w:eastAsia="仿宋_GB2312"/>
                <w:szCs w:val="21"/>
              </w:rPr>
              <w:t>拆卸、盗窃使用中或备用变压器等电力设备</w:t>
            </w:r>
          </w:p>
        </w:tc>
        <w:tc>
          <w:tcPr>
            <w:tcW w:w="4252" w:type="dxa"/>
            <w:gridSpan w:val="8"/>
            <w:tcBorders>
              <w:bottom w:val="single" w:color="auto" w:sz="4" w:space="0"/>
            </w:tcBorders>
            <w:shd w:val="clear" w:color="auto" w:fill="FFFFFF"/>
            <w:vAlign w:val="center"/>
          </w:tcPr>
          <w:p>
            <w:pPr>
              <w:spacing w:line="320" w:lineRule="exact"/>
              <w:jc w:val="left"/>
              <w:rPr>
                <w:rFonts w:ascii="仿宋_GB2312" w:eastAsia="仿宋_GB2312"/>
                <w:szCs w:val="21"/>
              </w:rPr>
            </w:pPr>
            <w:r>
              <w:rPr>
                <w:rFonts w:hint="eastAsia" w:ascii="仿宋_GB2312" w:eastAsia="仿宋_GB2312"/>
                <w:szCs w:val="21"/>
              </w:rPr>
              <w:t>违反、处罚条款：《电力设施保护条例实施细则》第二十条第（三）项， 责令改正；拒不改正的，处1000元以上10000元以下罚款。</w:t>
            </w:r>
          </w:p>
        </w:tc>
        <w:tc>
          <w:tcPr>
            <w:tcW w:w="905" w:type="dxa"/>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2000</w:t>
            </w:r>
          </w:p>
        </w:tc>
        <w:tc>
          <w:tcPr>
            <w:tcW w:w="769" w:type="dxa"/>
            <w:gridSpan w:val="4"/>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w:t>
            </w:r>
          </w:p>
        </w:tc>
        <w:tc>
          <w:tcPr>
            <w:tcW w:w="3600" w:type="dxa"/>
            <w:gridSpan w:val="7"/>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1.拆卸、盗窃使用中变压器等电力设备或者造成电能损失较大的，系数2-3；2.造成事故的，系数4。</w:t>
            </w:r>
          </w:p>
        </w:tc>
        <w:tc>
          <w:tcPr>
            <w:tcW w:w="1740" w:type="dxa"/>
            <w:gridSpan w:val="2"/>
            <w:tcBorders>
              <w:bottom w:val="single" w:color="auto" w:sz="4" w:space="0"/>
            </w:tcBorders>
            <w:shd w:val="clear" w:color="auto" w:fill="FFFFFF"/>
            <w:vAlign w:val="center"/>
          </w:tcPr>
          <w:p>
            <w:pPr>
              <w:widowControl/>
              <w:spacing w:line="320" w:lineRule="exact"/>
              <w:rPr>
                <w:rFonts w:ascii="仿宋_GB2312" w:eastAsia="仿宋_GB2312"/>
                <w:szCs w:val="21"/>
              </w:rPr>
            </w:pPr>
            <w:r>
              <w:rPr>
                <w:rFonts w:hint="eastAsia" w:ascii="仿宋_GB2312" w:eastAsia="仿宋_GB2312"/>
                <w:szCs w:val="21"/>
              </w:rPr>
              <w:t>罚款数额＝2000×（1＋情节系数＋变量系数）</w:t>
            </w:r>
          </w:p>
        </w:tc>
        <w:tc>
          <w:tcPr>
            <w:tcW w:w="2415" w:type="dxa"/>
            <w:gridSpan w:val="7"/>
            <w:vMerge w:val="continue"/>
            <w:tcBorders>
              <w:bottom w:val="single" w:color="auto" w:sz="4" w:space="0"/>
            </w:tcBorders>
            <w:shd w:val="clear" w:color="auto" w:fill="FFFFFF"/>
            <w:vAlign w:val="center"/>
          </w:tcPr>
          <w:p>
            <w:pPr>
              <w:widowControl/>
              <w:autoSpaceDE w:val="0"/>
              <w:spacing w:line="32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8" w:hRule="atLeast"/>
          <w:jc w:val="center"/>
        </w:trPr>
        <w:tc>
          <w:tcPr>
            <w:tcW w:w="15458" w:type="dxa"/>
            <w:gridSpan w:val="34"/>
            <w:tcBorders>
              <w:bottom w:val="single" w:color="auto" w:sz="4" w:space="0"/>
            </w:tcBorders>
            <w:shd w:val="clear" w:color="auto" w:fill="FFFFFF"/>
            <w:vAlign w:val="center"/>
          </w:tcPr>
          <w:p>
            <w:pPr>
              <w:pStyle w:val="3"/>
            </w:pPr>
            <w:bookmarkStart w:id="74" w:name="_Toc39911727"/>
            <w:r>
              <w:rPr>
                <w:rFonts w:hint="eastAsia"/>
              </w:rPr>
              <w:t>《供用电监督管理办法》案由1项</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1" w:hRule="atLeast"/>
          <w:jc w:val="center"/>
        </w:trPr>
        <w:tc>
          <w:tcPr>
            <w:tcW w:w="503" w:type="dxa"/>
            <w:gridSpan w:val="2"/>
            <w:vMerge w:val="restart"/>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1</w:t>
            </w:r>
          </w:p>
        </w:tc>
        <w:tc>
          <w:tcPr>
            <w:tcW w:w="1201" w:type="dxa"/>
            <w:gridSpan w:val="2"/>
            <w:vMerge w:val="restart"/>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危害供电、用电安全，扰乱正常供电、用电秩序</w:t>
            </w: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违反、处罚条款：《供用电监督管理办法》第二十八条第（一）项，擅自改变用电类别的，责令改正，给予警告；再次发生的，可下达中止供电命令，并处以一万元以下的罚款。</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5" w:hRule="atLeast"/>
          <w:jc w:val="center"/>
        </w:trPr>
        <w:tc>
          <w:tcPr>
            <w:tcW w:w="503" w:type="dxa"/>
            <w:gridSpan w:val="2"/>
            <w:vMerge w:val="continue"/>
            <w:shd w:val="clear" w:color="auto" w:fill="FFFFFF"/>
            <w:vAlign w:val="center"/>
          </w:tcPr>
          <w:p>
            <w:pPr>
              <w:spacing w:line="360" w:lineRule="exact"/>
              <w:jc w:val="left"/>
              <w:rPr>
                <w:rFonts w:ascii="仿宋_GB2312" w:eastAsia="仿宋_GB2312"/>
                <w:szCs w:val="21"/>
              </w:rPr>
            </w:pPr>
          </w:p>
        </w:tc>
        <w:tc>
          <w:tcPr>
            <w:tcW w:w="1201" w:type="dxa"/>
            <w:gridSpan w:val="2"/>
            <w:vMerge w:val="continue"/>
            <w:shd w:val="clear" w:color="auto" w:fill="FFFFFF"/>
            <w:vAlign w:val="center"/>
          </w:tcPr>
          <w:p>
            <w:pPr>
              <w:spacing w:line="360" w:lineRule="exact"/>
              <w:jc w:val="left"/>
              <w:rPr>
                <w:rFonts w:ascii="仿宋_GB2312" w:eastAsia="仿宋_GB2312"/>
                <w:szCs w:val="21"/>
              </w:rPr>
            </w:pP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6" w:hRule="atLeast"/>
          <w:jc w:val="center"/>
        </w:trPr>
        <w:tc>
          <w:tcPr>
            <w:tcW w:w="503" w:type="dxa"/>
            <w:gridSpan w:val="2"/>
            <w:vMerge w:val="continue"/>
            <w:shd w:val="clear" w:color="auto" w:fill="FFFFFF"/>
            <w:vAlign w:val="center"/>
          </w:tcPr>
          <w:p>
            <w:pPr>
              <w:spacing w:line="360" w:lineRule="exact"/>
              <w:jc w:val="left"/>
              <w:rPr>
                <w:rFonts w:ascii="仿宋_GB2312" w:eastAsia="仿宋_GB2312"/>
                <w:szCs w:val="21"/>
              </w:rPr>
            </w:pPr>
          </w:p>
        </w:tc>
        <w:tc>
          <w:tcPr>
            <w:tcW w:w="1201" w:type="dxa"/>
            <w:gridSpan w:val="2"/>
            <w:vMerge w:val="continue"/>
            <w:shd w:val="clear" w:color="auto" w:fill="FFFFFF"/>
            <w:vAlign w:val="center"/>
          </w:tcPr>
          <w:p>
            <w:pPr>
              <w:spacing w:line="360" w:lineRule="exact"/>
              <w:jc w:val="left"/>
              <w:rPr>
                <w:rFonts w:ascii="仿宋_GB2312" w:eastAsia="仿宋_GB2312"/>
                <w:szCs w:val="21"/>
              </w:rPr>
            </w:pP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6" w:hRule="atLeast"/>
          <w:jc w:val="center"/>
        </w:trPr>
        <w:tc>
          <w:tcPr>
            <w:tcW w:w="503" w:type="dxa"/>
            <w:gridSpan w:val="2"/>
            <w:vMerge w:val="continue"/>
            <w:shd w:val="clear" w:color="auto" w:fill="FFFFFF"/>
            <w:vAlign w:val="center"/>
          </w:tcPr>
          <w:p>
            <w:pPr>
              <w:spacing w:line="360" w:lineRule="exact"/>
              <w:jc w:val="left"/>
              <w:rPr>
                <w:rFonts w:ascii="仿宋_GB2312" w:eastAsia="仿宋_GB2312"/>
                <w:szCs w:val="21"/>
              </w:rPr>
            </w:pPr>
          </w:p>
        </w:tc>
        <w:tc>
          <w:tcPr>
            <w:tcW w:w="1201" w:type="dxa"/>
            <w:gridSpan w:val="2"/>
            <w:vMerge w:val="continue"/>
            <w:shd w:val="clear" w:color="auto" w:fill="FFFFFF"/>
            <w:vAlign w:val="center"/>
          </w:tcPr>
          <w:p>
            <w:pPr>
              <w:spacing w:line="360" w:lineRule="exact"/>
              <w:jc w:val="left"/>
              <w:rPr>
                <w:rFonts w:ascii="仿宋_GB2312" w:eastAsia="仿宋_GB2312"/>
                <w:szCs w:val="21"/>
              </w:rPr>
            </w:pP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6" w:hRule="atLeast"/>
          <w:jc w:val="center"/>
        </w:trPr>
        <w:tc>
          <w:tcPr>
            <w:tcW w:w="503" w:type="dxa"/>
            <w:gridSpan w:val="2"/>
            <w:vMerge w:val="continue"/>
            <w:shd w:val="clear" w:color="auto" w:fill="FFFFFF"/>
            <w:vAlign w:val="center"/>
          </w:tcPr>
          <w:p>
            <w:pPr>
              <w:spacing w:line="360" w:lineRule="exact"/>
              <w:jc w:val="left"/>
              <w:rPr>
                <w:rFonts w:ascii="仿宋_GB2312" w:eastAsia="仿宋_GB2312"/>
                <w:szCs w:val="21"/>
              </w:rPr>
            </w:pPr>
          </w:p>
        </w:tc>
        <w:tc>
          <w:tcPr>
            <w:tcW w:w="1201" w:type="dxa"/>
            <w:gridSpan w:val="2"/>
            <w:vMerge w:val="continue"/>
            <w:shd w:val="clear" w:color="auto" w:fill="FFFFFF"/>
            <w:vAlign w:val="center"/>
          </w:tcPr>
          <w:p>
            <w:pPr>
              <w:spacing w:line="360" w:lineRule="exact"/>
              <w:jc w:val="left"/>
              <w:rPr>
                <w:rFonts w:ascii="仿宋_GB2312" w:eastAsia="仿宋_GB2312"/>
                <w:szCs w:val="21"/>
              </w:rPr>
            </w:pP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2" w:hRule="atLeast"/>
          <w:jc w:val="center"/>
        </w:trPr>
        <w:tc>
          <w:tcPr>
            <w:tcW w:w="503" w:type="dxa"/>
            <w:gridSpan w:val="2"/>
            <w:vMerge w:val="continue"/>
            <w:tcBorders>
              <w:bottom w:val="single" w:color="auto" w:sz="4" w:space="0"/>
            </w:tcBorders>
            <w:shd w:val="clear" w:color="auto" w:fill="FFFFFF"/>
            <w:vAlign w:val="center"/>
          </w:tcPr>
          <w:p>
            <w:pPr>
              <w:spacing w:line="360" w:lineRule="exact"/>
              <w:jc w:val="left"/>
              <w:rPr>
                <w:rFonts w:ascii="仿宋_GB2312" w:eastAsia="仿宋_GB2312"/>
                <w:szCs w:val="21"/>
              </w:rPr>
            </w:pPr>
          </w:p>
        </w:tc>
        <w:tc>
          <w:tcPr>
            <w:tcW w:w="1201" w:type="dxa"/>
            <w:gridSpan w:val="2"/>
            <w:vMerge w:val="continue"/>
            <w:tcBorders>
              <w:bottom w:val="single" w:color="auto" w:sz="4" w:space="0"/>
            </w:tcBorders>
            <w:shd w:val="clear" w:color="auto" w:fill="FFFFFF"/>
            <w:vAlign w:val="center"/>
          </w:tcPr>
          <w:p>
            <w:pPr>
              <w:spacing w:line="360" w:lineRule="exact"/>
              <w:jc w:val="left"/>
              <w:rPr>
                <w:rFonts w:ascii="仿宋_GB2312" w:eastAsia="仿宋_GB2312"/>
                <w:szCs w:val="21"/>
              </w:rPr>
            </w:pPr>
          </w:p>
        </w:tc>
        <w:tc>
          <w:tcPr>
            <w:tcW w:w="11339" w:type="dxa"/>
            <w:gridSpan w:val="23"/>
            <w:tcBorders>
              <w:bottom w:val="single" w:color="auto" w:sz="4" w:space="0"/>
            </w:tcBorders>
            <w:shd w:val="clear" w:color="auto" w:fill="FFFFFF"/>
            <w:vAlign w:val="center"/>
          </w:tcPr>
          <w:p>
            <w:pPr>
              <w:widowControl/>
              <w:autoSpaceDE w:val="0"/>
              <w:spacing w:line="360" w:lineRule="exact"/>
              <w:rPr>
                <w:rFonts w:ascii="仿宋_GB2312" w:eastAsia="仿宋_GB2312"/>
                <w:szCs w:val="21"/>
              </w:rPr>
            </w:pPr>
            <w:r>
              <w:rPr>
                <w:rFonts w:hint="eastAsia" w:ascii="仿宋_GB2312" w:eastAsia="仿宋_GB2312"/>
                <w:szCs w:val="21"/>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2415" w:type="dxa"/>
            <w:gridSpan w:val="7"/>
            <w:tcBorders>
              <w:bottom w:val="single" w:color="auto" w:sz="4" w:space="0"/>
            </w:tcBorders>
            <w:shd w:val="clear" w:color="auto" w:fill="FFFFFF"/>
            <w:vAlign w:val="center"/>
          </w:tcPr>
          <w:p>
            <w:pPr>
              <w:spacing w:line="360" w:lineRule="exact"/>
              <w:jc w:val="left"/>
              <w:rPr>
                <w:rFonts w:ascii="仿宋_GB2312" w:eastAsia="仿宋_GB2312"/>
                <w:szCs w:val="21"/>
              </w:rPr>
            </w:pPr>
            <w:r>
              <w:rPr>
                <w:rFonts w:hint="eastAsia" w:ascii="仿宋_GB2312" w:eastAsia="仿宋_GB2312"/>
                <w:szCs w:val="21"/>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6" w:hRule="atLeast"/>
          <w:jc w:val="center"/>
        </w:trPr>
        <w:tc>
          <w:tcPr>
            <w:tcW w:w="15458" w:type="dxa"/>
            <w:gridSpan w:val="34"/>
            <w:shd w:val="clear" w:color="auto" w:fill="auto"/>
            <w:vAlign w:val="center"/>
          </w:tcPr>
          <w:p>
            <w:pPr>
              <w:widowControl/>
              <w:spacing w:line="0" w:lineRule="atLeast"/>
              <w:rPr>
                <w:rFonts w:ascii="楷体_GB2312" w:eastAsia="楷体_GB2312"/>
                <w:b/>
                <w:kern w:val="0"/>
                <w:sz w:val="32"/>
                <w:szCs w:val="32"/>
              </w:rPr>
            </w:pPr>
            <w:r>
              <w:rPr>
                <w:rFonts w:hint="eastAsia" w:ascii="楷体_GB2312" w:eastAsia="楷体_GB2312"/>
                <w:b/>
                <w:kern w:val="0"/>
                <w:sz w:val="32"/>
                <w:szCs w:val="32"/>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2" w:hRule="atLeast"/>
          <w:jc w:val="center"/>
        </w:trPr>
        <w:tc>
          <w:tcPr>
            <w:tcW w:w="13117" w:type="dxa"/>
            <w:gridSpan w:val="29"/>
            <w:shd w:val="clear" w:color="auto" w:fill="auto"/>
            <w:vAlign w:val="center"/>
          </w:tcPr>
          <w:p>
            <w:pPr>
              <w:pStyle w:val="3"/>
            </w:pPr>
            <w:bookmarkStart w:id="75" w:name="_Toc39911728"/>
            <w:r>
              <w:rPr>
                <w:rFonts w:hint="eastAsia"/>
              </w:rPr>
              <w:t>《中华人民共和国石油天然气管道保护法》案由22项</w:t>
            </w:r>
            <w:bookmarkEnd w:id="75"/>
            <w:r>
              <w:rPr>
                <w:rFonts w:hint="eastAsia"/>
              </w:rPr>
              <w:t xml:space="preserve"> </w:t>
            </w:r>
          </w:p>
        </w:tc>
        <w:tc>
          <w:tcPr>
            <w:tcW w:w="2341" w:type="dxa"/>
            <w:gridSpan w:val="5"/>
            <w:shd w:val="clear" w:color="auto" w:fill="auto"/>
            <w:vAlign w:val="center"/>
          </w:tcPr>
          <w:p>
            <w:r>
              <w:rPr>
                <w:rFonts w:hint="eastAsia"/>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78" w:hRule="atLeast"/>
          <w:jc w:val="center"/>
        </w:trPr>
        <w:tc>
          <w:tcPr>
            <w:tcW w:w="503"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1201"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未依法对管道进行巡护、检测和维修</w:t>
            </w:r>
          </w:p>
        </w:tc>
        <w:tc>
          <w:tcPr>
            <w:tcW w:w="4325" w:type="dxa"/>
            <w:gridSpan w:val="9"/>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违反条款：第二十二条或第二十三条第一款；处罚条款：第五十条第一款第（一）项，责令限期改正；逾期不改正的，处二万元以上十万元以下的罚款。</w:t>
            </w:r>
          </w:p>
        </w:tc>
        <w:tc>
          <w:tcPr>
            <w:tcW w:w="918"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1.未建立巡护制度的，系数2；2.未配备专人进行日常巡护的，系数2；3.未定期对管道风险比较大的区段和场所进行重点监测采取有效措施的，系数2；4.造成事故或者其它严重后果的，系数4。</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restart"/>
            <w:shd w:val="clear" w:color="auto" w:fill="auto"/>
            <w:vAlign w:val="center"/>
          </w:tcPr>
          <w:p>
            <w:pPr>
              <w:widowControl/>
              <w:autoSpaceDE w:val="0"/>
              <w:spacing w:line="360" w:lineRule="exact"/>
              <w:rPr>
                <w:rFonts w:ascii="仿宋_GB2312" w:eastAsia="仿宋_GB2312"/>
                <w:szCs w:val="21"/>
              </w:rPr>
            </w:pPr>
            <w:r>
              <w:rPr>
                <w:rFonts w:hint="eastAsia" w:ascii="仿宋_GB2312" w:eastAsia="仿宋_GB2312"/>
                <w:szCs w:val="21"/>
              </w:rPr>
              <w:t>逾期不改正的情形，不记入情节系数。</w:t>
            </w:r>
          </w:p>
          <w:p>
            <w:pPr>
              <w:widowControl/>
              <w:autoSpaceDE w:val="0"/>
              <w:spacing w:line="360" w:lineRule="exact"/>
              <w:rPr>
                <w:rFonts w:ascii="仿宋_GB2312" w:eastAsia="仿宋_GB2312"/>
                <w:szCs w:val="21"/>
              </w:rPr>
            </w:pPr>
          </w:p>
          <w:p>
            <w:pPr>
              <w:rPr>
                <w:rFonts w:ascii="仿宋_GB2312" w:hAnsi="宋体" w:eastAsia="仿宋_GB2312" w:cs="宋体"/>
                <w:kern w:val="0"/>
                <w:szCs w:val="21"/>
              </w:rPr>
            </w:pPr>
            <w:r>
              <w:rPr>
                <w:rFonts w:hint="eastAsia" w:ascii="仿宋_GB2312" w:eastAsia="仿宋_GB2312"/>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2" w:hRule="atLeast"/>
          <w:jc w:val="center"/>
        </w:trPr>
        <w:tc>
          <w:tcPr>
            <w:tcW w:w="503"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2</w:t>
            </w:r>
          </w:p>
        </w:tc>
        <w:tc>
          <w:tcPr>
            <w:tcW w:w="1201"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不符合安全使用条件的管道未及时更新、改造或者停止使用</w:t>
            </w:r>
          </w:p>
        </w:tc>
        <w:tc>
          <w:tcPr>
            <w:tcW w:w="4325" w:type="dxa"/>
            <w:gridSpan w:val="9"/>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违反条款：第二十三条第二款；处罚条款：第五十条第一款第（二）项，责令限期改正；逾期不改正的，处二万元以上十万元以下的罚款。</w:t>
            </w:r>
          </w:p>
        </w:tc>
        <w:tc>
          <w:tcPr>
            <w:tcW w:w="918"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1.未采取任何措施继续使用，存在较大隐患的，系数2-3；2.造成事故或者其它严重后果的，系数4。</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continue"/>
            <w:shd w:val="clear" w:color="auto" w:fill="auto"/>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67" w:hRule="atLeast"/>
          <w:jc w:val="center"/>
        </w:trPr>
        <w:tc>
          <w:tcPr>
            <w:tcW w:w="503"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3</w:t>
            </w:r>
          </w:p>
        </w:tc>
        <w:tc>
          <w:tcPr>
            <w:tcW w:w="1201"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未按规定设置、修复或者更新管道标志</w:t>
            </w:r>
          </w:p>
        </w:tc>
        <w:tc>
          <w:tcPr>
            <w:tcW w:w="4325" w:type="dxa"/>
            <w:gridSpan w:val="9"/>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违反条款：第十八条；处罚条款：第五十条第一款第（三）项，责令限期改正；逾期不改正的，处二万元以上十万元以下的罚款。</w:t>
            </w:r>
          </w:p>
        </w:tc>
        <w:tc>
          <w:tcPr>
            <w:tcW w:w="918"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1.未依法设置或者未修复更新，存在较大隐患的，系数1-3；2.造成事故或者其它严重后果的，系数4。</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restart"/>
            <w:shd w:val="clear" w:color="auto" w:fill="auto"/>
            <w:vAlign w:val="center"/>
          </w:tcPr>
          <w:p>
            <w:pPr>
              <w:widowControl/>
              <w:autoSpaceDE w:val="0"/>
              <w:spacing w:line="360" w:lineRule="exact"/>
              <w:rPr>
                <w:rFonts w:ascii="仿宋_GB2312" w:eastAsia="仿宋_GB2312"/>
                <w:szCs w:val="21"/>
              </w:rPr>
            </w:pPr>
            <w:r>
              <w:rPr>
                <w:rFonts w:hint="eastAsia" w:ascii="仿宋_GB2312" w:eastAsia="仿宋_GB2312"/>
                <w:szCs w:val="21"/>
              </w:rPr>
              <w:t>逾期不改正的情形，不记入情节系数。</w:t>
            </w:r>
          </w:p>
          <w:p>
            <w:pPr>
              <w:widowControl/>
              <w:autoSpaceDE w:val="0"/>
              <w:spacing w:line="360" w:lineRule="exact"/>
              <w:rPr>
                <w:rFonts w:ascii="仿宋_GB2312" w:eastAsia="仿宋_GB2312"/>
                <w:szCs w:val="21"/>
              </w:rPr>
            </w:pPr>
          </w:p>
          <w:p>
            <w:pPr>
              <w:rPr>
                <w:rFonts w:ascii="仿宋_GB2312" w:hAnsi="宋体" w:eastAsia="仿宋_GB2312" w:cs="宋体"/>
                <w:kern w:val="0"/>
                <w:szCs w:val="21"/>
              </w:rPr>
            </w:pPr>
            <w:r>
              <w:rPr>
                <w:rFonts w:hint="eastAsia" w:ascii="仿宋_GB2312" w:eastAsia="仿宋_GB2312"/>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1" w:hRule="atLeast"/>
          <w:jc w:val="center"/>
        </w:trPr>
        <w:tc>
          <w:tcPr>
            <w:tcW w:w="503"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4</w:t>
            </w:r>
          </w:p>
        </w:tc>
        <w:tc>
          <w:tcPr>
            <w:tcW w:w="1201"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未按规定将管道竣工测量图报送备案</w:t>
            </w:r>
          </w:p>
        </w:tc>
        <w:tc>
          <w:tcPr>
            <w:tcW w:w="4325" w:type="dxa"/>
            <w:gridSpan w:val="9"/>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违反条款：第二十条；第五十条第一款第（四）项，责令限期改正；逾期不改正的，处二万元以上十万元以下的罚款。</w:t>
            </w:r>
          </w:p>
        </w:tc>
        <w:tc>
          <w:tcPr>
            <w:tcW w:w="918"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1.未报送备案，逾期6-10日，系数1，逾期11-15日，系数2，以此类推；2.造成事故或者其它严重后果的，系数4。</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continue"/>
            <w:shd w:val="clear" w:color="auto" w:fill="auto"/>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1" w:hRule="atLeast"/>
          <w:jc w:val="center"/>
        </w:trPr>
        <w:tc>
          <w:tcPr>
            <w:tcW w:w="503"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5</w:t>
            </w:r>
          </w:p>
        </w:tc>
        <w:tc>
          <w:tcPr>
            <w:tcW w:w="1201" w:type="dxa"/>
            <w:gridSpan w:val="2"/>
            <w:shd w:val="clear" w:color="auto" w:fill="FFFFFF"/>
            <w:vAlign w:val="center"/>
          </w:tcPr>
          <w:p>
            <w:pPr>
              <w:rPr>
                <w:rFonts w:ascii="仿宋_GB2312" w:hAnsi="宋体" w:eastAsia="仿宋_GB2312" w:cs="宋体"/>
                <w:kern w:val="0"/>
                <w:szCs w:val="21"/>
              </w:rPr>
            </w:pPr>
            <w:r>
              <w:rPr>
                <w:rFonts w:hint="eastAsia" w:ascii="仿宋_GB2312" w:hAnsi="宋体" w:eastAsia="仿宋_GB2312" w:cs="宋体"/>
                <w:kern w:val="0"/>
                <w:szCs w:val="21"/>
              </w:rPr>
              <w:t>未制定管道事故应急预案或者未将应急预案报送备案</w:t>
            </w:r>
          </w:p>
        </w:tc>
        <w:tc>
          <w:tcPr>
            <w:tcW w:w="4325" w:type="dxa"/>
            <w:gridSpan w:val="9"/>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违反条款：第三十九条第一款；处罚条款：第五十条第一款第（五）项，责令限期改正；逾期不改正的，处二万元以上十万元以下的罚款。</w:t>
            </w:r>
          </w:p>
        </w:tc>
        <w:tc>
          <w:tcPr>
            <w:tcW w:w="918"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1.未制定预案的，系数2；2.造成事故或者其它严重后果的，系数4。</w:t>
            </w:r>
          </w:p>
        </w:tc>
        <w:tc>
          <w:tcPr>
            <w:tcW w:w="1740" w:type="dxa"/>
            <w:gridSpan w:val="2"/>
            <w:shd w:val="clear" w:color="auto" w:fill="auto"/>
            <w:vAlign w:val="center"/>
          </w:tcPr>
          <w:p>
            <w:pPr>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continue"/>
            <w:shd w:val="clear" w:color="auto" w:fill="auto"/>
            <w:vAlign w:val="center"/>
          </w:tcPr>
          <w:p>
            <w:pP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17" w:hRule="atLeast"/>
          <w:jc w:val="center"/>
        </w:trPr>
        <w:tc>
          <w:tcPr>
            <w:tcW w:w="503" w:type="dxa"/>
            <w:gridSpan w:val="2"/>
            <w:shd w:val="clear" w:color="auto" w:fill="FFFFFF"/>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6</w:t>
            </w:r>
          </w:p>
        </w:tc>
        <w:tc>
          <w:tcPr>
            <w:tcW w:w="1201" w:type="dxa"/>
            <w:gridSpan w:val="2"/>
            <w:shd w:val="clear" w:color="auto" w:fill="FFFFFF"/>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未采取有效措施消除或者减轻管道事故危害</w:t>
            </w:r>
          </w:p>
        </w:tc>
        <w:tc>
          <w:tcPr>
            <w:tcW w:w="4325" w:type="dxa"/>
            <w:gridSpan w:val="9"/>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违反条款：第三十九条第二款；处罚条款：第五十条第一款第（六）项，责令限期改正；逾期不改正的，处二万元以上十万元以下的罚款。</w:t>
            </w:r>
          </w:p>
        </w:tc>
        <w:tc>
          <w:tcPr>
            <w:tcW w:w="918"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1.启动应急预案迟缓的，系数2；2.措施明显失当的，系数2；3.造成事故危害扩大的，系数4。</w:t>
            </w:r>
          </w:p>
        </w:tc>
        <w:tc>
          <w:tcPr>
            <w:tcW w:w="1740"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restart"/>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逾期不改正的情形，不记入情节系数。</w:t>
            </w:r>
          </w:p>
          <w:p>
            <w:pPr>
              <w:widowControl/>
              <w:autoSpaceDE w:val="0"/>
              <w:spacing w:line="320" w:lineRule="exact"/>
              <w:rPr>
                <w:rFonts w:ascii="仿宋_GB2312" w:hAnsi="宋体" w:eastAsia="仿宋_GB2312" w:cs="宋体"/>
                <w:kern w:val="0"/>
                <w:szCs w:val="21"/>
              </w:rPr>
            </w:pPr>
          </w:p>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需要作出其它额度处罚的，报案审会讨论决定。</w:t>
            </w:r>
          </w:p>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逾期不改正的情形，不记入情节系数。</w:t>
            </w:r>
          </w:p>
          <w:p>
            <w:pPr>
              <w:widowControl/>
              <w:autoSpaceDE w:val="0"/>
              <w:spacing w:line="320" w:lineRule="exact"/>
              <w:rPr>
                <w:rFonts w:ascii="仿宋_GB2312" w:hAnsi="宋体" w:eastAsia="仿宋_GB2312" w:cs="宋体"/>
                <w:kern w:val="0"/>
                <w:szCs w:val="21"/>
              </w:rPr>
            </w:pPr>
          </w:p>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需要作出其它额度处罚的，报案审会讨论决定。</w:t>
            </w:r>
          </w:p>
          <w:p>
            <w:pPr>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17" w:hRule="atLeast"/>
          <w:jc w:val="center"/>
        </w:trPr>
        <w:tc>
          <w:tcPr>
            <w:tcW w:w="503" w:type="dxa"/>
            <w:gridSpan w:val="2"/>
            <w:shd w:val="clear" w:color="auto" w:fill="FFFFFF"/>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7</w:t>
            </w:r>
          </w:p>
        </w:tc>
        <w:tc>
          <w:tcPr>
            <w:tcW w:w="1201" w:type="dxa"/>
            <w:gridSpan w:val="2"/>
            <w:shd w:val="clear" w:color="auto" w:fill="FFFFFF"/>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未对停止运行、封存、报废的管道采取必要的安全防护措施</w:t>
            </w:r>
          </w:p>
        </w:tc>
        <w:tc>
          <w:tcPr>
            <w:tcW w:w="4325" w:type="dxa"/>
            <w:gridSpan w:val="9"/>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违反条款：第四十二条；处罚条款：第五十条第一款第（七）项，责令限期改正；逾期不改正的，处二万元以上十万元以下的罚款。</w:t>
            </w:r>
          </w:p>
        </w:tc>
        <w:tc>
          <w:tcPr>
            <w:tcW w:w="918"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20000</w:t>
            </w:r>
          </w:p>
        </w:tc>
        <w:tc>
          <w:tcPr>
            <w:tcW w:w="756" w:type="dxa"/>
            <w:gridSpan w:val="3"/>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1.未采取任何安全防护措施的，系数2；2.致使事故或者其它严重后果的，系数4。</w:t>
            </w:r>
          </w:p>
        </w:tc>
        <w:tc>
          <w:tcPr>
            <w:tcW w:w="1740"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罚款数额＝20000×（1＋情节系数＋变量系数）</w:t>
            </w:r>
          </w:p>
        </w:tc>
        <w:tc>
          <w:tcPr>
            <w:tcW w:w="2415" w:type="dxa"/>
            <w:gridSpan w:val="7"/>
            <w:vMerge w:val="continue"/>
            <w:shd w:val="clear" w:color="auto" w:fill="auto"/>
            <w:vAlign w:val="center"/>
          </w:tcPr>
          <w:p>
            <w:pPr>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 w:hRule="atLeast"/>
          <w:jc w:val="center"/>
        </w:trPr>
        <w:tc>
          <w:tcPr>
            <w:tcW w:w="503" w:type="dxa"/>
            <w:gridSpan w:val="2"/>
            <w:vMerge w:val="restart"/>
            <w:shd w:val="clear" w:color="auto" w:fill="FFFFFF"/>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8</w:t>
            </w:r>
          </w:p>
        </w:tc>
        <w:tc>
          <w:tcPr>
            <w:tcW w:w="1201" w:type="dxa"/>
            <w:gridSpan w:val="2"/>
            <w:vMerge w:val="restart"/>
            <w:shd w:val="clear" w:color="auto" w:fill="auto"/>
            <w:vAlign w:val="center"/>
          </w:tcPr>
          <w:p>
            <w:pPr>
              <w:rPr>
                <w:rFonts w:ascii="仿宋_GB2312" w:hAnsi="宋体" w:eastAsia="仿宋_GB2312" w:cs="宋体"/>
                <w:kern w:val="0"/>
                <w:sz w:val="18"/>
                <w:szCs w:val="18"/>
              </w:rPr>
            </w:pPr>
            <w:r>
              <w:rPr>
                <w:rFonts w:hint="eastAsia" w:ascii="仿宋_GB2312" w:hAnsi="宋体" w:eastAsia="仿宋_GB2312" w:cs="宋体"/>
                <w:kern w:val="0"/>
                <w:sz w:val="18"/>
                <w:szCs w:val="18"/>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4325" w:type="dxa"/>
            <w:gridSpan w:val="9"/>
            <w:vMerge w:val="restart"/>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违反条款：第二十九条；处罚条款：第五十二条，责令停止违法行为；情节较重的，对单位处一万元以上十万元以下的罚款，对个人处二百元以上二千元以下的罚款。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32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restart"/>
            <w:shd w:val="clear" w:color="auto" w:fill="auto"/>
            <w:vAlign w:val="center"/>
          </w:tcPr>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拒不停止或不改正的，视为“情节较重”。</w:t>
            </w:r>
          </w:p>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对单位需要作出其它额度处罚的，报案审会讨论决定；</w:t>
            </w:r>
          </w:p>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8" w:hRule="atLeast"/>
          <w:jc w:val="center"/>
        </w:trPr>
        <w:tc>
          <w:tcPr>
            <w:tcW w:w="503" w:type="dxa"/>
            <w:gridSpan w:val="2"/>
            <w:vMerge w:val="continue"/>
            <w:shd w:val="clear" w:color="auto" w:fill="FFFFFF"/>
            <w:vAlign w:val="center"/>
          </w:tcPr>
          <w:p>
            <w:pPr>
              <w:spacing w:line="320" w:lineRule="exac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 w:val="18"/>
                <w:szCs w:val="18"/>
              </w:rPr>
            </w:pPr>
          </w:p>
        </w:tc>
        <w:tc>
          <w:tcPr>
            <w:tcW w:w="4325" w:type="dxa"/>
            <w:gridSpan w:val="9"/>
            <w:vMerge w:val="continue"/>
            <w:shd w:val="clear" w:color="auto" w:fill="auto"/>
            <w:vAlign w:val="center"/>
          </w:tcPr>
          <w:p>
            <w:pPr>
              <w:pStyle w:val="17"/>
              <w:shd w:val="clear" w:color="auto" w:fill="FFFFFF"/>
              <w:spacing w:before="0" w:beforeAutospacing="0" w:after="0" w:afterAutospacing="0" w:line="320" w:lineRule="exact"/>
              <w:rPr>
                <w:rFonts w:ascii="仿宋_GB2312" w:eastAsia="仿宋_GB2312"/>
                <w:color w:val="auto"/>
                <w:sz w:val="21"/>
                <w:szCs w:val="21"/>
              </w:rPr>
            </w:pPr>
          </w:p>
        </w:tc>
        <w:tc>
          <w:tcPr>
            <w:tcW w:w="918" w:type="dxa"/>
            <w:gridSpan w:val="2"/>
            <w:shd w:val="clear" w:color="auto" w:fill="auto"/>
            <w:vAlign w:val="center"/>
          </w:tcPr>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spacing w:line="32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32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320" w:lineRule="exac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widowControl/>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widowControl/>
              <w:spacing w:line="32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9" w:hRule="atLeast"/>
          <w:jc w:val="center"/>
        </w:trPr>
        <w:tc>
          <w:tcPr>
            <w:tcW w:w="503" w:type="dxa"/>
            <w:gridSpan w:val="2"/>
            <w:vMerge w:val="restart"/>
            <w:shd w:val="clear" w:color="auto" w:fill="FFFFFF"/>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9</w:t>
            </w:r>
          </w:p>
        </w:tc>
        <w:tc>
          <w:tcPr>
            <w:tcW w:w="1201" w:type="dxa"/>
            <w:gridSpan w:val="2"/>
            <w:vMerge w:val="restart"/>
            <w:shd w:val="clear" w:color="auto" w:fill="auto"/>
            <w:vAlign w:val="center"/>
          </w:tcPr>
          <w:p>
            <w:pPr>
              <w:rPr>
                <w:rFonts w:ascii="仿宋_GB2312" w:hAnsi="宋体" w:eastAsia="仿宋_GB2312" w:cs="宋体"/>
                <w:kern w:val="0"/>
                <w:sz w:val="18"/>
                <w:szCs w:val="18"/>
              </w:rPr>
            </w:pPr>
            <w:r>
              <w:rPr>
                <w:rFonts w:hint="eastAsia" w:ascii="仿宋_GB2312" w:hAnsi="宋体" w:eastAsia="仿宋_GB2312" w:cs="宋体"/>
                <w:kern w:val="0"/>
                <w:sz w:val="18"/>
                <w:szCs w:val="18"/>
              </w:rPr>
              <w:t>在管道线路中心线两侧各五米地域范围内种植可能损坏管道防腐层的深根植物</w:t>
            </w:r>
          </w:p>
        </w:tc>
        <w:tc>
          <w:tcPr>
            <w:tcW w:w="4325" w:type="dxa"/>
            <w:gridSpan w:val="9"/>
            <w:vMerge w:val="restart"/>
            <w:shd w:val="clear" w:color="auto" w:fill="auto"/>
            <w:vAlign w:val="center"/>
          </w:tcPr>
          <w:p>
            <w:pPr>
              <w:spacing w:line="400" w:lineRule="exact"/>
              <w:rPr>
                <w:rFonts w:ascii="仿宋_GB2312" w:eastAsia="仿宋_GB2312"/>
                <w:szCs w:val="21"/>
              </w:rPr>
            </w:pPr>
            <w:r>
              <w:rPr>
                <w:rFonts w:hint="eastAsia" w:ascii="仿宋_GB2312" w:eastAsia="仿宋_GB2312"/>
                <w:szCs w:val="21"/>
              </w:rPr>
              <w:t>违反条款：第三十条第（一）项；处罚条款：第五十二条，责令停止违法行为；情节较重的，对单位处一万元以上十万元以下的罚款，对个人处二百元以上二千元以下的罚款。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拒不停止或不改正的，视为“情节较重”。</w:t>
            </w:r>
          </w:p>
          <w:p>
            <w:pPr>
              <w:autoSpaceDE w:val="0"/>
              <w:spacing w:line="400" w:lineRule="exact"/>
              <w:rPr>
                <w:rFonts w:ascii="仿宋_GB2312" w:eastAsia="仿宋_GB2312"/>
                <w:szCs w:val="21"/>
              </w:rPr>
            </w:pPr>
            <w:r>
              <w:rPr>
                <w:rFonts w:hint="eastAsia" w:ascii="仿宋_GB2312" w:eastAsia="仿宋_GB2312"/>
                <w:szCs w:val="21"/>
              </w:rPr>
              <w:t>对单位需要作出其它额度处罚的，报案审会讨论决定；</w:t>
            </w:r>
          </w:p>
          <w:p>
            <w:pPr>
              <w:autoSpaceDE w:val="0"/>
              <w:spacing w:line="400" w:lineRule="exact"/>
              <w:rPr>
                <w:rFonts w:ascii="仿宋_GB2312" w:hAnsi="宋体" w:eastAsia="仿宋_GB2312" w:cs="宋体"/>
                <w:kern w:val="0"/>
                <w:szCs w:val="21"/>
              </w:rPr>
            </w:pPr>
            <w:r>
              <w:rPr>
                <w:rFonts w:hint="eastAsia" w:ascii="仿宋_GB2312" w:eastAsia="仿宋_GB2312"/>
                <w:szCs w:val="21"/>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35" w:hRule="atLeast"/>
          <w:jc w:val="center"/>
        </w:trPr>
        <w:tc>
          <w:tcPr>
            <w:tcW w:w="503" w:type="dxa"/>
            <w:gridSpan w:val="2"/>
            <w:vMerge w:val="continue"/>
            <w:shd w:val="clear" w:color="auto" w:fill="FFFFFF"/>
            <w:vAlign w:val="center"/>
          </w:tcPr>
          <w:p>
            <w:pPr>
              <w:spacing w:line="400" w:lineRule="exac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 w:val="18"/>
                <w:szCs w:val="18"/>
              </w:rPr>
            </w:pPr>
          </w:p>
        </w:tc>
        <w:tc>
          <w:tcPr>
            <w:tcW w:w="4325" w:type="dxa"/>
            <w:gridSpan w:val="9"/>
            <w:vMerge w:val="continue"/>
            <w:shd w:val="clear" w:color="auto" w:fill="auto"/>
            <w:vAlign w:val="center"/>
          </w:tcPr>
          <w:p>
            <w:pPr>
              <w:spacing w:line="400" w:lineRule="exact"/>
              <w:rPr>
                <w:rFonts w:ascii="仿宋_GB2312" w:eastAsia="仿宋_GB2312"/>
                <w:szCs w:val="21"/>
              </w:rPr>
            </w:pPr>
          </w:p>
        </w:tc>
        <w:tc>
          <w:tcPr>
            <w:tcW w:w="918"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spacing w:line="40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46" w:hRule="atLeast"/>
          <w:jc w:val="center"/>
        </w:trPr>
        <w:tc>
          <w:tcPr>
            <w:tcW w:w="503" w:type="dxa"/>
            <w:gridSpan w:val="2"/>
            <w:vMerge w:val="restart"/>
            <w:shd w:val="clear" w:color="auto" w:fill="FFFFFF"/>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1201" w:type="dxa"/>
            <w:gridSpan w:val="2"/>
            <w:vMerge w:val="restart"/>
            <w:shd w:val="clear" w:color="auto" w:fill="auto"/>
            <w:vAlign w:val="center"/>
          </w:tcPr>
          <w:p>
            <w:pPr>
              <w:rPr>
                <w:rFonts w:ascii="仿宋_GB2312" w:hAnsi="宋体" w:eastAsia="仿宋_GB2312" w:cs="宋体"/>
                <w:kern w:val="0"/>
                <w:sz w:val="18"/>
                <w:szCs w:val="18"/>
              </w:rPr>
            </w:pPr>
            <w:r>
              <w:rPr>
                <w:rFonts w:hint="eastAsia" w:ascii="仿宋_GB2312" w:hAnsi="宋体" w:eastAsia="仿宋_GB2312" w:cs="宋体"/>
                <w:kern w:val="0"/>
                <w:sz w:val="18"/>
                <w:szCs w:val="18"/>
              </w:rPr>
              <w:t>在管道线路中心线两侧各五米地域范围内取土、采石、用火、堆放重物、排放腐蚀性物质、使用机械工具进行挖掘施工</w:t>
            </w:r>
          </w:p>
        </w:tc>
        <w:tc>
          <w:tcPr>
            <w:tcW w:w="4325" w:type="dxa"/>
            <w:gridSpan w:val="9"/>
            <w:vMerge w:val="restart"/>
            <w:shd w:val="clear" w:color="auto" w:fill="auto"/>
            <w:vAlign w:val="center"/>
          </w:tcPr>
          <w:p>
            <w:pPr>
              <w:spacing w:line="400" w:lineRule="exact"/>
              <w:rPr>
                <w:rFonts w:ascii="仿宋_GB2312" w:eastAsia="仿宋_GB2312"/>
                <w:szCs w:val="21"/>
              </w:rPr>
            </w:pPr>
            <w:r>
              <w:rPr>
                <w:rFonts w:hint="eastAsia" w:ascii="仿宋_GB2312" w:eastAsia="仿宋_GB2312"/>
                <w:szCs w:val="21"/>
              </w:rPr>
              <w:t>违反条款：第三十条第（二）项；处罚条款：第五十二条，责令停止违法行为；情节较重的，对单位处一万元以上十万元以下的罚款，对个人处二百元以上二千元以下的罚款。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continue"/>
            <w:shd w:val="clear" w:color="auto" w:fill="auto"/>
            <w:vAlign w:val="center"/>
          </w:tcPr>
          <w:p>
            <w:pPr>
              <w:spacing w:line="40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6" w:hRule="atLeast"/>
          <w:jc w:val="center"/>
        </w:trPr>
        <w:tc>
          <w:tcPr>
            <w:tcW w:w="503" w:type="dxa"/>
            <w:gridSpan w:val="2"/>
            <w:vMerge w:val="continue"/>
            <w:shd w:val="clear" w:color="auto" w:fill="FFFFFF"/>
            <w:vAlign w:val="center"/>
          </w:tcPr>
          <w:p>
            <w:pPr>
              <w:spacing w:line="400" w:lineRule="exact"/>
              <w:rPr>
                <w:rFonts w:ascii="仿宋_GB2312" w:hAnsi="宋体" w:eastAsia="仿宋_GB2312" w:cs="宋体"/>
                <w:kern w:val="0"/>
                <w:szCs w:val="21"/>
              </w:rPr>
            </w:pPr>
          </w:p>
        </w:tc>
        <w:tc>
          <w:tcPr>
            <w:tcW w:w="1201" w:type="dxa"/>
            <w:gridSpan w:val="2"/>
            <w:vMerge w:val="continue"/>
            <w:shd w:val="clear" w:color="auto" w:fill="auto"/>
            <w:vAlign w:val="center"/>
          </w:tcPr>
          <w:p>
            <w:pPr>
              <w:rPr>
                <w:rFonts w:ascii="仿宋_GB2312" w:hAnsi="宋体" w:eastAsia="仿宋_GB2312" w:cs="宋体"/>
                <w:kern w:val="0"/>
                <w:sz w:val="18"/>
                <w:szCs w:val="18"/>
              </w:rPr>
            </w:pPr>
          </w:p>
        </w:tc>
        <w:tc>
          <w:tcPr>
            <w:tcW w:w="4325" w:type="dxa"/>
            <w:gridSpan w:val="9"/>
            <w:vMerge w:val="continue"/>
            <w:shd w:val="clear" w:color="auto" w:fill="auto"/>
            <w:vAlign w:val="center"/>
          </w:tcPr>
          <w:p>
            <w:pPr>
              <w:spacing w:line="400" w:lineRule="exact"/>
              <w:rPr>
                <w:rFonts w:ascii="仿宋_GB2312" w:eastAsia="仿宋_GB2312"/>
                <w:szCs w:val="21"/>
              </w:rPr>
            </w:pPr>
          </w:p>
        </w:tc>
        <w:tc>
          <w:tcPr>
            <w:tcW w:w="918"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spacing w:line="40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86" w:hRule="atLeast"/>
          <w:jc w:val="center"/>
        </w:trPr>
        <w:tc>
          <w:tcPr>
            <w:tcW w:w="503" w:type="dxa"/>
            <w:gridSpan w:val="2"/>
            <w:vMerge w:val="restart"/>
            <w:shd w:val="clear" w:color="auto" w:fill="FFFFFF"/>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11</w:t>
            </w:r>
          </w:p>
        </w:tc>
        <w:tc>
          <w:tcPr>
            <w:tcW w:w="1201" w:type="dxa"/>
            <w:gridSpan w:val="2"/>
            <w:vMerge w:val="restart"/>
            <w:shd w:val="clear" w:color="auto" w:fill="auto"/>
            <w:vAlign w:val="center"/>
          </w:tcPr>
          <w:p>
            <w:pPr>
              <w:autoSpaceDE w:val="0"/>
              <w:rPr>
                <w:rFonts w:ascii="仿宋_GB2312" w:hAnsi="宋体" w:eastAsia="仿宋_GB2312" w:cs="宋体"/>
                <w:kern w:val="0"/>
                <w:sz w:val="18"/>
                <w:szCs w:val="18"/>
              </w:rPr>
            </w:pPr>
            <w:r>
              <w:rPr>
                <w:rFonts w:hint="eastAsia" w:ascii="仿宋_GB2312" w:hAnsi="宋体" w:eastAsia="仿宋_GB2312" w:cs="宋体"/>
                <w:kern w:val="0"/>
                <w:sz w:val="18"/>
                <w:szCs w:val="18"/>
              </w:rPr>
              <w:t>在管道线路中心线两侧各五米地域范围内挖塘、修渠、修晒场、修建水产养殖场、建温室、建家畜棚圈、建房以及修建其它建筑物、构筑物</w:t>
            </w:r>
          </w:p>
        </w:tc>
        <w:tc>
          <w:tcPr>
            <w:tcW w:w="4325" w:type="dxa"/>
            <w:gridSpan w:val="9"/>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违反条款：第三十条第（三）项；处罚条款：第五十二条，责令停止违法行为；情节较重的，对单位处一万元以上十万元以下的罚款，对个人处二百元以上二千元以下的罚款。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拒不停止或不改正的，视为“情节较重”。</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对单位需要作出其它额度处罚的，报案审会讨论决定；</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2" w:hRule="atLeast"/>
          <w:jc w:val="center"/>
        </w:trPr>
        <w:tc>
          <w:tcPr>
            <w:tcW w:w="503" w:type="dxa"/>
            <w:gridSpan w:val="2"/>
            <w:vMerge w:val="continue"/>
            <w:shd w:val="clear" w:color="auto" w:fill="FFFFFF"/>
            <w:vAlign w:val="center"/>
          </w:tcPr>
          <w:p>
            <w:pPr>
              <w:autoSpaceDE w:val="0"/>
              <w:spacing w:line="400" w:lineRule="exact"/>
              <w:rPr>
                <w:rFonts w:ascii="仿宋_GB2312" w:hAnsi="宋体" w:eastAsia="仿宋_GB2312" w:cs="宋体"/>
                <w:kern w:val="0"/>
                <w:szCs w:val="21"/>
              </w:rPr>
            </w:pPr>
          </w:p>
        </w:tc>
        <w:tc>
          <w:tcPr>
            <w:tcW w:w="1201" w:type="dxa"/>
            <w:gridSpan w:val="2"/>
            <w:vMerge w:val="continue"/>
            <w:shd w:val="clear" w:color="auto" w:fill="auto"/>
            <w:vAlign w:val="center"/>
          </w:tcPr>
          <w:p>
            <w:pPr>
              <w:autoSpaceDE w:val="0"/>
              <w:rPr>
                <w:rFonts w:ascii="仿宋_GB2312" w:hAnsi="宋体" w:eastAsia="仿宋_GB2312" w:cs="宋体"/>
                <w:kern w:val="0"/>
                <w:sz w:val="18"/>
                <w:szCs w:val="18"/>
              </w:rPr>
            </w:pPr>
          </w:p>
        </w:tc>
        <w:tc>
          <w:tcPr>
            <w:tcW w:w="4325" w:type="dxa"/>
            <w:gridSpan w:val="9"/>
            <w:vMerge w:val="continue"/>
            <w:shd w:val="clear" w:color="auto" w:fill="auto"/>
            <w:vAlign w:val="center"/>
          </w:tcPr>
          <w:p>
            <w:pPr>
              <w:pStyle w:val="17"/>
              <w:shd w:val="clear" w:color="auto" w:fill="FFFFFF"/>
              <w:autoSpaceDE w:val="0"/>
              <w:spacing w:before="0" w:beforeAutospacing="0" w:after="0" w:afterAutospacing="0" w:line="400" w:lineRule="exact"/>
              <w:rPr>
                <w:rFonts w:ascii="仿宋_GB2312" w:eastAsia="仿宋_GB2312"/>
                <w:color w:val="auto"/>
                <w:sz w:val="21"/>
                <w:szCs w:val="21"/>
              </w:rPr>
            </w:pPr>
          </w:p>
        </w:tc>
        <w:tc>
          <w:tcPr>
            <w:tcW w:w="918"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autoSpaceDE w:val="0"/>
              <w:spacing w:line="4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5" w:hRule="atLeast"/>
          <w:jc w:val="center"/>
        </w:trPr>
        <w:tc>
          <w:tcPr>
            <w:tcW w:w="503" w:type="dxa"/>
            <w:gridSpan w:val="2"/>
            <w:vMerge w:val="restart"/>
            <w:shd w:val="clear" w:color="auto" w:fill="FFFFFF"/>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12</w:t>
            </w:r>
          </w:p>
        </w:tc>
        <w:tc>
          <w:tcPr>
            <w:tcW w:w="1201" w:type="dxa"/>
            <w:gridSpan w:val="2"/>
            <w:vMerge w:val="restart"/>
            <w:shd w:val="clear" w:color="auto" w:fill="FFFFFF"/>
            <w:vAlign w:val="center"/>
          </w:tcPr>
          <w:p>
            <w:pPr>
              <w:autoSpaceDE w:val="0"/>
              <w:rPr>
                <w:rFonts w:ascii="仿宋_GB2312" w:hAnsi="宋体" w:eastAsia="仿宋_GB2312" w:cs="宋体"/>
                <w:kern w:val="0"/>
                <w:sz w:val="18"/>
                <w:szCs w:val="18"/>
              </w:rPr>
            </w:pPr>
            <w:r>
              <w:rPr>
                <w:rFonts w:hint="eastAsia" w:ascii="仿宋_GB2312" w:hAnsi="宋体" w:eastAsia="仿宋_GB2312" w:cs="宋体"/>
                <w:kern w:val="0"/>
                <w:sz w:val="18"/>
                <w:szCs w:val="18"/>
              </w:rPr>
              <w:t>在穿越河流的管道线路中心线两侧各五百米地域范围内抛锚、拖锚、挖砂、挖泥、采石、水下爆破</w:t>
            </w:r>
          </w:p>
        </w:tc>
        <w:tc>
          <w:tcPr>
            <w:tcW w:w="4325" w:type="dxa"/>
            <w:gridSpan w:val="9"/>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违反条款：第三十二条；处罚条款：第五十二条，责令停止违法行为；情节较重的，对单位处一万元以上十万元以下的罚款，对个人处二百元以上二千元以下的罚款。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continue"/>
            <w:shd w:val="clear" w:color="auto" w:fill="auto"/>
            <w:vAlign w:val="center"/>
          </w:tcPr>
          <w:p>
            <w:pPr>
              <w:autoSpaceDE w:val="0"/>
              <w:spacing w:line="4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2" w:hRule="atLeast"/>
          <w:jc w:val="center"/>
        </w:trPr>
        <w:tc>
          <w:tcPr>
            <w:tcW w:w="503" w:type="dxa"/>
            <w:gridSpan w:val="2"/>
            <w:vMerge w:val="continue"/>
            <w:shd w:val="clear" w:color="auto" w:fill="FFFFFF"/>
            <w:vAlign w:val="center"/>
          </w:tcPr>
          <w:p>
            <w:pPr>
              <w:autoSpaceDE w:val="0"/>
              <w:spacing w:line="400" w:lineRule="exact"/>
              <w:rPr>
                <w:rFonts w:ascii="仿宋_GB2312" w:hAnsi="宋体" w:eastAsia="仿宋_GB2312" w:cs="宋体"/>
                <w:kern w:val="0"/>
                <w:szCs w:val="21"/>
              </w:rPr>
            </w:pPr>
          </w:p>
        </w:tc>
        <w:tc>
          <w:tcPr>
            <w:tcW w:w="1201" w:type="dxa"/>
            <w:gridSpan w:val="2"/>
            <w:vMerge w:val="continue"/>
            <w:shd w:val="clear" w:color="auto" w:fill="FFFFFF"/>
            <w:vAlign w:val="center"/>
          </w:tcPr>
          <w:p>
            <w:pPr>
              <w:autoSpaceDE w:val="0"/>
              <w:rPr>
                <w:rFonts w:ascii="仿宋_GB2312" w:hAnsi="宋体" w:eastAsia="仿宋_GB2312" w:cs="宋体"/>
                <w:kern w:val="0"/>
                <w:sz w:val="18"/>
                <w:szCs w:val="18"/>
              </w:rPr>
            </w:pPr>
          </w:p>
        </w:tc>
        <w:tc>
          <w:tcPr>
            <w:tcW w:w="4325" w:type="dxa"/>
            <w:gridSpan w:val="9"/>
            <w:vMerge w:val="continue"/>
            <w:shd w:val="clear" w:color="auto" w:fill="auto"/>
            <w:vAlign w:val="center"/>
          </w:tcPr>
          <w:p>
            <w:pPr>
              <w:pStyle w:val="17"/>
              <w:shd w:val="clear" w:color="auto" w:fill="FFFFFF"/>
              <w:autoSpaceDE w:val="0"/>
              <w:spacing w:before="0" w:beforeAutospacing="0" w:after="0" w:afterAutospacing="0" w:line="400" w:lineRule="exact"/>
              <w:rPr>
                <w:rFonts w:ascii="仿宋_GB2312" w:eastAsia="仿宋_GB2312"/>
                <w:color w:val="auto"/>
                <w:sz w:val="21"/>
                <w:szCs w:val="21"/>
              </w:rPr>
            </w:pPr>
          </w:p>
        </w:tc>
        <w:tc>
          <w:tcPr>
            <w:tcW w:w="918"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400" w:lineRule="exact"/>
              <w:ind w:left="6" w:leftChars="-7" w:hanging="21" w:hangingChars="10"/>
              <w:rPr>
                <w:rFonts w:ascii="仿宋_GB2312" w:hAnsi="宋体" w:eastAsia="仿宋_GB2312" w:cs="宋体"/>
                <w:kern w:val="0"/>
                <w:szCs w:val="21"/>
              </w:rPr>
            </w:pPr>
          </w:p>
        </w:tc>
        <w:tc>
          <w:tcPr>
            <w:tcW w:w="1740" w:type="dxa"/>
            <w:gridSpan w:val="2"/>
            <w:shd w:val="clear" w:color="auto" w:fill="auto"/>
            <w:vAlign w:val="center"/>
          </w:tcPr>
          <w:p>
            <w:pPr>
              <w:autoSpaceDE w:val="0"/>
              <w:spacing w:line="40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autoSpaceDE w:val="0"/>
              <w:spacing w:line="40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48" w:hRule="atLeast"/>
          <w:jc w:val="center"/>
        </w:trPr>
        <w:tc>
          <w:tcPr>
            <w:tcW w:w="503" w:type="dxa"/>
            <w:gridSpan w:val="2"/>
            <w:vMerge w:val="restart"/>
            <w:shd w:val="clear" w:color="auto" w:fill="FFFFFF"/>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13</w:t>
            </w:r>
          </w:p>
        </w:tc>
        <w:tc>
          <w:tcPr>
            <w:tcW w:w="1841" w:type="dxa"/>
            <w:gridSpan w:val="6"/>
            <w:vMerge w:val="restart"/>
            <w:shd w:val="clear" w:color="auto" w:fill="FFFFFF"/>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在管道专用隧道中心线两侧各一千米地域范围内采石、采矿、爆破</w:t>
            </w:r>
          </w:p>
        </w:tc>
        <w:tc>
          <w:tcPr>
            <w:tcW w:w="3685" w:type="dxa"/>
            <w:gridSpan w:val="5"/>
            <w:vMerge w:val="restart"/>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违反条款：第三十三条第一款；处罚条款：第五十二条，责令停止违法行为；情节较重的，对单位处一万元以上十万元以下的罚款，对个人处二百元以上二千元以下的罚款。</w:t>
            </w:r>
          </w:p>
        </w:tc>
        <w:tc>
          <w:tcPr>
            <w:tcW w:w="918"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50000</w:t>
            </w:r>
          </w:p>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56" w:type="dxa"/>
            <w:gridSpan w:val="3"/>
            <w:vMerge w:val="restart"/>
            <w:shd w:val="clear" w:color="auto" w:fill="auto"/>
            <w:vAlign w:val="center"/>
          </w:tcPr>
          <w:p>
            <w:pPr>
              <w:autoSpaceDE w:val="0"/>
              <w:spacing w:line="36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vMerge w:val="restart"/>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造成事故或者其它严重后果的，系数1。</w:t>
            </w:r>
          </w:p>
        </w:tc>
        <w:tc>
          <w:tcPr>
            <w:tcW w:w="1740"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罚款数额＝50000×（1＋情节系数＋变量系数）</w:t>
            </w:r>
          </w:p>
        </w:tc>
        <w:tc>
          <w:tcPr>
            <w:tcW w:w="2415" w:type="dxa"/>
            <w:gridSpan w:val="7"/>
            <w:vMerge w:val="restart"/>
            <w:shd w:val="clear" w:color="auto" w:fill="auto"/>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拒不停止或不改正的，视为“情节较重”。</w:t>
            </w:r>
          </w:p>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对单位需要作出其它额度处罚的，报案审会讨论决定；对个人需要作出其它额度处罚的，由执法人员说明情况并记录在案。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9" w:hRule="atLeast"/>
          <w:jc w:val="center"/>
        </w:trPr>
        <w:tc>
          <w:tcPr>
            <w:tcW w:w="503" w:type="dxa"/>
            <w:gridSpan w:val="2"/>
            <w:vMerge w:val="continue"/>
            <w:shd w:val="clear" w:color="auto" w:fill="FFFFFF"/>
            <w:vAlign w:val="center"/>
          </w:tcPr>
          <w:p>
            <w:pPr>
              <w:autoSpaceDE w:val="0"/>
              <w:spacing w:line="360" w:lineRule="exact"/>
              <w:rPr>
                <w:rFonts w:ascii="仿宋_GB2312" w:hAnsi="宋体" w:eastAsia="仿宋_GB2312" w:cs="宋体"/>
                <w:kern w:val="0"/>
                <w:szCs w:val="21"/>
              </w:rPr>
            </w:pPr>
          </w:p>
        </w:tc>
        <w:tc>
          <w:tcPr>
            <w:tcW w:w="1841" w:type="dxa"/>
            <w:gridSpan w:val="6"/>
            <w:vMerge w:val="continue"/>
            <w:shd w:val="clear" w:color="auto" w:fill="FFFFFF"/>
            <w:vAlign w:val="center"/>
          </w:tcPr>
          <w:p>
            <w:pPr>
              <w:autoSpaceDE w:val="0"/>
              <w:spacing w:line="260" w:lineRule="exact"/>
              <w:rPr>
                <w:rFonts w:ascii="仿宋_GB2312" w:hAnsi="宋体" w:eastAsia="仿宋_GB2312" w:cs="宋体"/>
                <w:kern w:val="0"/>
                <w:szCs w:val="21"/>
              </w:rPr>
            </w:pPr>
          </w:p>
        </w:tc>
        <w:tc>
          <w:tcPr>
            <w:tcW w:w="3685" w:type="dxa"/>
            <w:gridSpan w:val="5"/>
            <w:vMerge w:val="continue"/>
            <w:shd w:val="clear" w:color="auto" w:fill="auto"/>
            <w:vAlign w:val="center"/>
          </w:tcPr>
          <w:p>
            <w:pPr>
              <w:autoSpaceDE w:val="0"/>
              <w:spacing w:line="360" w:lineRule="exact"/>
              <w:rPr>
                <w:rFonts w:ascii="仿宋_GB2312" w:hAnsi="宋体" w:eastAsia="仿宋_GB2312" w:cs="宋体"/>
                <w:kern w:val="0"/>
                <w:szCs w:val="21"/>
              </w:rPr>
            </w:pPr>
          </w:p>
        </w:tc>
        <w:tc>
          <w:tcPr>
            <w:tcW w:w="918"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1000</w:t>
            </w:r>
          </w:p>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个人</w:t>
            </w:r>
          </w:p>
        </w:tc>
        <w:tc>
          <w:tcPr>
            <w:tcW w:w="756" w:type="dxa"/>
            <w:gridSpan w:val="3"/>
            <w:vMerge w:val="continue"/>
            <w:shd w:val="clear" w:color="auto" w:fill="auto"/>
            <w:vAlign w:val="center"/>
          </w:tcPr>
          <w:p>
            <w:pPr>
              <w:autoSpaceDE w:val="0"/>
              <w:spacing w:line="360" w:lineRule="exact"/>
              <w:ind w:left="6" w:leftChars="-7" w:hanging="21" w:hangingChars="10"/>
              <w:rPr>
                <w:rFonts w:ascii="仿宋_GB2312" w:hAnsi="宋体" w:eastAsia="仿宋_GB2312" w:cs="宋体"/>
                <w:kern w:val="0"/>
                <w:szCs w:val="21"/>
              </w:rPr>
            </w:pPr>
          </w:p>
        </w:tc>
        <w:tc>
          <w:tcPr>
            <w:tcW w:w="3600" w:type="dxa"/>
            <w:gridSpan w:val="7"/>
            <w:vMerge w:val="continue"/>
            <w:shd w:val="clear" w:color="auto" w:fill="auto"/>
            <w:vAlign w:val="center"/>
          </w:tcPr>
          <w:p>
            <w:pPr>
              <w:autoSpaceDE w:val="0"/>
              <w:spacing w:line="360" w:lineRule="exact"/>
              <w:rPr>
                <w:rFonts w:ascii="仿宋_GB2312" w:hAnsi="宋体" w:eastAsia="仿宋_GB2312" w:cs="宋体"/>
                <w:kern w:val="0"/>
                <w:szCs w:val="21"/>
              </w:rPr>
            </w:pPr>
          </w:p>
        </w:tc>
        <w:tc>
          <w:tcPr>
            <w:tcW w:w="1740"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罚款数额＝1000×（1＋情节系数＋变量系数）</w:t>
            </w:r>
          </w:p>
        </w:tc>
        <w:tc>
          <w:tcPr>
            <w:tcW w:w="2415" w:type="dxa"/>
            <w:gridSpan w:val="7"/>
            <w:vMerge w:val="continue"/>
            <w:shd w:val="clear" w:color="auto" w:fill="auto"/>
            <w:vAlign w:val="center"/>
          </w:tcPr>
          <w:p>
            <w:pPr>
              <w:autoSpaceDE w:val="0"/>
              <w:spacing w:line="260" w:lineRule="exac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4" w:hRule="atLeast"/>
          <w:jc w:val="center"/>
        </w:trPr>
        <w:tc>
          <w:tcPr>
            <w:tcW w:w="503" w:type="dxa"/>
            <w:gridSpan w:val="2"/>
            <w:shd w:val="clear" w:color="auto" w:fill="FFFFFF"/>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14</w:t>
            </w:r>
          </w:p>
        </w:tc>
        <w:tc>
          <w:tcPr>
            <w:tcW w:w="1841" w:type="dxa"/>
            <w:gridSpan w:val="6"/>
            <w:shd w:val="clear" w:color="auto" w:fill="FFFFFF"/>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在管道专用隧道中心线两侧各一千米地域范围内修建铁路、公路、水利工程等公共工程，未经批准并采取必要的安全防护措施实施采石、爆破作业</w:t>
            </w:r>
          </w:p>
        </w:tc>
        <w:tc>
          <w:tcPr>
            <w:tcW w:w="3685" w:type="dxa"/>
            <w:gridSpan w:val="5"/>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违反条款：第三十三条第二款；处罚条款：第五十三条，责令停止违法行为；情节较重的，处一万元以上五万元以下的罚款。</w:t>
            </w:r>
          </w:p>
        </w:tc>
        <w:tc>
          <w:tcPr>
            <w:tcW w:w="918"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56" w:type="dxa"/>
            <w:gridSpan w:val="3"/>
            <w:shd w:val="clear" w:color="auto" w:fill="auto"/>
            <w:vAlign w:val="center"/>
          </w:tcPr>
          <w:p>
            <w:pPr>
              <w:autoSpaceDE w:val="0"/>
              <w:spacing w:line="360" w:lineRule="exact"/>
              <w:ind w:left="6" w:leftChars="-7" w:hanging="21" w:hangingChars="10"/>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1.存在较大安全隐患或者造成损失较大的，系数2-3；2.造成事故或者其它严重后果的，系数4。</w:t>
            </w:r>
          </w:p>
        </w:tc>
        <w:tc>
          <w:tcPr>
            <w:tcW w:w="1740" w:type="dxa"/>
            <w:gridSpan w:val="2"/>
            <w:shd w:val="clear" w:color="auto" w:fill="auto"/>
            <w:vAlign w:val="center"/>
          </w:tcPr>
          <w:p>
            <w:pPr>
              <w:autoSpaceDE w:val="0"/>
              <w:spacing w:line="360" w:lineRule="exac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shd w:val="clear" w:color="auto" w:fill="auto"/>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拒不停止或不改正的，视为“情节较重”。</w:t>
            </w:r>
          </w:p>
          <w:p>
            <w:pPr>
              <w:autoSpaceDE w:val="0"/>
              <w:spacing w:line="260" w:lineRule="exact"/>
              <w:rPr>
                <w:rFonts w:ascii="仿宋_GB2312" w:hAnsi="宋体" w:eastAsia="仿宋_GB2312" w:cs="宋体"/>
                <w:kern w:val="0"/>
                <w:szCs w:val="21"/>
              </w:rPr>
            </w:pPr>
          </w:p>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4" w:hRule="atLeast"/>
          <w:jc w:val="center"/>
        </w:trPr>
        <w:tc>
          <w:tcPr>
            <w:tcW w:w="503" w:type="dxa"/>
            <w:gridSpan w:val="2"/>
            <w:tcBorders>
              <w:bottom w:val="single" w:color="auto" w:sz="4" w:space="0"/>
            </w:tcBorders>
            <w:shd w:val="clear" w:color="auto" w:fill="FFFFFF"/>
            <w:vAlign w:val="center"/>
          </w:tcPr>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15</w:t>
            </w:r>
          </w:p>
        </w:tc>
        <w:tc>
          <w:tcPr>
            <w:tcW w:w="1841" w:type="dxa"/>
            <w:gridSpan w:val="6"/>
            <w:tcBorders>
              <w:bottom w:val="single" w:color="auto" w:sz="4" w:space="0"/>
            </w:tcBorders>
            <w:shd w:val="clear" w:color="auto" w:fill="auto"/>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未经批准在管道线路中心线两侧各五米至五十米和管道附属设施周边一百米地域范围内，新建、改建、扩建铁路、公路、河渠，架设电力线路，埋设地下电缆、光缆，设置安全接地体、避雷接地体</w:t>
            </w:r>
          </w:p>
        </w:tc>
        <w:tc>
          <w:tcPr>
            <w:tcW w:w="3685" w:type="dxa"/>
            <w:gridSpan w:val="5"/>
            <w:tcBorders>
              <w:bottom w:val="single" w:color="auto" w:sz="4" w:space="0"/>
            </w:tcBorders>
            <w:shd w:val="clear" w:color="auto" w:fill="auto"/>
            <w:vAlign w:val="center"/>
          </w:tcPr>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违反条款：第三十五条第一款第（二）项；处罚条款：第五十三条，责令停止违法行为；情节较重的，处一万元以上五万元以下的罚款。</w:t>
            </w:r>
          </w:p>
        </w:tc>
        <w:tc>
          <w:tcPr>
            <w:tcW w:w="918" w:type="dxa"/>
            <w:gridSpan w:val="2"/>
            <w:tcBorders>
              <w:bottom w:val="single" w:color="auto" w:sz="4" w:space="0"/>
            </w:tcBorders>
            <w:shd w:val="clear" w:color="auto" w:fill="auto"/>
            <w:vAlign w:val="center"/>
          </w:tcPr>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56" w:type="dxa"/>
            <w:gridSpan w:val="3"/>
            <w:tcBorders>
              <w:bottom w:val="single" w:color="auto" w:sz="4" w:space="0"/>
            </w:tcBorders>
            <w:shd w:val="clear" w:color="auto" w:fill="auto"/>
            <w:vAlign w:val="center"/>
          </w:tcPr>
          <w:p>
            <w:pPr>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tcBorders>
              <w:bottom w:val="single" w:color="auto" w:sz="4" w:space="0"/>
            </w:tcBorders>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1.存在较大安全隐患或者造成损失较大的，系数2-3；2.造成事故或者其它严重后果的，系数4。</w:t>
            </w:r>
          </w:p>
        </w:tc>
        <w:tc>
          <w:tcPr>
            <w:tcW w:w="1740" w:type="dxa"/>
            <w:gridSpan w:val="2"/>
            <w:tcBorders>
              <w:bottom w:val="single" w:color="auto" w:sz="4" w:space="0"/>
            </w:tcBorders>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vMerge w:val="restart"/>
            <w:shd w:val="clear" w:color="auto" w:fill="auto"/>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拒不停止</w:t>
            </w:r>
            <w:r>
              <w:rPr>
                <w:rFonts w:ascii="仿宋_GB2312" w:hAnsi="宋体" w:eastAsia="仿宋_GB2312" w:cs="宋体"/>
                <w:kern w:val="0"/>
                <w:szCs w:val="21"/>
              </w:rPr>
              <w:t>或</w:t>
            </w:r>
            <w:r>
              <w:rPr>
                <w:rFonts w:hint="eastAsia" w:ascii="仿宋_GB2312" w:hAnsi="宋体" w:eastAsia="仿宋_GB2312" w:cs="宋体"/>
                <w:kern w:val="0"/>
                <w:szCs w:val="21"/>
              </w:rPr>
              <w:t>不</w:t>
            </w:r>
            <w:r>
              <w:rPr>
                <w:rFonts w:ascii="仿宋_GB2312" w:hAnsi="宋体" w:eastAsia="仿宋_GB2312" w:cs="宋体"/>
                <w:kern w:val="0"/>
                <w:szCs w:val="21"/>
              </w:rPr>
              <w:t>改正的，视为</w:t>
            </w:r>
            <w:r>
              <w:rPr>
                <w:rFonts w:hint="eastAsia" w:ascii="仿宋_GB2312" w:hAnsi="宋体" w:eastAsia="仿宋_GB2312" w:cs="宋体"/>
                <w:kern w:val="0"/>
                <w:szCs w:val="21"/>
              </w:rPr>
              <w:t>“</w:t>
            </w:r>
            <w:r>
              <w:rPr>
                <w:rFonts w:ascii="仿宋_GB2312" w:hAnsi="宋体" w:eastAsia="仿宋_GB2312" w:cs="宋体"/>
                <w:kern w:val="0"/>
                <w:szCs w:val="21"/>
              </w:rPr>
              <w:t>情节</w:t>
            </w:r>
            <w:r>
              <w:rPr>
                <w:rFonts w:hint="eastAsia" w:ascii="仿宋_GB2312" w:hAnsi="宋体" w:eastAsia="仿宋_GB2312" w:cs="宋体"/>
                <w:kern w:val="0"/>
                <w:szCs w:val="21"/>
              </w:rPr>
              <w:t>较</w:t>
            </w:r>
            <w:r>
              <w:rPr>
                <w:rFonts w:ascii="仿宋_GB2312" w:hAnsi="宋体" w:eastAsia="仿宋_GB2312" w:cs="宋体"/>
                <w:kern w:val="0"/>
                <w:szCs w:val="21"/>
              </w:rPr>
              <w:t>重</w:t>
            </w:r>
            <w:r>
              <w:rPr>
                <w:rFonts w:hint="eastAsia" w:ascii="仿宋_GB2312" w:hAnsi="宋体" w:eastAsia="仿宋_GB2312" w:cs="宋体"/>
                <w:kern w:val="0"/>
                <w:szCs w:val="21"/>
              </w:rPr>
              <w:t>”</w:t>
            </w:r>
            <w:r>
              <w:rPr>
                <w:rFonts w:ascii="仿宋_GB2312" w:hAnsi="宋体" w:eastAsia="仿宋_GB2312" w:cs="宋体"/>
                <w:kern w:val="0"/>
                <w:szCs w:val="21"/>
              </w:rPr>
              <w:t>。</w:t>
            </w:r>
          </w:p>
          <w:p>
            <w:pPr>
              <w:widowControl/>
              <w:autoSpaceDE w:val="0"/>
              <w:spacing w:line="260" w:lineRule="exact"/>
              <w:rPr>
                <w:rFonts w:ascii="仿宋_GB2312" w:hAnsi="宋体" w:eastAsia="仿宋_GB2312" w:cs="宋体"/>
                <w:kern w:val="0"/>
                <w:szCs w:val="21"/>
              </w:rPr>
            </w:pPr>
          </w:p>
          <w:p>
            <w:pPr>
              <w:widowControl/>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需要作出</w:t>
            </w:r>
            <w:r>
              <w:rPr>
                <w:rFonts w:ascii="仿宋_GB2312" w:hAnsi="宋体" w:eastAsia="仿宋_GB2312" w:cs="宋体"/>
                <w:kern w:val="0"/>
                <w:szCs w:val="21"/>
              </w:rPr>
              <w:t>其</w:t>
            </w:r>
            <w:r>
              <w:rPr>
                <w:rFonts w:hint="eastAsia" w:ascii="仿宋_GB2312" w:hAnsi="宋体" w:eastAsia="仿宋_GB2312" w:cs="宋体"/>
                <w:kern w:val="0"/>
                <w:szCs w:val="21"/>
              </w:rPr>
              <w:t>它额度</w:t>
            </w:r>
            <w:r>
              <w:rPr>
                <w:rFonts w:ascii="仿宋_GB2312" w:hAnsi="宋体" w:eastAsia="仿宋_GB2312" w:cs="宋体"/>
                <w:kern w:val="0"/>
                <w:szCs w:val="21"/>
              </w:rPr>
              <w:t>处罚的，报</w:t>
            </w:r>
            <w:r>
              <w:rPr>
                <w:rFonts w:hint="eastAsia" w:ascii="仿宋_GB2312" w:hAnsi="宋体" w:eastAsia="仿宋_GB2312" w:cs="宋体"/>
                <w:kern w:val="0"/>
                <w:szCs w:val="21"/>
              </w:rPr>
              <w:t>案审</w:t>
            </w:r>
            <w:r>
              <w:rPr>
                <w:rFonts w:ascii="仿宋_GB2312" w:hAnsi="宋体" w:eastAsia="仿宋_GB2312" w:cs="宋体"/>
                <w:kern w:val="0"/>
                <w:szCs w:val="21"/>
              </w:rPr>
              <w:t>会</w:t>
            </w:r>
            <w:r>
              <w:rPr>
                <w:rFonts w:hint="eastAsia" w:ascii="仿宋_GB2312" w:hAnsi="宋体" w:eastAsia="仿宋_GB2312" w:cs="宋体"/>
                <w:kern w:val="0"/>
                <w:szCs w:val="21"/>
              </w:rPr>
              <w:t>讨论</w:t>
            </w:r>
            <w:r>
              <w:rPr>
                <w:rFonts w:ascii="仿宋_GB2312" w:hAnsi="宋体" w:eastAsia="仿宋_GB2312" w:cs="宋体"/>
                <w:kern w:val="0"/>
                <w:szCs w:val="21"/>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58"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16</w:t>
            </w:r>
          </w:p>
        </w:tc>
        <w:tc>
          <w:tcPr>
            <w:tcW w:w="1201" w:type="dxa"/>
            <w:gridSpan w:val="2"/>
            <w:shd w:val="clear" w:color="auto" w:fill="FFFFFF"/>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未经批准进行穿跨越管道的施工作业</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违反条款：第三十五条第一款第（一）项；处罚条款：第五十三条，责令停止违法行为；情节较重的，处一万元以上五万元以下的罚款。</w:t>
            </w:r>
          </w:p>
        </w:tc>
        <w:tc>
          <w:tcPr>
            <w:tcW w:w="918"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56" w:type="dxa"/>
            <w:gridSpan w:val="3"/>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1.存在较大安全隐患或者造成损失较大的，系数2-3；2.造成事故或者其它严重后果的，系数4。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57"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17</w:t>
            </w:r>
          </w:p>
        </w:tc>
        <w:tc>
          <w:tcPr>
            <w:tcW w:w="1201" w:type="dxa"/>
            <w:gridSpan w:val="2"/>
            <w:shd w:val="clear" w:color="auto" w:fill="auto"/>
            <w:vAlign w:val="center"/>
          </w:tcPr>
          <w:p>
            <w:pPr>
              <w:autoSpaceDE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未经批准，在管道线路中心线两侧各二百米和管道附属设施周边五百米地域范围内，进行爆破、地震法勘探或者工程挖掘、工程钻探、采矿</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违反条款：第三十五条第一款第（三）项；处罚条款：第五十三条，责令停止违法行为；情节较重的，处一万元以上五万元以下的罚款。</w:t>
            </w:r>
          </w:p>
        </w:tc>
        <w:tc>
          <w:tcPr>
            <w:tcW w:w="918"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10000</w:t>
            </w:r>
          </w:p>
        </w:tc>
        <w:tc>
          <w:tcPr>
            <w:tcW w:w="756" w:type="dxa"/>
            <w:gridSpan w:val="3"/>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1.存在较大安全隐患或者造成损失较大的，系数2-3；2.造成事故或者其它严重后果的，系数4。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罚款数额＝10000×（1＋情节系数＋变量系数）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4"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18</w:t>
            </w:r>
          </w:p>
        </w:tc>
        <w:tc>
          <w:tcPr>
            <w:tcW w:w="1201"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擅自开启、关闭管道阀门</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违反条款：第二十八条第（一）项；处罚条款：第五十四条第（一）项，责令改正；情节严重的，处二百元以上一千元以下的罚款。</w:t>
            </w:r>
          </w:p>
        </w:tc>
        <w:tc>
          <w:tcPr>
            <w:tcW w:w="905" w:type="dxa"/>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200</w:t>
            </w:r>
          </w:p>
        </w:tc>
        <w:tc>
          <w:tcPr>
            <w:tcW w:w="769" w:type="dxa"/>
            <w:gridSpan w:val="4"/>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1.造成较大损失和影响的，系数2；2.造成事故或者其它严重后果的，系数4。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vMerge w:val="restart"/>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拒不停止</w:t>
            </w:r>
            <w:r>
              <w:rPr>
                <w:rFonts w:ascii="仿宋_GB2312" w:hAnsi="宋体" w:eastAsia="仿宋_GB2312" w:cs="宋体"/>
                <w:kern w:val="0"/>
                <w:szCs w:val="21"/>
              </w:rPr>
              <w:t>或</w:t>
            </w:r>
            <w:r>
              <w:rPr>
                <w:rFonts w:hint="eastAsia" w:ascii="仿宋_GB2312" w:hAnsi="宋体" w:eastAsia="仿宋_GB2312" w:cs="宋体"/>
                <w:kern w:val="0"/>
                <w:szCs w:val="21"/>
              </w:rPr>
              <w:t>不</w:t>
            </w:r>
            <w:r>
              <w:rPr>
                <w:rFonts w:ascii="仿宋_GB2312" w:hAnsi="宋体" w:eastAsia="仿宋_GB2312" w:cs="宋体"/>
                <w:kern w:val="0"/>
                <w:szCs w:val="21"/>
              </w:rPr>
              <w:t>改正的，视为</w:t>
            </w:r>
            <w:r>
              <w:rPr>
                <w:rFonts w:hint="eastAsia" w:ascii="仿宋_GB2312" w:hAnsi="宋体" w:eastAsia="仿宋_GB2312" w:cs="宋体"/>
                <w:kern w:val="0"/>
                <w:szCs w:val="21"/>
              </w:rPr>
              <w:t>“</w:t>
            </w:r>
            <w:r>
              <w:rPr>
                <w:rFonts w:ascii="仿宋_GB2312" w:hAnsi="宋体" w:eastAsia="仿宋_GB2312" w:cs="宋体"/>
                <w:kern w:val="0"/>
                <w:szCs w:val="21"/>
              </w:rPr>
              <w:t>情节</w:t>
            </w:r>
            <w:r>
              <w:rPr>
                <w:rFonts w:hint="eastAsia" w:ascii="仿宋_GB2312" w:hAnsi="宋体" w:eastAsia="仿宋_GB2312" w:cs="宋体"/>
                <w:kern w:val="0"/>
                <w:szCs w:val="21"/>
              </w:rPr>
              <w:t>严</w:t>
            </w:r>
            <w:r>
              <w:rPr>
                <w:rFonts w:ascii="仿宋_GB2312" w:hAnsi="宋体" w:eastAsia="仿宋_GB2312" w:cs="宋体"/>
                <w:kern w:val="0"/>
                <w:szCs w:val="21"/>
              </w:rPr>
              <w:t>重</w:t>
            </w:r>
            <w:r>
              <w:rPr>
                <w:rFonts w:hint="eastAsia" w:ascii="仿宋_GB2312" w:hAnsi="宋体" w:eastAsia="仿宋_GB2312" w:cs="宋体"/>
                <w:kern w:val="0"/>
                <w:szCs w:val="21"/>
              </w:rPr>
              <w:t>”</w:t>
            </w:r>
            <w:r>
              <w:rPr>
                <w:rFonts w:ascii="仿宋_GB2312" w:hAnsi="宋体" w:eastAsia="仿宋_GB2312" w:cs="宋体"/>
                <w:kern w:val="0"/>
                <w:szCs w:val="21"/>
              </w:rPr>
              <w:t>。</w:t>
            </w:r>
          </w:p>
          <w:p>
            <w:pPr>
              <w:widowControl/>
              <w:autoSpaceDE w:val="0"/>
              <w:spacing w:line="320" w:lineRule="exact"/>
              <w:rPr>
                <w:rFonts w:ascii="仿宋_GB2312" w:hAnsi="宋体" w:eastAsia="仿宋_GB2312" w:cs="宋体"/>
                <w:kern w:val="0"/>
                <w:szCs w:val="21"/>
              </w:rPr>
            </w:pPr>
          </w:p>
          <w:p>
            <w:pPr>
              <w:widowControl/>
              <w:autoSpaceDE w:val="0"/>
              <w:spacing w:line="320" w:lineRule="exact"/>
              <w:rPr>
                <w:rFonts w:ascii="仿宋_GB2312" w:hAnsi="宋体" w:eastAsia="仿宋_GB2312" w:cs="宋体"/>
                <w:kern w:val="0"/>
                <w:sz w:val="32"/>
                <w:szCs w:val="32"/>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r>
              <w:rPr>
                <w:rFonts w:ascii="仿宋_GB2312" w:hAnsi="宋体" w:eastAsia="仿宋_GB2312" w:cs="宋体"/>
                <w:kern w:val="0"/>
                <w:sz w:val="32"/>
                <w:szCs w:val="32"/>
              </w:rPr>
              <w:t>。</w:t>
            </w:r>
          </w:p>
          <w:p>
            <w:pPr>
              <w:widowControl/>
              <w:autoSpaceDE w:val="0"/>
              <w:spacing w:line="320" w:lineRule="exact"/>
              <w:rPr>
                <w:rFonts w:ascii="仿宋_GB2312" w:hAnsi="宋体" w:eastAsia="仿宋_GB2312" w:cs="宋体"/>
                <w:kern w:val="0"/>
                <w:sz w:val="32"/>
                <w:szCs w:val="32"/>
              </w:rPr>
            </w:pPr>
          </w:p>
          <w:p>
            <w:pPr>
              <w:widowControl/>
              <w:autoSpaceDE w:val="0"/>
              <w:spacing w:line="320" w:lineRule="exact"/>
              <w:rPr>
                <w:rFonts w:ascii="仿宋_GB2312" w:hAnsi="宋体" w:eastAsia="仿宋_GB2312" w:cs="宋体"/>
                <w:kern w:val="0"/>
                <w:sz w:val="32"/>
                <w:szCs w:val="32"/>
              </w:rPr>
            </w:pPr>
          </w:p>
          <w:p>
            <w:pPr>
              <w:widowControl/>
              <w:autoSpaceDE w:val="0"/>
              <w:spacing w:line="320" w:lineRule="exact"/>
              <w:rPr>
                <w:rFonts w:ascii="仿宋_GB2312" w:hAnsi="宋体" w:eastAsia="仿宋_GB2312" w:cs="宋体"/>
                <w:kern w:val="0"/>
                <w:sz w:val="32"/>
                <w:szCs w:val="32"/>
              </w:rPr>
            </w:pPr>
          </w:p>
          <w:p>
            <w:pPr>
              <w:widowControl/>
              <w:autoSpaceDE w:val="0"/>
              <w:spacing w:line="320" w:lineRule="exact"/>
              <w:rPr>
                <w:rFonts w:ascii="仿宋_GB2312" w:hAnsi="宋体" w:eastAsia="仿宋_GB2312" w:cs="宋体"/>
                <w:kern w:val="0"/>
                <w:sz w:val="32"/>
                <w:szCs w:val="32"/>
              </w:rPr>
            </w:pPr>
          </w:p>
          <w:p>
            <w:pPr>
              <w:widowControl/>
              <w:autoSpaceDE w:val="0"/>
              <w:spacing w:line="320" w:lineRule="exact"/>
              <w:rPr>
                <w:rFonts w:ascii="仿宋_GB2312" w:hAnsi="宋体" w:eastAsia="仿宋_GB2312" w:cs="宋体"/>
                <w:kern w:val="0"/>
                <w:sz w:val="32"/>
                <w:szCs w:val="32"/>
              </w:rPr>
            </w:pPr>
          </w:p>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拒不停止</w:t>
            </w:r>
            <w:r>
              <w:rPr>
                <w:rFonts w:ascii="仿宋_GB2312" w:hAnsi="宋体" w:eastAsia="仿宋_GB2312" w:cs="宋体"/>
                <w:kern w:val="0"/>
                <w:szCs w:val="21"/>
              </w:rPr>
              <w:t>或</w:t>
            </w:r>
            <w:r>
              <w:rPr>
                <w:rFonts w:hint="eastAsia" w:ascii="仿宋_GB2312" w:hAnsi="宋体" w:eastAsia="仿宋_GB2312" w:cs="宋体"/>
                <w:kern w:val="0"/>
                <w:szCs w:val="21"/>
              </w:rPr>
              <w:t>不</w:t>
            </w:r>
            <w:r>
              <w:rPr>
                <w:rFonts w:ascii="仿宋_GB2312" w:hAnsi="宋体" w:eastAsia="仿宋_GB2312" w:cs="宋体"/>
                <w:kern w:val="0"/>
                <w:szCs w:val="21"/>
              </w:rPr>
              <w:t>改正的，视为</w:t>
            </w:r>
            <w:r>
              <w:rPr>
                <w:rFonts w:hint="eastAsia" w:ascii="仿宋_GB2312" w:hAnsi="宋体" w:eastAsia="仿宋_GB2312" w:cs="宋体"/>
                <w:kern w:val="0"/>
                <w:szCs w:val="21"/>
              </w:rPr>
              <w:t>“</w:t>
            </w:r>
            <w:r>
              <w:rPr>
                <w:rFonts w:ascii="仿宋_GB2312" w:hAnsi="宋体" w:eastAsia="仿宋_GB2312" w:cs="宋体"/>
                <w:kern w:val="0"/>
                <w:szCs w:val="21"/>
              </w:rPr>
              <w:t>情节</w:t>
            </w:r>
            <w:r>
              <w:rPr>
                <w:rFonts w:hint="eastAsia" w:ascii="仿宋_GB2312" w:hAnsi="宋体" w:eastAsia="仿宋_GB2312" w:cs="宋体"/>
                <w:kern w:val="0"/>
                <w:szCs w:val="21"/>
              </w:rPr>
              <w:t>严</w:t>
            </w:r>
            <w:r>
              <w:rPr>
                <w:rFonts w:ascii="仿宋_GB2312" w:hAnsi="宋体" w:eastAsia="仿宋_GB2312" w:cs="宋体"/>
                <w:kern w:val="0"/>
                <w:szCs w:val="21"/>
              </w:rPr>
              <w:t>重</w:t>
            </w:r>
            <w:r>
              <w:rPr>
                <w:rFonts w:hint="eastAsia" w:ascii="仿宋_GB2312" w:hAnsi="宋体" w:eastAsia="仿宋_GB2312" w:cs="宋体"/>
                <w:kern w:val="0"/>
                <w:szCs w:val="21"/>
              </w:rPr>
              <w:t>”</w:t>
            </w:r>
            <w:r>
              <w:rPr>
                <w:rFonts w:ascii="仿宋_GB2312" w:hAnsi="宋体" w:eastAsia="仿宋_GB2312" w:cs="宋体"/>
                <w:kern w:val="0"/>
                <w:szCs w:val="21"/>
              </w:rPr>
              <w:t>。</w:t>
            </w:r>
          </w:p>
          <w:p>
            <w:pPr>
              <w:widowControl/>
              <w:autoSpaceDE w:val="0"/>
              <w:spacing w:line="320" w:lineRule="exact"/>
              <w:rPr>
                <w:rFonts w:ascii="仿宋_GB2312" w:hAnsi="宋体" w:eastAsia="仿宋_GB2312" w:cs="宋体"/>
                <w:kern w:val="0"/>
                <w:szCs w:val="21"/>
              </w:rPr>
            </w:pPr>
          </w:p>
          <w:p>
            <w:pPr>
              <w:widowControl/>
              <w:autoSpaceDE w:val="0"/>
              <w:spacing w:line="320" w:lineRule="exact"/>
              <w:rPr>
                <w:rFonts w:ascii="仿宋_GB2312" w:hAnsi="宋体" w:eastAsia="仿宋_GB2312" w:cs="宋体"/>
                <w:kern w:val="0"/>
                <w:sz w:val="32"/>
                <w:szCs w:val="32"/>
              </w:rPr>
            </w:pPr>
            <w:r>
              <w:rPr>
                <w:rFonts w:ascii="仿宋_GB2312" w:hAnsi="宋体" w:eastAsia="仿宋_GB2312" w:cs="宋体"/>
                <w:kern w:val="0"/>
                <w:szCs w:val="21"/>
              </w:rPr>
              <w:t>需要</w:t>
            </w:r>
            <w:r>
              <w:rPr>
                <w:rFonts w:hint="eastAsia" w:ascii="仿宋_GB2312" w:hAnsi="宋体" w:eastAsia="仿宋_GB2312" w:cs="宋体"/>
                <w:kern w:val="0"/>
                <w:szCs w:val="21"/>
              </w:rPr>
              <w:t>作出其它额度处罚</w:t>
            </w:r>
            <w:r>
              <w:rPr>
                <w:rFonts w:ascii="仿宋_GB2312" w:hAnsi="宋体" w:eastAsia="仿宋_GB2312" w:cs="宋体"/>
                <w:kern w:val="0"/>
                <w:szCs w:val="21"/>
              </w:rPr>
              <w:t>的，</w:t>
            </w:r>
            <w:r>
              <w:rPr>
                <w:rFonts w:hint="eastAsia" w:ascii="仿宋_GB2312" w:hAnsi="宋体" w:eastAsia="仿宋_GB2312" w:cs="宋体"/>
                <w:kern w:val="0"/>
                <w:szCs w:val="21"/>
              </w:rPr>
              <w:t>由</w:t>
            </w:r>
            <w:r>
              <w:rPr>
                <w:rFonts w:ascii="仿宋_GB2312" w:hAnsi="宋体" w:eastAsia="仿宋_GB2312" w:cs="宋体"/>
                <w:kern w:val="0"/>
                <w:szCs w:val="21"/>
              </w:rPr>
              <w:t>执法人员</w:t>
            </w:r>
            <w:r>
              <w:rPr>
                <w:rFonts w:hint="eastAsia" w:ascii="仿宋_GB2312" w:hAnsi="宋体" w:eastAsia="仿宋_GB2312" w:cs="宋体"/>
                <w:kern w:val="0"/>
                <w:szCs w:val="21"/>
              </w:rPr>
              <w:t>说明</w:t>
            </w:r>
            <w:r>
              <w:rPr>
                <w:rFonts w:ascii="仿宋_GB2312" w:hAnsi="宋体" w:eastAsia="仿宋_GB2312" w:cs="宋体"/>
                <w:kern w:val="0"/>
                <w:szCs w:val="21"/>
              </w:rPr>
              <w:t>情况</w:t>
            </w:r>
            <w:r>
              <w:rPr>
                <w:rFonts w:hint="eastAsia" w:ascii="仿宋_GB2312" w:hAnsi="宋体" w:eastAsia="仿宋_GB2312" w:cs="宋体"/>
                <w:kern w:val="0"/>
                <w:szCs w:val="21"/>
              </w:rPr>
              <w:t>并</w:t>
            </w:r>
            <w:r>
              <w:rPr>
                <w:rFonts w:ascii="仿宋_GB2312" w:hAnsi="宋体" w:eastAsia="仿宋_GB2312" w:cs="宋体"/>
                <w:kern w:val="0"/>
                <w:szCs w:val="21"/>
              </w:rPr>
              <w:t>记录在案</w:t>
            </w:r>
            <w:r>
              <w:rPr>
                <w:rFonts w:ascii="仿宋_GB2312" w:hAnsi="宋体" w:eastAsia="仿宋_GB2312" w:cs="宋体"/>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4"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19</w:t>
            </w:r>
          </w:p>
        </w:tc>
        <w:tc>
          <w:tcPr>
            <w:tcW w:w="1201"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移动、毁损、涂改管道标志</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违反条款：第二十八条第（三）项；处罚条款：第五十四条第（二）项，责令改正；情节严重的，处二百元以上一千元以下的罚款。</w:t>
            </w:r>
          </w:p>
        </w:tc>
        <w:tc>
          <w:tcPr>
            <w:tcW w:w="905" w:type="dxa"/>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200</w:t>
            </w:r>
          </w:p>
        </w:tc>
        <w:tc>
          <w:tcPr>
            <w:tcW w:w="769" w:type="dxa"/>
            <w:gridSpan w:val="4"/>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1.造成较大损失和影响的，系数2；2.造成事故或者其它严重后果的，系数4。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4"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w:t>
            </w:r>
          </w:p>
        </w:tc>
        <w:tc>
          <w:tcPr>
            <w:tcW w:w="1201"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在埋地管道上方巡查便道上行驶重型车辆</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违反条款：第二十八条第（四）项；处罚条款：第五十四条第（三）项，责令改正；情节严重的，处二百元以上一千元以下的罚款。</w:t>
            </w:r>
          </w:p>
        </w:tc>
        <w:tc>
          <w:tcPr>
            <w:tcW w:w="905" w:type="dxa"/>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200</w:t>
            </w:r>
          </w:p>
        </w:tc>
        <w:tc>
          <w:tcPr>
            <w:tcW w:w="769" w:type="dxa"/>
            <w:gridSpan w:val="4"/>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1.造成较大损失和影响的，系数2；2.造成事故或者其它严重后果的，系数4。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3"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21</w:t>
            </w:r>
          </w:p>
        </w:tc>
        <w:tc>
          <w:tcPr>
            <w:tcW w:w="1201"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在地面管道线路、架空管道线路和管桥上行走或者放置重物</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违反条款：第二十八条第（五）项；处罚条款：第五十四条第（四）项，责令改正；情节严重的，处二百元以上一千元以下的罚款。</w:t>
            </w:r>
          </w:p>
        </w:tc>
        <w:tc>
          <w:tcPr>
            <w:tcW w:w="905" w:type="dxa"/>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200</w:t>
            </w:r>
          </w:p>
        </w:tc>
        <w:tc>
          <w:tcPr>
            <w:tcW w:w="769" w:type="dxa"/>
            <w:gridSpan w:val="4"/>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1.造成较大损失和影响的，系数2；2.造成事故或者其它严重后果的，系数4。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503"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22</w:t>
            </w:r>
          </w:p>
        </w:tc>
        <w:tc>
          <w:tcPr>
            <w:tcW w:w="1201" w:type="dxa"/>
            <w:gridSpan w:val="2"/>
            <w:shd w:val="clear" w:color="auto" w:fill="FFFFFF"/>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阻碍依法进行的管道建设</w:t>
            </w:r>
          </w:p>
        </w:tc>
        <w:tc>
          <w:tcPr>
            <w:tcW w:w="4325" w:type="dxa"/>
            <w:gridSpan w:val="9"/>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违反条款：第十五条；处罚条款：第五十四条第（五）项，责令改正；情节严重的，处二百元以上一千元以下的罚款。</w:t>
            </w:r>
          </w:p>
        </w:tc>
        <w:tc>
          <w:tcPr>
            <w:tcW w:w="905" w:type="dxa"/>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200</w:t>
            </w:r>
          </w:p>
        </w:tc>
        <w:tc>
          <w:tcPr>
            <w:tcW w:w="769" w:type="dxa"/>
            <w:gridSpan w:val="4"/>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w:t>
            </w:r>
          </w:p>
        </w:tc>
        <w:tc>
          <w:tcPr>
            <w:tcW w:w="3600" w:type="dxa"/>
            <w:gridSpan w:val="7"/>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1.造成较大损失和影响的，系数2；2.造成事故或者其它严重后果的，系数4。</w:t>
            </w:r>
          </w:p>
        </w:tc>
        <w:tc>
          <w:tcPr>
            <w:tcW w:w="1740" w:type="dxa"/>
            <w:gridSpan w:val="2"/>
            <w:shd w:val="clear" w:color="auto" w:fill="auto"/>
            <w:vAlign w:val="center"/>
          </w:tcPr>
          <w:p>
            <w:pPr>
              <w:widowControl/>
              <w:autoSpaceDE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罚款数额＝200×（1＋情节系数＋变量系数）</w:t>
            </w:r>
          </w:p>
        </w:tc>
        <w:tc>
          <w:tcPr>
            <w:tcW w:w="2415" w:type="dxa"/>
            <w:gridSpan w:val="7"/>
            <w:vMerge w:val="continue"/>
            <w:shd w:val="clear" w:color="auto" w:fill="auto"/>
            <w:vAlign w:val="center"/>
          </w:tcPr>
          <w:p>
            <w:pPr>
              <w:widowControl/>
              <w:autoSpaceDE w:val="0"/>
              <w:spacing w:line="320" w:lineRule="exact"/>
              <w:rPr>
                <w:rFonts w:ascii="仿宋_GB2312" w:hAnsi="宋体" w:eastAsia="仿宋_GB2312" w:cs="宋体"/>
                <w:kern w:val="0"/>
                <w:sz w:val="32"/>
                <w:szCs w:val="32"/>
              </w:rPr>
            </w:pPr>
          </w:p>
        </w:tc>
      </w:tr>
    </w:tbl>
    <w:p>
      <w:pPr>
        <w:rPr>
          <w:rFonts w:ascii="仿宋_GB2312" w:hAnsi="宋体" w:eastAsia="仿宋_GB2312" w:cs="宋体"/>
          <w:kern w:val="0"/>
          <w:sz w:val="32"/>
          <w:szCs w:val="32"/>
        </w:rPr>
        <w:sectPr>
          <w:pgSz w:w="16838" w:h="11906" w:orient="landscape"/>
          <w:pgMar w:top="1134" w:right="907" w:bottom="1134" w:left="907" w:header="851" w:footer="1588" w:gutter="0"/>
          <w:cols w:space="425" w:num="1"/>
          <w:docGrid w:linePitch="634" w:charSpace="-4740"/>
        </w:sectPr>
      </w:pPr>
    </w:p>
    <w:p/>
    <w:sectPr>
      <w:pgSz w:w="11906" w:h="16838"/>
      <w:pgMar w:top="2098" w:right="1531" w:bottom="1985" w:left="1531" w:header="851" w:footer="1588" w:gutter="0"/>
      <w:cols w:space="425" w:num="1"/>
      <w:docGrid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272" w:y="-2"/>
      <w:rPr>
        <w:rStyle w:val="21"/>
        <w:rFonts w:ascii="宋体" w:hAnsi="宋体"/>
        <w:sz w:val="28"/>
        <w:szCs w:val="28"/>
      </w:rPr>
    </w:pPr>
    <w:r>
      <w:rPr>
        <w:rStyle w:val="21"/>
        <w:rFonts w:hint="eastAsia" w:ascii="宋体" w:hAnsi="宋体"/>
        <w:sz w:val="28"/>
        <w:szCs w:val="28"/>
      </w:rPr>
      <w:t>—</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1</w:t>
    </w:r>
    <w:r>
      <w:rPr>
        <w:rStyle w:val="21"/>
        <w:rFonts w:ascii="宋体" w:hAnsi="宋体"/>
        <w:sz w:val="28"/>
        <w:szCs w:val="28"/>
      </w:rPr>
      <w:fldChar w:fldCharType="end"/>
    </w:r>
    <w:r>
      <w:rPr>
        <w:rStyle w:val="21"/>
        <w:rFonts w:hint="eastAsia" w:ascii="宋体" w:hAnsi="宋体"/>
        <w:sz w:val="28"/>
        <w:szCs w:val="28"/>
      </w:rPr>
      <w:t>—</w:t>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453A"/>
    <w:rsid w:val="00034EDC"/>
    <w:rsid w:val="0003507E"/>
    <w:rsid w:val="000359CB"/>
    <w:rsid w:val="00036DD4"/>
    <w:rsid w:val="000371E8"/>
    <w:rsid w:val="00037A76"/>
    <w:rsid w:val="00040932"/>
    <w:rsid w:val="00041ECA"/>
    <w:rsid w:val="000422D1"/>
    <w:rsid w:val="00043B39"/>
    <w:rsid w:val="00044A3F"/>
    <w:rsid w:val="00045C2A"/>
    <w:rsid w:val="0004625C"/>
    <w:rsid w:val="00050D69"/>
    <w:rsid w:val="0005270E"/>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91D98"/>
    <w:rsid w:val="00092D48"/>
    <w:rsid w:val="00093B38"/>
    <w:rsid w:val="00095D6A"/>
    <w:rsid w:val="00096441"/>
    <w:rsid w:val="00096C2B"/>
    <w:rsid w:val="000A18DD"/>
    <w:rsid w:val="000A2CEE"/>
    <w:rsid w:val="000A3D61"/>
    <w:rsid w:val="000A56A0"/>
    <w:rsid w:val="000B6F92"/>
    <w:rsid w:val="000C0C42"/>
    <w:rsid w:val="000C1EF5"/>
    <w:rsid w:val="000C38D1"/>
    <w:rsid w:val="000C4A66"/>
    <w:rsid w:val="000C55B6"/>
    <w:rsid w:val="000C6D01"/>
    <w:rsid w:val="000C77DA"/>
    <w:rsid w:val="000D17BB"/>
    <w:rsid w:val="000D2514"/>
    <w:rsid w:val="000D297F"/>
    <w:rsid w:val="000D30FA"/>
    <w:rsid w:val="000D3519"/>
    <w:rsid w:val="000D47E9"/>
    <w:rsid w:val="000D51DB"/>
    <w:rsid w:val="000D6892"/>
    <w:rsid w:val="000E12BF"/>
    <w:rsid w:val="000E2734"/>
    <w:rsid w:val="000E296C"/>
    <w:rsid w:val="000E310B"/>
    <w:rsid w:val="000E3A56"/>
    <w:rsid w:val="000E4D57"/>
    <w:rsid w:val="000E5922"/>
    <w:rsid w:val="000E7504"/>
    <w:rsid w:val="000F157E"/>
    <w:rsid w:val="000F3370"/>
    <w:rsid w:val="000F34A9"/>
    <w:rsid w:val="000F3711"/>
    <w:rsid w:val="000F52F8"/>
    <w:rsid w:val="000F6285"/>
    <w:rsid w:val="000F7A3D"/>
    <w:rsid w:val="000F7D37"/>
    <w:rsid w:val="00101282"/>
    <w:rsid w:val="001024E2"/>
    <w:rsid w:val="0010269F"/>
    <w:rsid w:val="001030BD"/>
    <w:rsid w:val="00103A03"/>
    <w:rsid w:val="00104C13"/>
    <w:rsid w:val="00105379"/>
    <w:rsid w:val="00105B99"/>
    <w:rsid w:val="00106C03"/>
    <w:rsid w:val="00110AD3"/>
    <w:rsid w:val="00111374"/>
    <w:rsid w:val="00111BB8"/>
    <w:rsid w:val="00112812"/>
    <w:rsid w:val="00113928"/>
    <w:rsid w:val="00114B94"/>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212A"/>
    <w:rsid w:val="0013300A"/>
    <w:rsid w:val="00136553"/>
    <w:rsid w:val="0013675B"/>
    <w:rsid w:val="00137033"/>
    <w:rsid w:val="001370BC"/>
    <w:rsid w:val="00137836"/>
    <w:rsid w:val="00137CDD"/>
    <w:rsid w:val="00140ECC"/>
    <w:rsid w:val="0014181D"/>
    <w:rsid w:val="00141F33"/>
    <w:rsid w:val="001449F3"/>
    <w:rsid w:val="001453DE"/>
    <w:rsid w:val="00145BEE"/>
    <w:rsid w:val="0014640C"/>
    <w:rsid w:val="001471D8"/>
    <w:rsid w:val="001478D6"/>
    <w:rsid w:val="00152EAA"/>
    <w:rsid w:val="00153F44"/>
    <w:rsid w:val="001547DC"/>
    <w:rsid w:val="001553E4"/>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DB5"/>
    <w:rsid w:val="001B4C7A"/>
    <w:rsid w:val="001B61E0"/>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D7C"/>
    <w:rsid w:val="001E3832"/>
    <w:rsid w:val="001E65BC"/>
    <w:rsid w:val="001E66BE"/>
    <w:rsid w:val="001F1415"/>
    <w:rsid w:val="001F28DB"/>
    <w:rsid w:val="001F2D9C"/>
    <w:rsid w:val="001F3E3F"/>
    <w:rsid w:val="001F4A86"/>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43C5"/>
    <w:rsid w:val="00214CBC"/>
    <w:rsid w:val="00216EA3"/>
    <w:rsid w:val="002211A0"/>
    <w:rsid w:val="0022182B"/>
    <w:rsid w:val="002228FB"/>
    <w:rsid w:val="00223199"/>
    <w:rsid w:val="00224424"/>
    <w:rsid w:val="00224A92"/>
    <w:rsid w:val="00225C5F"/>
    <w:rsid w:val="00226B20"/>
    <w:rsid w:val="002306F9"/>
    <w:rsid w:val="00232F51"/>
    <w:rsid w:val="002334E1"/>
    <w:rsid w:val="0023423F"/>
    <w:rsid w:val="0023669A"/>
    <w:rsid w:val="0023672C"/>
    <w:rsid w:val="002370E4"/>
    <w:rsid w:val="002375A5"/>
    <w:rsid w:val="00240324"/>
    <w:rsid w:val="00242DF5"/>
    <w:rsid w:val="00244F72"/>
    <w:rsid w:val="00245F5E"/>
    <w:rsid w:val="00247D22"/>
    <w:rsid w:val="002505A6"/>
    <w:rsid w:val="00250FED"/>
    <w:rsid w:val="002517C8"/>
    <w:rsid w:val="00252056"/>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605B"/>
    <w:rsid w:val="003267B7"/>
    <w:rsid w:val="00326E36"/>
    <w:rsid w:val="00327621"/>
    <w:rsid w:val="00331CA3"/>
    <w:rsid w:val="00334DEF"/>
    <w:rsid w:val="0033639D"/>
    <w:rsid w:val="00336431"/>
    <w:rsid w:val="00341C5C"/>
    <w:rsid w:val="00343894"/>
    <w:rsid w:val="00344062"/>
    <w:rsid w:val="0034416F"/>
    <w:rsid w:val="0034564E"/>
    <w:rsid w:val="0034566A"/>
    <w:rsid w:val="00345723"/>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543B"/>
    <w:rsid w:val="004A5799"/>
    <w:rsid w:val="004A6539"/>
    <w:rsid w:val="004A6620"/>
    <w:rsid w:val="004A6C4B"/>
    <w:rsid w:val="004A6D51"/>
    <w:rsid w:val="004A7164"/>
    <w:rsid w:val="004A76E1"/>
    <w:rsid w:val="004B109F"/>
    <w:rsid w:val="004B207E"/>
    <w:rsid w:val="004B2576"/>
    <w:rsid w:val="004B3321"/>
    <w:rsid w:val="004B3367"/>
    <w:rsid w:val="004B3D6D"/>
    <w:rsid w:val="004B4C0D"/>
    <w:rsid w:val="004B6A4E"/>
    <w:rsid w:val="004C1984"/>
    <w:rsid w:val="004C3663"/>
    <w:rsid w:val="004C474D"/>
    <w:rsid w:val="004C4AC7"/>
    <w:rsid w:val="004C510F"/>
    <w:rsid w:val="004C6EFC"/>
    <w:rsid w:val="004C7AA4"/>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32CE"/>
    <w:rsid w:val="004F33B0"/>
    <w:rsid w:val="004F3DB1"/>
    <w:rsid w:val="004F483A"/>
    <w:rsid w:val="004F55EA"/>
    <w:rsid w:val="004F7BD0"/>
    <w:rsid w:val="005000BF"/>
    <w:rsid w:val="00500F08"/>
    <w:rsid w:val="005020D4"/>
    <w:rsid w:val="00502E17"/>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6C58"/>
    <w:rsid w:val="005E6F52"/>
    <w:rsid w:val="005E7016"/>
    <w:rsid w:val="005E75AE"/>
    <w:rsid w:val="005E7835"/>
    <w:rsid w:val="005F0BEF"/>
    <w:rsid w:val="005F1240"/>
    <w:rsid w:val="005F13B3"/>
    <w:rsid w:val="005F1E66"/>
    <w:rsid w:val="005F2025"/>
    <w:rsid w:val="005F2956"/>
    <w:rsid w:val="005F4011"/>
    <w:rsid w:val="005F4854"/>
    <w:rsid w:val="005F4988"/>
    <w:rsid w:val="005F59E4"/>
    <w:rsid w:val="005F5A52"/>
    <w:rsid w:val="005F5E67"/>
    <w:rsid w:val="005F6507"/>
    <w:rsid w:val="005F7309"/>
    <w:rsid w:val="005F76F5"/>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3187D"/>
    <w:rsid w:val="00632A91"/>
    <w:rsid w:val="00641C7B"/>
    <w:rsid w:val="00642156"/>
    <w:rsid w:val="00643EE7"/>
    <w:rsid w:val="006449CE"/>
    <w:rsid w:val="00646C76"/>
    <w:rsid w:val="00652066"/>
    <w:rsid w:val="00652B5E"/>
    <w:rsid w:val="00653092"/>
    <w:rsid w:val="0065328B"/>
    <w:rsid w:val="006556D9"/>
    <w:rsid w:val="00655F51"/>
    <w:rsid w:val="0065727D"/>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43A6"/>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6169"/>
    <w:rsid w:val="00700192"/>
    <w:rsid w:val="007009DD"/>
    <w:rsid w:val="007045EC"/>
    <w:rsid w:val="00705FE7"/>
    <w:rsid w:val="00706D7C"/>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3D82"/>
    <w:rsid w:val="00735F63"/>
    <w:rsid w:val="0073604B"/>
    <w:rsid w:val="00736D1C"/>
    <w:rsid w:val="007405D3"/>
    <w:rsid w:val="0074159F"/>
    <w:rsid w:val="00741932"/>
    <w:rsid w:val="00742201"/>
    <w:rsid w:val="00743844"/>
    <w:rsid w:val="00744466"/>
    <w:rsid w:val="00745BBB"/>
    <w:rsid w:val="007475DF"/>
    <w:rsid w:val="0075015A"/>
    <w:rsid w:val="00750691"/>
    <w:rsid w:val="007527AF"/>
    <w:rsid w:val="007535D5"/>
    <w:rsid w:val="00753D2B"/>
    <w:rsid w:val="00754464"/>
    <w:rsid w:val="007544F9"/>
    <w:rsid w:val="00754872"/>
    <w:rsid w:val="0075525F"/>
    <w:rsid w:val="00755DD9"/>
    <w:rsid w:val="00755F44"/>
    <w:rsid w:val="007570A9"/>
    <w:rsid w:val="0075726F"/>
    <w:rsid w:val="00757985"/>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AE6"/>
    <w:rsid w:val="007A3F3D"/>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1B10"/>
    <w:rsid w:val="008D5C96"/>
    <w:rsid w:val="008E02AC"/>
    <w:rsid w:val="008E1DF9"/>
    <w:rsid w:val="008E2399"/>
    <w:rsid w:val="008E2FD1"/>
    <w:rsid w:val="008E399B"/>
    <w:rsid w:val="008E4E54"/>
    <w:rsid w:val="008E5CD1"/>
    <w:rsid w:val="008E6CF7"/>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69"/>
    <w:rsid w:val="0090608F"/>
    <w:rsid w:val="00907094"/>
    <w:rsid w:val="00907296"/>
    <w:rsid w:val="0091021A"/>
    <w:rsid w:val="0091075E"/>
    <w:rsid w:val="00912407"/>
    <w:rsid w:val="00914350"/>
    <w:rsid w:val="009152C3"/>
    <w:rsid w:val="00915E41"/>
    <w:rsid w:val="009164DD"/>
    <w:rsid w:val="00916B38"/>
    <w:rsid w:val="00921CCA"/>
    <w:rsid w:val="00922CE0"/>
    <w:rsid w:val="00922E64"/>
    <w:rsid w:val="00923699"/>
    <w:rsid w:val="00923C88"/>
    <w:rsid w:val="0092443E"/>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90387"/>
    <w:rsid w:val="00990F99"/>
    <w:rsid w:val="00991FEE"/>
    <w:rsid w:val="00992997"/>
    <w:rsid w:val="00993203"/>
    <w:rsid w:val="00993819"/>
    <w:rsid w:val="00995F43"/>
    <w:rsid w:val="0099615C"/>
    <w:rsid w:val="0099644F"/>
    <w:rsid w:val="009965AC"/>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C0B9C"/>
    <w:rsid w:val="009C1306"/>
    <w:rsid w:val="009C234A"/>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70A8"/>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79AB"/>
    <w:rsid w:val="00A323B4"/>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65D6"/>
    <w:rsid w:val="00AB66E1"/>
    <w:rsid w:val="00AB7EAE"/>
    <w:rsid w:val="00AB7EE0"/>
    <w:rsid w:val="00AC0F5F"/>
    <w:rsid w:val="00AC2067"/>
    <w:rsid w:val="00AC31EB"/>
    <w:rsid w:val="00AC4F26"/>
    <w:rsid w:val="00AC6DB2"/>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F22"/>
    <w:rsid w:val="00B247A6"/>
    <w:rsid w:val="00B24C77"/>
    <w:rsid w:val="00B24EA1"/>
    <w:rsid w:val="00B251C1"/>
    <w:rsid w:val="00B2568C"/>
    <w:rsid w:val="00B26584"/>
    <w:rsid w:val="00B31FF5"/>
    <w:rsid w:val="00B323C5"/>
    <w:rsid w:val="00B32B5C"/>
    <w:rsid w:val="00B33EF0"/>
    <w:rsid w:val="00B34A76"/>
    <w:rsid w:val="00B34C81"/>
    <w:rsid w:val="00B3698B"/>
    <w:rsid w:val="00B37C3A"/>
    <w:rsid w:val="00B41448"/>
    <w:rsid w:val="00B418E8"/>
    <w:rsid w:val="00B42733"/>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3A30"/>
    <w:rsid w:val="00B6487C"/>
    <w:rsid w:val="00B65690"/>
    <w:rsid w:val="00B669E8"/>
    <w:rsid w:val="00B67112"/>
    <w:rsid w:val="00B673B0"/>
    <w:rsid w:val="00B73BEC"/>
    <w:rsid w:val="00B75096"/>
    <w:rsid w:val="00B75593"/>
    <w:rsid w:val="00B758B6"/>
    <w:rsid w:val="00B77283"/>
    <w:rsid w:val="00B8080B"/>
    <w:rsid w:val="00B81A21"/>
    <w:rsid w:val="00B81DF3"/>
    <w:rsid w:val="00B85675"/>
    <w:rsid w:val="00B85FDB"/>
    <w:rsid w:val="00B87670"/>
    <w:rsid w:val="00B90977"/>
    <w:rsid w:val="00B9204A"/>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567"/>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24DC"/>
    <w:rsid w:val="00D427D7"/>
    <w:rsid w:val="00D45CC2"/>
    <w:rsid w:val="00D45D87"/>
    <w:rsid w:val="00D47C61"/>
    <w:rsid w:val="00D50377"/>
    <w:rsid w:val="00D507A9"/>
    <w:rsid w:val="00D518A3"/>
    <w:rsid w:val="00D52073"/>
    <w:rsid w:val="00D5346D"/>
    <w:rsid w:val="00D54411"/>
    <w:rsid w:val="00D5581F"/>
    <w:rsid w:val="00D5605C"/>
    <w:rsid w:val="00D600CD"/>
    <w:rsid w:val="00D601C8"/>
    <w:rsid w:val="00D60467"/>
    <w:rsid w:val="00D60CC6"/>
    <w:rsid w:val="00D61ECA"/>
    <w:rsid w:val="00D6285B"/>
    <w:rsid w:val="00D62C8A"/>
    <w:rsid w:val="00D65EF0"/>
    <w:rsid w:val="00D7221E"/>
    <w:rsid w:val="00D72B1C"/>
    <w:rsid w:val="00D72C46"/>
    <w:rsid w:val="00D73185"/>
    <w:rsid w:val="00D73A3E"/>
    <w:rsid w:val="00D74239"/>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3517"/>
    <w:rsid w:val="00E43BFA"/>
    <w:rsid w:val="00E43CFF"/>
    <w:rsid w:val="00E43EA2"/>
    <w:rsid w:val="00E45008"/>
    <w:rsid w:val="00E50F2E"/>
    <w:rsid w:val="00E530C9"/>
    <w:rsid w:val="00E54125"/>
    <w:rsid w:val="00E5455B"/>
    <w:rsid w:val="00E55CC2"/>
    <w:rsid w:val="00E563FB"/>
    <w:rsid w:val="00E57276"/>
    <w:rsid w:val="00E60DBC"/>
    <w:rsid w:val="00E6210F"/>
    <w:rsid w:val="00E62DBB"/>
    <w:rsid w:val="00E64F64"/>
    <w:rsid w:val="00E654C2"/>
    <w:rsid w:val="00E671DB"/>
    <w:rsid w:val="00E70DE0"/>
    <w:rsid w:val="00E71C36"/>
    <w:rsid w:val="00E74246"/>
    <w:rsid w:val="00E74D11"/>
    <w:rsid w:val="00E75777"/>
    <w:rsid w:val="00E77C1B"/>
    <w:rsid w:val="00E82CF8"/>
    <w:rsid w:val="00E83DEF"/>
    <w:rsid w:val="00E84EE3"/>
    <w:rsid w:val="00E84F84"/>
    <w:rsid w:val="00E87CC8"/>
    <w:rsid w:val="00E87EBB"/>
    <w:rsid w:val="00E91E03"/>
    <w:rsid w:val="00E92A6B"/>
    <w:rsid w:val="00E92E84"/>
    <w:rsid w:val="00E931A5"/>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2B8A"/>
    <w:rsid w:val="00F04414"/>
    <w:rsid w:val="00F05B1C"/>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4E38"/>
    <w:rsid w:val="00F66325"/>
    <w:rsid w:val="00F702D6"/>
    <w:rsid w:val="00F70F63"/>
    <w:rsid w:val="00F70FA8"/>
    <w:rsid w:val="00F71742"/>
    <w:rsid w:val="00F723D1"/>
    <w:rsid w:val="00F73C67"/>
    <w:rsid w:val="00F74CC2"/>
    <w:rsid w:val="00F80E11"/>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6CEF"/>
    <w:rsid w:val="00FF20FF"/>
    <w:rsid w:val="00FF23C4"/>
    <w:rsid w:val="00FF25AF"/>
    <w:rsid w:val="00FF500A"/>
    <w:rsid w:val="00FF60AD"/>
    <w:rsid w:val="5BA26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29"/>
    <w:qFormat/>
    <w:uiPriority w:val="0"/>
    <w:pPr>
      <w:keepNext/>
      <w:keepLines/>
      <w:spacing w:before="240" w:after="64" w:line="320" w:lineRule="auto"/>
      <w:outlineLvl w:val="8"/>
    </w:pPr>
    <w:rPr>
      <w:rFonts w:ascii="Calibri Light" w:hAnsi="Calibri Light"/>
      <w:szCs w:val="21"/>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link w:val="28"/>
    <w:qFormat/>
    <w:uiPriority w:val="0"/>
    <w:pPr>
      <w:jc w:val="left"/>
    </w:pPr>
  </w:style>
  <w:style w:type="paragraph" w:styleId="7">
    <w:name w:val="Body Text"/>
    <w:basedOn w:val="1"/>
    <w:qFormat/>
    <w:uiPriority w:val="0"/>
    <w:rPr>
      <w:rFonts w:ascii="仿宋_GB2312" w:eastAsia="仿宋_GB2312"/>
      <w:sz w:val="30"/>
      <w:szCs w:val="20"/>
    </w:rPr>
  </w:style>
  <w:style w:type="paragraph" w:styleId="8">
    <w:name w:val="toc 3"/>
    <w:basedOn w:val="1"/>
    <w:next w:val="1"/>
    <w:uiPriority w:val="0"/>
    <w:pPr>
      <w:widowControl/>
      <w:spacing w:after="100" w:line="259" w:lineRule="auto"/>
      <w:ind w:left="440"/>
      <w:jc w:val="left"/>
    </w:pPr>
    <w:rPr>
      <w:rFonts w:ascii="Calibri" w:hAnsi="Calibri"/>
      <w:kern w:val="0"/>
      <w:sz w:val="22"/>
      <w:szCs w:val="22"/>
    </w:rPr>
  </w:style>
  <w:style w:type="paragraph" w:styleId="9">
    <w:name w:val="Plain Text"/>
    <w:basedOn w:val="1"/>
    <w:uiPriority w:val="0"/>
    <w:rPr>
      <w:rFonts w:ascii="宋体" w:hAnsi="Courier New" w:cs="Courier New"/>
      <w:szCs w:val="21"/>
    </w:rPr>
  </w:style>
  <w:style w:type="paragraph" w:styleId="10">
    <w:name w:val="Date"/>
    <w:basedOn w:val="1"/>
    <w:next w:val="1"/>
    <w:qFormat/>
    <w:uiPriority w:val="0"/>
    <w:rPr>
      <w:rFonts w:ascii="黑体" w:eastAsia="仿宋_GB2312"/>
      <w:sz w:val="32"/>
      <w:szCs w:val="20"/>
    </w:rPr>
  </w:style>
  <w:style w:type="paragraph" w:styleId="11">
    <w:name w:val="Balloon Text"/>
    <w:basedOn w:val="1"/>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widowControl/>
      <w:spacing w:after="100" w:line="259" w:lineRule="auto"/>
      <w:jc w:val="left"/>
    </w:pPr>
    <w:rPr>
      <w:rFonts w:ascii="Calibri" w:hAnsi="Calibri"/>
      <w:kern w:val="0"/>
      <w:sz w:val="22"/>
      <w:szCs w:val="22"/>
    </w:rPr>
  </w:style>
  <w:style w:type="paragraph" w:styleId="15">
    <w:name w:val="Body Text Indent 3"/>
    <w:basedOn w:val="1"/>
    <w:uiPriority w:val="0"/>
    <w:pPr>
      <w:spacing w:after="120"/>
      <w:ind w:left="420" w:leftChars="200"/>
    </w:pPr>
    <w:rPr>
      <w:sz w:val="16"/>
      <w:szCs w:val="16"/>
    </w:rPr>
  </w:style>
  <w:style w:type="paragraph" w:styleId="16">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17">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18">
    <w:name w:val="annotation subject"/>
    <w:basedOn w:val="6"/>
    <w:next w:val="6"/>
    <w:link w:val="35"/>
    <w:uiPriority w:val="0"/>
    <w:rPr>
      <w:b/>
      <w:bCs/>
    </w:rPr>
  </w:style>
  <w:style w:type="character" w:styleId="21">
    <w:name w:val="page number"/>
    <w:qFormat/>
    <w:uiPriority w:val="0"/>
    <w:rPr>
      <w:rFonts w:ascii="Times New Roman" w:hAnsi="Times New Roman" w:eastAsia="宋体" w:cs="Times New Roman"/>
    </w:rPr>
  </w:style>
  <w:style w:type="character" w:styleId="22">
    <w:name w:val="FollowedHyperlink"/>
    <w:qFormat/>
    <w:uiPriority w:val="0"/>
    <w:rPr>
      <w:rFonts w:ascii="Times New Roman" w:hAnsi="Times New Roman" w:eastAsia="宋体" w:cs="Times New Roman"/>
      <w:color w:val="954F72"/>
      <w:u w:val="single"/>
    </w:rPr>
  </w:style>
  <w:style w:type="character" w:styleId="23">
    <w:name w:val="Emphasis"/>
    <w:qFormat/>
    <w:uiPriority w:val="0"/>
    <w:rPr>
      <w:rFonts w:ascii="Times New Roman" w:hAnsi="Times New Roman" w:eastAsia="宋体" w:cs="Times New Roman"/>
      <w:i/>
      <w:iCs/>
    </w:rPr>
  </w:style>
  <w:style w:type="character" w:styleId="24">
    <w:name w:val="Hyperlink"/>
    <w:qFormat/>
    <w:uiPriority w:val="99"/>
    <w:rPr>
      <w:rFonts w:ascii="Times New Roman" w:hAnsi="Times New Roman" w:eastAsia="宋体" w:cs="Times New Roman"/>
      <w:color w:val="0563C1"/>
      <w:u w:val="single"/>
    </w:rPr>
  </w:style>
  <w:style w:type="character" w:customStyle="1" w:styleId="25">
    <w:name w:val="页脚 Char"/>
    <w:link w:val="12"/>
    <w:uiPriority w:val="0"/>
    <w:rPr>
      <w:rFonts w:ascii="Times New Roman" w:hAnsi="Times New Roman" w:eastAsia="宋体" w:cs="Times New Roman"/>
      <w:kern w:val="2"/>
      <w:sz w:val="18"/>
      <w:szCs w:val="18"/>
      <w:lang w:val="en-US" w:eastAsia="zh-CN" w:bidi="ar-SA"/>
    </w:rPr>
  </w:style>
  <w:style w:type="character" w:customStyle="1" w:styleId="26">
    <w:name w:val="标题 1 Char"/>
    <w:link w:val="2"/>
    <w:qFormat/>
    <w:uiPriority w:val="0"/>
    <w:rPr>
      <w:rFonts w:ascii="Times New Roman" w:hAnsi="Times New Roman" w:eastAsia="方正小标宋简体" w:cs="Times New Roman"/>
      <w:b/>
      <w:bCs/>
      <w:kern w:val="44"/>
      <w:sz w:val="36"/>
      <w:szCs w:val="44"/>
    </w:rPr>
  </w:style>
  <w:style w:type="character" w:customStyle="1" w:styleId="27">
    <w:name w:val="标题 2 Char"/>
    <w:link w:val="3"/>
    <w:qFormat/>
    <w:uiPriority w:val="0"/>
    <w:rPr>
      <w:rFonts w:ascii="宋体" w:hAnsi="宋体" w:eastAsia="宋体" w:cs="宋体"/>
      <w:b/>
      <w:bCs/>
      <w:sz w:val="30"/>
      <w:szCs w:val="36"/>
    </w:rPr>
  </w:style>
  <w:style w:type="character" w:customStyle="1" w:styleId="28">
    <w:name w:val="批注文字 Char"/>
    <w:link w:val="6"/>
    <w:qFormat/>
    <w:uiPriority w:val="0"/>
    <w:rPr>
      <w:rFonts w:ascii="Times New Roman" w:hAnsi="Times New Roman" w:eastAsia="宋体" w:cs="Times New Roman"/>
      <w:kern w:val="2"/>
      <w:sz w:val="21"/>
      <w:szCs w:val="24"/>
      <w:lang w:val="en-US" w:eastAsia="zh-CN" w:bidi="ar-SA"/>
    </w:rPr>
  </w:style>
  <w:style w:type="character" w:customStyle="1" w:styleId="29">
    <w:name w:val="标题 9 Char"/>
    <w:link w:val="4"/>
    <w:qFormat/>
    <w:uiPriority w:val="0"/>
    <w:rPr>
      <w:rFonts w:ascii="Calibri Light" w:hAnsi="Calibri Light" w:eastAsia="宋体" w:cs="Times New Roman"/>
      <w:kern w:val="2"/>
      <w:sz w:val="21"/>
      <w:szCs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5"/>
    <w:qFormat/>
    <w:uiPriority w:val="0"/>
    <w:pPr>
      <w:adjustRightInd w:val="0"/>
      <w:spacing w:line="436" w:lineRule="exact"/>
      <w:ind w:left="357"/>
      <w:jc w:val="left"/>
      <w:outlineLvl w:val="3"/>
    </w:pPr>
    <w:rPr>
      <w:rFonts w:ascii="Tahoma" w:hAnsi="Tahoma"/>
      <w:b/>
      <w:sz w:val="24"/>
    </w:rPr>
  </w:style>
  <w:style w:type="character" w:customStyle="1" w:styleId="33">
    <w:name w:val="p121"/>
    <w:uiPriority w:val="0"/>
    <w:rPr>
      <w:rFonts w:hint="default" w:eastAsia="宋体" w:cs="Times New Roman"/>
      <w:sz w:val="24"/>
      <w:szCs w:val="24"/>
    </w:rPr>
  </w:style>
  <w:style w:type="paragraph" w:customStyle="1" w:styleId="34">
    <w:name w:val="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35">
    <w:name w:val="批注主题 Char"/>
    <w:link w:val="18"/>
    <w:uiPriority w:val="0"/>
    <w:rPr>
      <w:rFonts w:ascii="Times New Roman" w:hAnsi="Times New Roman" w:eastAsia="宋体" w:cs="Times New Roman"/>
      <w:b/>
      <w:bCs/>
      <w:kern w:val="2"/>
      <w:sz w:val="21"/>
      <w:szCs w:val="24"/>
      <w:lang w:val="en-US" w:eastAsia="zh-CN" w:bidi="ar-SA"/>
    </w:rPr>
  </w:style>
  <w:style w:type="paragraph" w:customStyle="1" w:styleId="36">
    <w:name w:val="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Char1 Char Char Char"/>
    <w:basedOn w:val="1"/>
    <w:uiPriority w:val="0"/>
    <w:rPr>
      <w:rFonts w:ascii="Tahoma" w:hAnsi="Tahoma"/>
      <w:sz w:val="24"/>
      <w:szCs w:val="20"/>
    </w:rPr>
  </w:style>
  <w:style w:type="paragraph" w:customStyle="1" w:styleId="38">
    <w:name w:val="Char1 Char Char Char1"/>
    <w:basedOn w:val="1"/>
    <w:qFormat/>
    <w:uiPriority w:val="0"/>
    <w:rPr>
      <w:rFonts w:ascii="Tahoma" w:hAnsi="Tahoma"/>
      <w:sz w:val="24"/>
      <w:szCs w:val="20"/>
    </w:rPr>
  </w:style>
  <w:style w:type="paragraph" w:customStyle="1" w:styleId="39">
    <w:name w:val="Char1"/>
    <w:basedOn w:val="1"/>
    <w:uiPriority w:val="0"/>
    <w:rPr>
      <w:rFonts w:ascii="Tahoma" w:hAnsi="Tahoma"/>
      <w:sz w:val="24"/>
      <w:szCs w:val="20"/>
    </w:rPr>
  </w:style>
  <w:style w:type="paragraph" w:customStyle="1" w:styleId="40">
    <w:name w:val="reader-word-layer reader-word-s2-10"/>
    <w:basedOn w:val="1"/>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2-11"/>
    <w:basedOn w:val="1"/>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3-4"/>
    <w:basedOn w:val="1"/>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8"/>
    <w:basedOn w:val="1"/>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2-2"/>
    <w:basedOn w:val="1"/>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2-8"/>
    <w:basedOn w:val="1"/>
    <w:uiPriority w:val="0"/>
    <w:pPr>
      <w:widowControl/>
      <w:spacing w:before="100" w:beforeAutospacing="1" w:after="100" w:afterAutospacing="1"/>
      <w:jc w:val="left"/>
    </w:pPr>
    <w:rPr>
      <w:rFonts w:ascii="宋体" w:hAnsi="宋体" w:cs="宋体"/>
      <w:kern w:val="0"/>
      <w:sz w:val="24"/>
    </w:rPr>
  </w:style>
  <w:style w:type="paragraph" w:customStyle="1" w:styleId="49">
    <w:name w:val="TOC Heading"/>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9FD23-D69E-4453-AEDB-BAAA5C3A800C}">
  <ds:schemaRefs/>
</ds:datastoreItem>
</file>

<file path=docProps/app.xml><?xml version="1.0" encoding="utf-8"?>
<Properties xmlns="http://schemas.openxmlformats.org/officeDocument/2006/extended-properties" xmlns:vt="http://schemas.openxmlformats.org/officeDocument/2006/docPropsVTypes">
  <Template>Normal</Template>
  <Company>bjcg</Company>
  <Pages>150</Pages>
  <Words>16177</Words>
  <Characters>92214</Characters>
  <Lines>768</Lines>
  <Paragraphs>216</Paragraphs>
  <TotalTime>2</TotalTime>
  <ScaleCrop>false</ScaleCrop>
  <LinksUpToDate>false</LinksUpToDate>
  <CharactersWithSpaces>108175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2019-12-18T08:21:00Z</dcterms:created>
  <dc:creator>安沛</dc:creator>
  <cp:lastModifiedBy>高川</cp:lastModifiedBy>
  <cp:lastPrinted>2019-12-18T10:51:00Z</cp:lastPrinted>
  <dcterms:modified xsi:type="dcterms:W3CDTF">2020-05-28T01:15:04Z</dcterms:modified>
  <dc:title>北京市城管执法机关实施行政处罚裁量权一览表（试行）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