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rPr>
      </w:pPr>
      <w:bookmarkStart w:id="1" w:name="_GoBack"/>
      <w:bookmarkEnd w:id="1"/>
      <w:r>
        <w:rPr>
          <w:rFonts w:hint="eastAsia" w:ascii="宋体" w:hAnsi="宋体"/>
          <w:b/>
          <w:sz w:val="44"/>
          <w:szCs w:val="44"/>
        </w:rPr>
        <w:t>北京市西城区融媒体中心</w:t>
      </w:r>
    </w:p>
    <w:p>
      <w:pPr>
        <w:jc w:val="center"/>
        <w:rPr>
          <w:rFonts w:ascii="宋体" w:hAnsi="宋体"/>
          <w:b/>
          <w:sz w:val="44"/>
          <w:szCs w:val="44"/>
        </w:rPr>
      </w:pPr>
      <w:r>
        <w:rPr>
          <w:rFonts w:hint="eastAsia" w:ascii="宋体" w:hAnsi="宋体"/>
          <w:b/>
          <w:sz w:val="44"/>
          <w:szCs w:val="44"/>
        </w:rPr>
        <w:t>2024年部门预算</w:t>
      </w:r>
    </w:p>
    <w:p>
      <w:pPr>
        <w:spacing w:line="560" w:lineRule="exact"/>
        <w:ind w:firstLine="320" w:firstLineChars="100"/>
        <w:rPr>
          <w:rFonts w:ascii="仿宋_GB2312" w:eastAsia="仿宋_GB2312"/>
          <w:color w:val="000000"/>
          <w:sz w:val="32"/>
          <w:szCs w:val="32"/>
        </w:rPr>
      </w:pPr>
    </w:p>
    <w:p>
      <w:pPr>
        <w:spacing w:line="560" w:lineRule="exact"/>
        <w:ind w:firstLine="320" w:firstLineChars="100"/>
        <w:rPr>
          <w:rFonts w:ascii="仿宋_GB2312" w:eastAsia="仿宋_GB2312"/>
          <w:color w:val="000000"/>
          <w:sz w:val="32"/>
          <w:szCs w:val="32"/>
        </w:rPr>
      </w:pPr>
      <w:r>
        <w:rPr>
          <w:rFonts w:hint="eastAsia" w:ascii="仿宋_GB2312" w:eastAsia="仿宋_GB2312"/>
          <w:color w:val="000000"/>
          <w:sz w:val="32"/>
          <w:szCs w:val="32"/>
        </w:rPr>
        <w:t>第一部分</w:t>
      </w:r>
      <w:r>
        <w:rPr>
          <w:rFonts w:ascii="仿宋_GB2312" w:eastAsia="仿宋_GB2312"/>
          <w:color w:val="000000"/>
          <w:sz w:val="32"/>
          <w:szCs w:val="32"/>
        </w:rPr>
        <w:t>、</w:t>
      </w:r>
      <w:r>
        <w:rPr>
          <w:rFonts w:hint="eastAsia" w:ascii="仿宋_GB2312" w:eastAsia="仿宋_GB2312"/>
          <w:color w:val="000000"/>
          <w:sz w:val="32"/>
          <w:szCs w:val="32"/>
        </w:rPr>
        <w:t>2024年</w:t>
      </w:r>
      <w:r>
        <w:rPr>
          <w:rFonts w:ascii="仿宋_GB2312" w:eastAsia="仿宋_GB2312"/>
          <w:color w:val="000000"/>
          <w:sz w:val="32"/>
          <w:szCs w:val="32"/>
        </w:rPr>
        <w:t>部门预算情况说明</w:t>
      </w: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rPr>
        <w:t>一</w:t>
      </w:r>
      <w:r>
        <w:rPr>
          <w:rFonts w:ascii="仿宋_GB2312" w:eastAsia="仿宋_GB2312"/>
          <w:color w:val="000000"/>
          <w:sz w:val="32"/>
          <w:szCs w:val="32"/>
        </w:rPr>
        <w:t>、</w:t>
      </w:r>
      <w:r>
        <w:rPr>
          <w:rFonts w:hint="eastAsia" w:ascii="仿宋_GB2312" w:eastAsia="仿宋_GB2312"/>
          <w:color w:val="000000"/>
          <w:sz w:val="32"/>
          <w:szCs w:val="32"/>
        </w:rPr>
        <w:t>部门主要职责及机构设置情况</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（一）部门</w:t>
      </w:r>
      <w:r>
        <w:rPr>
          <w:rFonts w:ascii="仿宋_GB2312" w:eastAsia="仿宋_GB2312"/>
          <w:color w:val="000000"/>
          <w:sz w:val="32"/>
          <w:szCs w:val="32"/>
        </w:rPr>
        <w:t>机构设置、职责</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（二）人员</w:t>
      </w:r>
      <w:r>
        <w:rPr>
          <w:rFonts w:ascii="仿宋_GB2312" w:eastAsia="仿宋_GB2312"/>
          <w:color w:val="000000"/>
          <w:sz w:val="32"/>
          <w:szCs w:val="32"/>
        </w:rPr>
        <w:t>构</w:t>
      </w:r>
      <w:r>
        <w:rPr>
          <w:rFonts w:hint="eastAsia" w:ascii="仿宋_GB2312" w:eastAsia="仿宋_GB2312"/>
          <w:color w:val="000000"/>
          <w:sz w:val="32"/>
          <w:szCs w:val="32"/>
        </w:rPr>
        <w:t>成情况</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w:t>
      </w:r>
      <w:r>
        <w:rPr>
          <w:rFonts w:ascii="仿宋_GB2312" w:eastAsia="仿宋_GB2312"/>
          <w:color w:val="000000"/>
          <w:sz w:val="32"/>
          <w:szCs w:val="32"/>
        </w:rPr>
        <w:t>、</w:t>
      </w:r>
      <w:r>
        <w:rPr>
          <w:rFonts w:hint="eastAsia" w:ascii="仿宋_GB2312" w:eastAsia="仿宋_GB2312"/>
          <w:color w:val="000000"/>
          <w:sz w:val="32"/>
          <w:szCs w:val="32"/>
        </w:rPr>
        <w:t>2024年部门预算收入说明</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三</w:t>
      </w:r>
      <w:r>
        <w:rPr>
          <w:rFonts w:ascii="仿宋_GB2312" w:eastAsia="仿宋_GB2312"/>
          <w:color w:val="000000"/>
          <w:sz w:val="32"/>
          <w:szCs w:val="32"/>
        </w:rPr>
        <w:t>、</w:t>
      </w:r>
      <w:r>
        <w:rPr>
          <w:rFonts w:hint="eastAsia" w:ascii="仿宋_GB2312" w:eastAsia="仿宋_GB2312"/>
          <w:color w:val="000000"/>
          <w:sz w:val="32"/>
          <w:szCs w:val="32"/>
        </w:rPr>
        <w:t>2024年部门预算</w:t>
      </w:r>
      <w:r>
        <w:rPr>
          <w:rFonts w:ascii="仿宋_GB2312" w:eastAsia="仿宋_GB2312"/>
          <w:color w:val="000000"/>
          <w:sz w:val="32"/>
          <w:szCs w:val="32"/>
        </w:rPr>
        <w:t>支出</w:t>
      </w:r>
      <w:r>
        <w:rPr>
          <w:rFonts w:hint="eastAsia" w:ascii="仿宋_GB2312" w:eastAsia="仿宋_GB2312"/>
          <w:color w:val="000000"/>
          <w:sz w:val="32"/>
          <w:szCs w:val="32"/>
        </w:rPr>
        <w:t>说明</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eastAsia="仿宋_GB2312"/>
          <w:sz w:val="32"/>
          <w:szCs w:val="32"/>
        </w:rPr>
        <w:t>2024年部门预算收支及增减变化情况说明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五、</w:t>
      </w:r>
      <w:r>
        <w:rPr>
          <w:rFonts w:ascii="仿宋_GB2312" w:eastAsia="仿宋_GB2312"/>
          <w:color w:val="000000"/>
          <w:sz w:val="32"/>
          <w:szCs w:val="32"/>
        </w:rPr>
        <w:t>部门“</w:t>
      </w:r>
      <w:r>
        <w:rPr>
          <w:rFonts w:hint="eastAsia" w:ascii="仿宋_GB2312" w:eastAsia="仿宋_GB2312"/>
          <w:color w:val="000000"/>
          <w:sz w:val="32"/>
          <w:szCs w:val="32"/>
        </w:rPr>
        <w:t>三公</w:t>
      </w:r>
      <w:r>
        <w:rPr>
          <w:rFonts w:ascii="仿宋_GB2312" w:eastAsia="仿宋_GB2312"/>
          <w:color w:val="000000"/>
          <w:sz w:val="32"/>
          <w:szCs w:val="32"/>
        </w:rPr>
        <w:t>”</w:t>
      </w:r>
      <w:r>
        <w:rPr>
          <w:rFonts w:hint="eastAsia" w:ascii="仿宋_GB2312" w:eastAsia="仿宋_GB2312"/>
          <w:color w:val="000000"/>
          <w:sz w:val="32"/>
          <w:szCs w:val="32"/>
        </w:rPr>
        <w:t>经费</w:t>
      </w:r>
      <w:r>
        <w:rPr>
          <w:rFonts w:ascii="仿宋_GB2312" w:eastAsia="仿宋_GB2312"/>
          <w:color w:val="000000"/>
          <w:sz w:val="32"/>
          <w:szCs w:val="32"/>
        </w:rPr>
        <w:t>财政拨款预算说明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六</w:t>
      </w:r>
      <w:r>
        <w:rPr>
          <w:rFonts w:ascii="仿宋_GB2312" w:eastAsia="仿宋_GB2312"/>
          <w:color w:val="000000"/>
          <w:sz w:val="32"/>
          <w:szCs w:val="32"/>
        </w:rPr>
        <w:t>、其他情况说明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（一）政府采购预算</w:t>
      </w:r>
      <w:r>
        <w:rPr>
          <w:rFonts w:ascii="仿宋_GB2312" w:eastAsia="仿宋_GB2312"/>
          <w:color w:val="000000"/>
          <w:sz w:val="32"/>
          <w:szCs w:val="32"/>
        </w:rPr>
        <w:t>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（二）政府购买服务</w:t>
      </w:r>
      <w:r>
        <w:rPr>
          <w:rFonts w:ascii="仿宋_GB2312" w:eastAsia="仿宋_GB2312"/>
          <w:color w:val="000000"/>
          <w:sz w:val="32"/>
          <w:szCs w:val="32"/>
        </w:rPr>
        <w:t>预算说明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（三）机关运行经费情况说明</w:t>
      </w:r>
    </w:p>
    <w:p>
      <w:pPr>
        <w:spacing w:line="560" w:lineRule="exact"/>
        <w:ind w:firstLine="645"/>
        <w:rPr>
          <w:rFonts w:ascii="仿宋_GB2312" w:eastAsia="仿宋_GB2312"/>
          <w:color w:val="000000"/>
          <w:sz w:val="32"/>
          <w:szCs w:val="32"/>
        </w:rPr>
      </w:pPr>
      <w:r>
        <w:rPr>
          <w:rFonts w:hint="eastAsia" w:ascii="仿宋_GB2312" w:eastAsia="仿宋_GB2312"/>
          <w:color w:val="000000"/>
          <w:sz w:val="32"/>
          <w:szCs w:val="32"/>
        </w:rPr>
        <w:t>（四）项目支出</w:t>
      </w:r>
      <w:r>
        <w:rPr>
          <w:rFonts w:ascii="仿宋_GB2312" w:eastAsia="仿宋_GB2312"/>
          <w:color w:val="000000"/>
          <w:sz w:val="32"/>
          <w:szCs w:val="32"/>
        </w:rPr>
        <w:t>绩效目标情况说明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（五）重点行政事业性收费情况</w:t>
      </w:r>
      <w:r>
        <w:rPr>
          <w:rFonts w:ascii="仿宋_GB2312" w:eastAsia="仿宋_GB2312"/>
          <w:color w:val="000000"/>
          <w:sz w:val="32"/>
          <w:szCs w:val="32"/>
        </w:rPr>
        <w:t>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（六）国有资本经营预算财政拨款</w:t>
      </w:r>
      <w:r>
        <w:rPr>
          <w:rFonts w:ascii="仿宋_GB2312" w:eastAsia="仿宋_GB2312"/>
          <w:color w:val="000000"/>
          <w:sz w:val="32"/>
          <w:szCs w:val="32"/>
        </w:rPr>
        <w:t>情况说明</w:t>
      </w:r>
    </w:p>
    <w:p>
      <w:pPr>
        <w:spacing w:line="560" w:lineRule="exact"/>
        <w:ind w:firstLine="320" w:firstLineChars="100"/>
        <w:rPr>
          <w:rFonts w:ascii="仿宋_GB2312" w:eastAsia="仿宋_GB2312"/>
          <w:color w:val="000000"/>
          <w:sz w:val="32"/>
          <w:szCs w:val="32"/>
        </w:rPr>
      </w:pPr>
      <w:r>
        <w:rPr>
          <w:rFonts w:hint="eastAsia" w:ascii="仿宋_GB2312" w:eastAsia="仿宋_GB2312"/>
          <w:color w:val="000000"/>
          <w:sz w:val="32"/>
          <w:szCs w:val="32"/>
        </w:rPr>
        <w:t>第二部分</w:t>
      </w:r>
      <w:r>
        <w:rPr>
          <w:rFonts w:ascii="仿宋_GB2312" w:eastAsia="仿宋_GB2312"/>
          <w:color w:val="000000"/>
          <w:sz w:val="32"/>
          <w:szCs w:val="32"/>
        </w:rPr>
        <w:t>、</w:t>
      </w:r>
      <w:r>
        <w:rPr>
          <w:rFonts w:hint="eastAsia" w:ascii="仿宋_GB2312" w:eastAsia="仿宋_GB2312"/>
          <w:color w:val="000000"/>
          <w:sz w:val="32"/>
          <w:szCs w:val="32"/>
        </w:rPr>
        <w:t>2024年</w:t>
      </w:r>
      <w:r>
        <w:rPr>
          <w:rFonts w:ascii="仿宋_GB2312" w:eastAsia="仿宋_GB2312"/>
          <w:color w:val="000000"/>
          <w:sz w:val="32"/>
          <w:szCs w:val="32"/>
        </w:rPr>
        <w:t>部门预算</w:t>
      </w:r>
      <w:r>
        <w:rPr>
          <w:rFonts w:hint="eastAsia" w:ascii="仿宋_GB2312" w:eastAsia="仿宋_GB2312"/>
          <w:color w:val="000000"/>
          <w:sz w:val="32"/>
          <w:szCs w:val="32"/>
        </w:rPr>
        <w:t>表</w:t>
      </w:r>
    </w:p>
    <w:p>
      <w:pPr>
        <w:autoSpaceDE w:val="0"/>
        <w:autoSpaceDN w:val="0"/>
        <w:adjustRightInd w:val="0"/>
        <w:spacing w:line="560" w:lineRule="exact"/>
        <w:ind w:firstLine="800" w:firstLineChars="250"/>
        <w:jc w:val="left"/>
        <w:rPr>
          <w:rFonts w:hint="eastAsia" w:ascii="仿宋_GB2312" w:hAnsi="宋体" w:eastAsia="仿宋_GB2312" w:cs="宋体"/>
          <w:bCs/>
          <w:color w:val="000000"/>
          <w:kern w:val="0"/>
          <w:sz w:val="32"/>
          <w:szCs w:val="32"/>
        </w:rPr>
      </w:pPr>
      <w:r>
        <w:rPr>
          <w:rFonts w:hint="eastAsia" w:ascii="仿宋_GB2312" w:eastAsia="仿宋_GB2312" w:cs="宋体"/>
          <w:color w:val="000000"/>
          <w:kern w:val="0"/>
          <w:sz w:val="32"/>
          <w:szCs w:val="32"/>
          <w:lang w:val="zh-CN"/>
        </w:rPr>
        <w:t>表一、</w:t>
      </w:r>
      <w:r>
        <w:rPr>
          <w:rFonts w:hint="eastAsia" w:ascii="仿宋_GB2312" w:hAnsi="宋体" w:eastAsia="仿宋_GB2312" w:cs="宋体"/>
          <w:color w:val="000000"/>
          <w:kern w:val="0"/>
          <w:sz w:val="32"/>
          <w:szCs w:val="32"/>
        </w:rPr>
        <w:t>北京市西城区融媒体中心</w:t>
      </w:r>
      <w:r>
        <w:rPr>
          <w:rFonts w:hint="eastAsia" w:ascii="仿宋_GB2312" w:hAnsi="宋体" w:eastAsia="仿宋_GB2312" w:cs="宋体"/>
          <w:bCs/>
          <w:color w:val="000000"/>
          <w:kern w:val="0"/>
          <w:sz w:val="32"/>
          <w:szCs w:val="32"/>
        </w:rPr>
        <w:t>收支总表</w:t>
      </w:r>
    </w:p>
    <w:p>
      <w:pPr>
        <w:autoSpaceDE w:val="0"/>
        <w:autoSpaceDN w:val="0"/>
        <w:adjustRightInd w:val="0"/>
        <w:spacing w:line="560" w:lineRule="exact"/>
        <w:ind w:firstLine="800" w:firstLineChars="250"/>
        <w:jc w:val="left"/>
        <w:rPr>
          <w:rFonts w:hint="eastAsia" w:ascii="仿宋_GB2312" w:eastAsia="仿宋_GB2312"/>
          <w:sz w:val="32"/>
          <w:szCs w:val="32"/>
        </w:rPr>
      </w:pPr>
      <w:r>
        <w:rPr>
          <w:rFonts w:hint="eastAsia" w:ascii="仿宋_GB2312" w:eastAsia="仿宋_GB2312"/>
          <w:sz w:val="32"/>
          <w:szCs w:val="32"/>
        </w:rPr>
        <w:t>表二、</w:t>
      </w:r>
      <w:r>
        <w:rPr>
          <w:rFonts w:hint="eastAsia" w:ascii="仿宋_GB2312" w:hAnsi="宋体" w:eastAsia="仿宋_GB2312" w:cs="宋体"/>
          <w:color w:val="000000"/>
          <w:kern w:val="0"/>
          <w:sz w:val="32"/>
          <w:szCs w:val="32"/>
        </w:rPr>
        <w:t>北京市西城区融媒体中心</w:t>
      </w:r>
      <w:r>
        <w:rPr>
          <w:rFonts w:hint="eastAsia" w:ascii="仿宋_GB2312" w:hAnsi="宋体" w:eastAsia="仿宋_GB2312" w:cs="宋体"/>
          <w:bCs/>
          <w:color w:val="000000"/>
          <w:kern w:val="0"/>
          <w:sz w:val="32"/>
          <w:szCs w:val="32"/>
        </w:rPr>
        <w:t>收入总表</w:t>
      </w:r>
    </w:p>
    <w:p>
      <w:pPr>
        <w:ind w:firstLine="800" w:firstLineChars="250"/>
        <w:rPr>
          <w:rFonts w:hint="eastAsia" w:ascii="仿宋_GB2312" w:eastAsia="仿宋_GB2312"/>
          <w:bCs/>
          <w:sz w:val="32"/>
          <w:szCs w:val="32"/>
        </w:rPr>
      </w:pPr>
      <w:r>
        <w:rPr>
          <w:rFonts w:hint="eastAsia" w:ascii="仿宋_GB2312" w:eastAsia="仿宋_GB2312"/>
          <w:sz w:val="32"/>
          <w:szCs w:val="32"/>
        </w:rPr>
        <w:t>表三、</w:t>
      </w:r>
      <w:r>
        <w:rPr>
          <w:rFonts w:hint="eastAsia" w:ascii="仿宋_GB2312" w:eastAsia="仿宋_GB2312"/>
          <w:bCs/>
          <w:sz w:val="32"/>
          <w:szCs w:val="32"/>
        </w:rPr>
        <w:t>北京市西城区融媒体中心支出预算总表</w:t>
      </w:r>
    </w:p>
    <w:p>
      <w:pPr>
        <w:ind w:firstLine="800" w:firstLineChars="250"/>
        <w:rPr>
          <w:rFonts w:hint="eastAsia" w:ascii="仿宋_GB2312" w:eastAsia="仿宋_GB2312"/>
          <w:bCs/>
          <w:sz w:val="32"/>
          <w:szCs w:val="32"/>
        </w:rPr>
      </w:pPr>
      <w:r>
        <w:rPr>
          <w:rFonts w:hint="eastAsia" w:ascii="仿宋_GB2312" w:eastAsia="仿宋_GB2312"/>
          <w:sz w:val="32"/>
          <w:szCs w:val="32"/>
        </w:rPr>
        <w:t>表四、</w:t>
      </w:r>
      <w:r>
        <w:rPr>
          <w:rFonts w:hint="eastAsia" w:ascii="仿宋_GB2312" w:eastAsia="仿宋_GB2312"/>
          <w:bCs/>
          <w:sz w:val="32"/>
          <w:szCs w:val="32"/>
        </w:rPr>
        <w:t>北京市西城区融媒体中心项目支出表</w:t>
      </w:r>
    </w:p>
    <w:p>
      <w:pPr>
        <w:autoSpaceDE w:val="0"/>
        <w:autoSpaceDN w:val="0"/>
        <w:adjustRightInd w:val="0"/>
        <w:spacing w:line="560" w:lineRule="exact"/>
        <w:ind w:firstLine="800" w:firstLineChars="250"/>
        <w:jc w:val="left"/>
        <w:rPr>
          <w:rFonts w:hint="eastAsia" w:ascii="仿宋_GB2312" w:eastAsia="仿宋_GB2312"/>
          <w:sz w:val="32"/>
          <w:szCs w:val="32"/>
        </w:rPr>
      </w:pPr>
      <w:r>
        <w:rPr>
          <w:rFonts w:hint="eastAsia" w:ascii="仿宋_GB2312" w:eastAsia="仿宋_GB2312"/>
          <w:sz w:val="32"/>
          <w:szCs w:val="32"/>
        </w:rPr>
        <w:t>表五、</w:t>
      </w:r>
      <w:r>
        <w:rPr>
          <w:rFonts w:hint="eastAsia" w:ascii="仿宋_GB2312" w:hAnsi="宋体" w:eastAsia="仿宋_GB2312" w:cs="宋体"/>
          <w:color w:val="000000"/>
          <w:kern w:val="0"/>
          <w:sz w:val="32"/>
          <w:szCs w:val="32"/>
        </w:rPr>
        <w:t>北京市西城区融媒体中心</w:t>
      </w:r>
      <w:r>
        <w:rPr>
          <w:rFonts w:hint="eastAsia" w:ascii="仿宋_GB2312" w:hAnsi="宋体" w:eastAsia="仿宋_GB2312" w:cs="宋体"/>
          <w:bCs/>
          <w:color w:val="000000"/>
          <w:kern w:val="0"/>
          <w:sz w:val="32"/>
          <w:szCs w:val="32"/>
        </w:rPr>
        <w:t>财政拨款收支预算总表</w:t>
      </w:r>
    </w:p>
    <w:p>
      <w:pPr>
        <w:autoSpaceDE w:val="0"/>
        <w:autoSpaceDN w:val="0"/>
        <w:adjustRightInd w:val="0"/>
        <w:spacing w:line="560" w:lineRule="exact"/>
        <w:ind w:firstLine="800" w:firstLineChars="250"/>
        <w:jc w:val="left"/>
        <w:rPr>
          <w:rFonts w:hint="eastAsia" w:ascii="仿宋_GB2312" w:hAnsi="宋体" w:eastAsia="仿宋_GB2312" w:cs="宋体"/>
          <w:bCs/>
          <w:color w:val="000000"/>
          <w:kern w:val="0"/>
          <w:sz w:val="32"/>
          <w:szCs w:val="32"/>
        </w:rPr>
      </w:pPr>
      <w:r>
        <w:rPr>
          <w:rFonts w:hint="eastAsia" w:ascii="仿宋_GB2312" w:eastAsia="仿宋_GB2312"/>
          <w:sz w:val="32"/>
          <w:szCs w:val="32"/>
        </w:rPr>
        <w:t>表六、</w:t>
      </w:r>
      <w:r>
        <w:rPr>
          <w:rFonts w:hint="eastAsia" w:ascii="仿宋_GB2312" w:hAnsi="宋体" w:eastAsia="仿宋_GB2312" w:cs="宋体"/>
          <w:color w:val="000000"/>
          <w:kern w:val="0"/>
          <w:sz w:val="32"/>
          <w:szCs w:val="32"/>
        </w:rPr>
        <w:t>北京市西城区融媒体中心</w:t>
      </w:r>
      <w:r>
        <w:rPr>
          <w:rFonts w:hint="eastAsia" w:ascii="仿宋_GB2312" w:hAnsi="宋体" w:eastAsia="仿宋_GB2312" w:cs="宋体"/>
          <w:bCs/>
          <w:color w:val="000000"/>
          <w:kern w:val="0"/>
          <w:sz w:val="32"/>
          <w:szCs w:val="32"/>
        </w:rPr>
        <w:t>一般公共预算财政拨款支出表</w:t>
      </w:r>
    </w:p>
    <w:p>
      <w:pPr>
        <w:autoSpaceDE w:val="0"/>
        <w:autoSpaceDN w:val="0"/>
        <w:adjustRightInd w:val="0"/>
        <w:spacing w:line="560" w:lineRule="exact"/>
        <w:ind w:firstLine="800" w:firstLineChars="250"/>
        <w:jc w:val="left"/>
        <w:rPr>
          <w:rFonts w:hint="eastAsia" w:ascii="仿宋_GB2312" w:eastAsia="仿宋_GB2312"/>
          <w:sz w:val="32"/>
          <w:szCs w:val="32"/>
        </w:rPr>
      </w:pPr>
      <w:r>
        <w:rPr>
          <w:rFonts w:hint="eastAsia" w:ascii="仿宋_GB2312" w:eastAsia="仿宋_GB2312"/>
          <w:sz w:val="32"/>
          <w:szCs w:val="32"/>
        </w:rPr>
        <w:t>表七、一般公共预算财政拨款基本支出表</w:t>
      </w:r>
    </w:p>
    <w:p>
      <w:pPr>
        <w:autoSpaceDE w:val="0"/>
        <w:autoSpaceDN w:val="0"/>
        <w:adjustRightInd w:val="0"/>
        <w:spacing w:line="560" w:lineRule="exact"/>
        <w:ind w:firstLine="800" w:firstLineChars="250"/>
        <w:jc w:val="left"/>
        <w:rPr>
          <w:rFonts w:hint="eastAsia" w:ascii="仿宋_GB2312" w:eastAsia="仿宋_GB2312"/>
          <w:sz w:val="32"/>
          <w:szCs w:val="32"/>
        </w:rPr>
      </w:pPr>
      <w:r>
        <w:rPr>
          <w:rFonts w:hint="eastAsia" w:ascii="仿宋_GB2312" w:eastAsia="仿宋_GB2312"/>
          <w:sz w:val="32"/>
          <w:szCs w:val="32"/>
        </w:rPr>
        <w:t>表八、政府性基金预算财政拨款支出表</w:t>
      </w:r>
    </w:p>
    <w:p>
      <w:pPr>
        <w:autoSpaceDE w:val="0"/>
        <w:autoSpaceDN w:val="0"/>
        <w:adjustRightInd w:val="0"/>
        <w:spacing w:line="560" w:lineRule="exact"/>
        <w:ind w:firstLine="800" w:firstLineChars="250"/>
        <w:jc w:val="left"/>
        <w:rPr>
          <w:rFonts w:hint="eastAsia" w:ascii="仿宋_GB2312" w:eastAsia="仿宋_GB2312"/>
          <w:sz w:val="32"/>
          <w:szCs w:val="32"/>
        </w:rPr>
      </w:pPr>
      <w:r>
        <w:rPr>
          <w:rFonts w:hint="eastAsia" w:ascii="仿宋_GB2312" w:eastAsia="仿宋_GB2312"/>
          <w:sz w:val="32"/>
          <w:szCs w:val="32"/>
        </w:rPr>
        <w:t>表九、国有资本经营预算财政拨款支出表</w:t>
      </w:r>
    </w:p>
    <w:p>
      <w:pPr>
        <w:ind w:firstLine="800" w:firstLineChars="250"/>
        <w:rPr>
          <w:rFonts w:hint="eastAsia" w:ascii="仿宋_GB2312" w:eastAsia="仿宋_GB2312"/>
          <w:bCs/>
          <w:sz w:val="32"/>
          <w:szCs w:val="32"/>
        </w:rPr>
      </w:pPr>
      <w:r>
        <w:rPr>
          <w:rFonts w:hint="eastAsia" w:ascii="仿宋_GB2312" w:eastAsia="仿宋_GB2312"/>
          <w:bCs/>
          <w:sz w:val="32"/>
          <w:szCs w:val="32"/>
        </w:rPr>
        <w:t>表十、北京市西城区融媒体中心整体支出绩效目标表</w:t>
      </w:r>
    </w:p>
    <w:p>
      <w:pPr>
        <w:jc w:val="center"/>
        <w:rPr>
          <w:rFonts w:hint="eastAsia" w:ascii="仿宋_GB2312" w:hAnsi="方正小标宋简体" w:eastAsia="仿宋_GB2312" w:cs="方正小标宋简体"/>
          <w:bCs/>
          <w:sz w:val="32"/>
          <w:szCs w:val="32"/>
        </w:rPr>
      </w:pPr>
    </w:p>
    <w:p>
      <w:pPr>
        <w:jc w:val="center"/>
        <w:rPr>
          <w:rFonts w:ascii="方正小标宋简体" w:hAnsi="方正小标宋简体" w:eastAsia="方正小标宋简体" w:cs="方正小标宋简体"/>
          <w:bCs/>
          <w:sz w:val="36"/>
          <w:szCs w:val="36"/>
        </w:rPr>
      </w:pPr>
    </w:p>
    <w:p>
      <w:pPr>
        <w:rPr>
          <w:rFonts w:ascii="方正小标宋简体" w:hAnsi="方正小标宋简体" w:eastAsia="方正小标宋简体" w:cs="方正小标宋简体"/>
          <w:bCs/>
          <w:sz w:val="36"/>
          <w:szCs w:val="36"/>
        </w:rPr>
      </w:pPr>
    </w:p>
    <w:p>
      <w:pPr>
        <w:rPr>
          <w:rFonts w:ascii="仿宋_GB2312" w:hAnsi="方正小标宋简体" w:eastAsia="仿宋_GB2312" w:cs="方正小标宋简体"/>
          <w:bCs/>
          <w:sz w:val="32"/>
          <w:szCs w:val="32"/>
        </w:rPr>
      </w:pPr>
      <w:r>
        <w:rPr>
          <w:rFonts w:hint="eastAsia" w:ascii="仿宋_GB2312" w:hAnsi="方正小标宋简体" w:eastAsia="仿宋_GB2312" w:cs="方正小标宋简体"/>
          <w:bCs/>
          <w:sz w:val="32"/>
          <w:szCs w:val="32"/>
        </w:rPr>
        <w:t>第一部分  2024年部门预算情况说明</w:t>
      </w:r>
    </w:p>
    <w:p>
      <w:pPr>
        <w:rPr>
          <w:rFonts w:ascii="仿宋_GB2312" w:eastAsia="仿宋_GB2312"/>
          <w:sz w:val="32"/>
          <w:szCs w:val="32"/>
        </w:rPr>
      </w:pPr>
    </w:p>
    <w:p>
      <w:pPr>
        <w:spacing w:line="560" w:lineRule="exact"/>
        <w:ind w:firstLine="640" w:firstLineChars="200"/>
        <w:rPr>
          <w:rFonts w:ascii="仿宋_GB2312" w:hAnsi="楷体_GB2312" w:eastAsia="仿宋_GB2312" w:cs="楷体_GB2312"/>
          <w:color w:val="000000"/>
          <w:sz w:val="32"/>
          <w:szCs w:val="32"/>
        </w:rPr>
      </w:pPr>
      <w:r>
        <w:rPr>
          <w:rFonts w:hint="eastAsia" w:ascii="仿宋_GB2312" w:hAnsi="楷体_GB2312" w:eastAsia="仿宋_GB2312" w:cs="楷体_GB2312"/>
          <w:color w:val="000000"/>
          <w:sz w:val="32"/>
          <w:szCs w:val="32"/>
        </w:rPr>
        <w:t>一、部门主要职责及机构设置情况</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（一）部门</w:t>
      </w:r>
      <w:r>
        <w:rPr>
          <w:rFonts w:ascii="仿宋_GB2312" w:eastAsia="仿宋_GB2312"/>
          <w:color w:val="000000"/>
          <w:sz w:val="32"/>
          <w:szCs w:val="32"/>
        </w:rPr>
        <w:t>机构设置、职责</w:t>
      </w:r>
    </w:p>
    <w:p>
      <w:pPr>
        <w:adjustRightInd w:val="0"/>
        <w:snapToGrid w:val="0"/>
        <w:spacing w:line="560" w:lineRule="exact"/>
        <w:ind w:firstLine="624" w:firstLineChars="200"/>
        <w:jc w:val="left"/>
        <w:rPr>
          <w:rFonts w:eastAsia="仿宋_GB2312"/>
          <w:sz w:val="32"/>
          <w:szCs w:val="32"/>
        </w:rPr>
      </w:pPr>
      <w:r>
        <w:rPr>
          <w:rFonts w:hint="eastAsia" w:ascii="仿宋_GB2312" w:eastAsia="仿宋_GB2312"/>
          <w:color w:val="000000"/>
          <w:spacing w:val="-4"/>
          <w:sz w:val="32"/>
          <w:szCs w:val="32"/>
        </w:rPr>
        <w:t>北京市西城区融媒体中心</w:t>
      </w:r>
      <w:r>
        <w:rPr>
          <w:rFonts w:hint="eastAsia" w:ascii="仿宋_GB2312" w:hAnsi="仿宋" w:eastAsia="仿宋_GB2312"/>
          <w:color w:val="000000"/>
          <w:sz w:val="32"/>
          <w:szCs w:val="32"/>
        </w:rPr>
        <w:t>是</w:t>
      </w:r>
      <w:r>
        <w:rPr>
          <w:rFonts w:hint="eastAsia" w:eastAsia="仿宋_GB2312"/>
          <w:sz w:val="32"/>
          <w:szCs w:val="32"/>
        </w:rPr>
        <w:t>区政府直属相当正处级公益一类财政补助事业单位，</w:t>
      </w:r>
      <w:r>
        <w:rPr>
          <w:rFonts w:hint="eastAsia" w:ascii="仿宋_GB2312" w:hAnsi="黑体" w:eastAsia="仿宋_GB2312"/>
          <w:bCs/>
          <w:color w:val="000000"/>
          <w:spacing w:val="-4"/>
          <w:sz w:val="32"/>
          <w:szCs w:val="32"/>
        </w:rPr>
        <w:t>内设12个机构。</w:t>
      </w:r>
    </w:p>
    <w:p>
      <w:pPr>
        <w:spacing w:line="560" w:lineRule="exact"/>
        <w:ind w:firstLine="480" w:firstLineChars="150"/>
        <w:rPr>
          <w:rFonts w:ascii="仿宋_GB2312" w:hAnsi="黑体" w:eastAsia="仿宋_GB2312"/>
          <w:sz w:val="32"/>
          <w:szCs w:val="32"/>
        </w:rPr>
      </w:pPr>
      <w:r>
        <w:rPr>
          <w:rFonts w:hint="eastAsia" w:ascii="仿宋_GB2312" w:hAnsi="黑体" w:eastAsia="仿宋_GB2312"/>
          <w:sz w:val="32"/>
          <w:szCs w:val="32"/>
        </w:rPr>
        <w:t>主要职责：</w:t>
      </w:r>
    </w:p>
    <w:p>
      <w:pPr>
        <w:adjustRightInd w:val="0"/>
        <w:snapToGrid w:val="0"/>
        <w:spacing w:line="560" w:lineRule="exact"/>
        <w:ind w:firstLine="640" w:firstLineChars="200"/>
        <w:jc w:val="left"/>
        <w:rPr>
          <w:rFonts w:eastAsia="仿宋_GB2312"/>
          <w:sz w:val="32"/>
          <w:szCs w:val="32"/>
        </w:rPr>
      </w:pPr>
      <w:r>
        <w:rPr>
          <w:rFonts w:hint="eastAsia" w:ascii="仿宋_GB2312" w:eastAsia="仿宋_GB2312"/>
          <w:color w:val="000000"/>
          <w:sz w:val="32"/>
          <w:szCs w:val="32"/>
        </w:rPr>
        <w:t>1.</w:t>
      </w:r>
      <w:r>
        <w:rPr>
          <w:rFonts w:hint="eastAsia" w:ascii="仿宋_GB2312" w:eastAsia="仿宋_GB2312"/>
          <w:color w:val="000000"/>
          <w:spacing w:val="-4"/>
          <w:sz w:val="32"/>
          <w:szCs w:val="32"/>
        </w:rPr>
        <w:t>围绕区委、区政府中心工作，</w:t>
      </w:r>
      <w:r>
        <w:rPr>
          <w:rFonts w:hint="eastAsia" w:eastAsia="仿宋_GB2312"/>
          <w:sz w:val="32"/>
          <w:szCs w:val="32"/>
        </w:rPr>
        <w:t>坚持一体化发展，移动端优先，实现一次采集、多元生成、多渠道发布、多平台互动，做大做强正面宣传。</w:t>
      </w:r>
    </w:p>
    <w:p>
      <w:pPr>
        <w:spacing w:line="560" w:lineRule="exact"/>
        <w:ind w:firstLine="640" w:firstLineChars="200"/>
        <w:rPr>
          <w:rFonts w:ascii="仿宋_GB2312" w:hAnsi="仿宋" w:eastAsia="仿宋_GB2312"/>
          <w:sz w:val="32"/>
          <w:szCs w:val="32"/>
        </w:rPr>
      </w:pPr>
      <w:r>
        <w:rPr>
          <w:rFonts w:hint="eastAsia" w:ascii="仿宋_GB2312" w:eastAsia="仿宋_GB2312"/>
          <w:color w:val="000000"/>
          <w:sz w:val="32"/>
          <w:szCs w:val="32"/>
        </w:rPr>
        <w:t>2.</w:t>
      </w:r>
      <w:r>
        <w:rPr>
          <w:rFonts w:hint="eastAsia" w:ascii="仿宋_GB2312" w:hAnsi="仿宋" w:eastAsia="仿宋_GB2312"/>
          <w:sz w:val="32"/>
          <w:szCs w:val="32"/>
        </w:rPr>
        <w:t>负责与首都各大媒体联系沟通，负责区域内重点工作、重要活动和重大事件的新闻策划和报道。</w:t>
      </w:r>
    </w:p>
    <w:p>
      <w:pPr>
        <w:spacing w:line="560" w:lineRule="exact"/>
        <w:ind w:firstLine="640" w:firstLineChars="200"/>
        <w:rPr>
          <w:rFonts w:ascii="仿宋_GB2312" w:hAnsi="仿宋" w:eastAsia="仿宋_GB2312"/>
          <w:sz w:val="32"/>
          <w:szCs w:val="32"/>
        </w:rPr>
      </w:pPr>
      <w:r>
        <w:rPr>
          <w:rFonts w:hint="eastAsia" w:ascii="仿宋_GB2312" w:eastAsia="仿宋_GB2312"/>
          <w:color w:val="000000"/>
          <w:sz w:val="32"/>
          <w:szCs w:val="32"/>
        </w:rPr>
        <w:t>3.</w:t>
      </w:r>
      <w:r>
        <w:rPr>
          <w:rFonts w:hint="eastAsia" w:ascii="仿宋_GB2312" w:hAnsi="仿宋" w:eastAsia="仿宋_GB2312"/>
          <w:sz w:val="32"/>
          <w:szCs w:val="32"/>
        </w:rPr>
        <w:t>制作北京电视台播出的西城区新闻和有关专题类电视节目。</w:t>
      </w:r>
    </w:p>
    <w:p>
      <w:pPr>
        <w:spacing w:line="560" w:lineRule="exact"/>
        <w:ind w:firstLine="640" w:firstLineChars="200"/>
        <w:rPr>
          <w:rFonts w:ascii="仿宋_GB2312" w:hAnsi="仿宋" w:eastAsia="仿宋_GB2312"/>
          <w:sz w:val="32"/>
          <w:szCs w:val="32"/>
        </w:rPr>
      </w:pPr>
      <w:r>
        <w:rPr>
          <w:rFonts w:hint="eastAsia" w:ascii="仿宋_GB2312" w:eastAsia="仿宋_GB2312"/>
          <w:color w:val="000000"/>
          <w:sz w:val="32"/>
          <w:szCs w:val="32"/>
        </w:rPr>
        <w:t>4.</w:t>
      </w:r>
      <w:r>
        <w:rPr>
          <w:rFonts w:hint="eastAsia" w:ascii="仿宋_GB2312" w:hAnsi="仿宋" w:eastAsia="仿宋_GB2312"/>
          <w:sz w:val="32"/>
          <w:szCs w:val="32"/>
        </w:rPr>
        <w:t>负责区委、区政府重点工作和重要活动的新闻策划宣传;负责区政府中英文网站新闻栏目的更新和维护以及对外宣传交流平台内容的更新。</w:t>
      </w:r>
    </w:p>
    <w:p>
      <w:pPr>
        <w:spacing w:line="560" w:lineRule="exact"/>
        <w:ind w:firstLine="640" w:firstLineChars="200"/>
        <w:rPr>
          <w:rFonts w:ascii="仿宋_GB2312" w:hAnsi="仿宋" w:eastAsia="仿宋_GB2312"/>
          <w:sz w:val="32"/>
          <w:szCs w:val="32"/>
        </w:rPr>
      </w:pPr>
      <w:r>
        <w:rPr>
          <w:rFonts w:hint="eastAsia" w:ascii="仿宋_GB2312" w:eastAsia="仿宋_GB2312"/>
          <w:color w:val="000000"/>
          <w:sz w:val="32"/>
          <w:szCs w:val="32"/>
        </w:rPr>
        <w:t>5.</w:t>
      </w:r>
      <w:r>
        <w:rPr>
          <w:rFonts w:hint="eastAsia" w:ascii="仿宋_GB2312" w:hAnsi="仿宋" w:eastAsia="仿宋_GB2312"/>
          <w:sz w:val="32"/>
          <w:szCs w:val="32"/>
        </w:rPr>
        <w:t>负责全区重大活动、重要会议、主要领导活动的图片、视频资料的拍摄、存档、建目工作。</w:t>
      </w:r>
    </w:p>
    <w:p>
      <w:pPr>
        <w:spacing w:line="560" w:lineRule="exact"/>
        <w:ind w:firstLine="640" w:firstLineChars="200"/>
        <w:rPr>
          <w:rFonts w:ascii="仿宋_GB2312" w:hAnsi="仿宋" w:eastAsia="仿宋_GB2312"/>
          <w:sz w:val="32"/>
          <w:szCs w:val="32"/>
        </w:rPr>
      </w:pPr>
      <w:r>
        <w:rPr>
          <w:rFonts w:hint="eastAsia" w:ascii="仿宋_GB2312" w:eastAsia="仿宋_GB2312"/>
          <w:color w:val="000000"/>
          <w:sz w:val="32"/>
          <w:szCs w:val="32"/>
        </w:rPr>
        <w:t>6.</w:t>
      </w:r>
      <w:r>
        <w:rPr>
          <w:rFonts w:hint="eastAsia" w:ascii="仿宋_GB2312" w:hAnsi="仿宋" w:eastAsia="仿宋_GB2312"/>
          <w:sz w:val="32"/>
          <w:szCs w:val="32"/>
        </w:rPr>
        <w:t>负责编辑出版有关本区政治、经济、文化等的纸质及电子刊物。负责</w:t>
      </w:r>
      <w:r>
        <w:rPr>
          <w:rFonts w:hint="eastAsia" w:ascii="仿宋_GB2312" w:hAnsi="宋体" w:eastAsia="仿宋_GB2312"/>
          <w:sz w:val="32"/>
          <w:szCs w:val="32"/>
        </w:rPr>
        <w:t>新媒体平台的建设及拓展。</w:t>
      </w:r>
      <w:r>
        <w:rPr>
          <w:rFonts w:hint="eastAsia" w:ascii="仿宋_GB2312" w:hAnsi="仿宋" w:eastAsia="仿宋_GB2312"/>
          <w:sz w:val="32"/>
          <w:szCs w:val="32"/>
        </w:rPr>
        <w:t>负责对接中央、市属新媒体，联系沟通并提供相应新媒体素材。</w:t>
      </w:r>
    </w:p>
    <w:p>
      <w:pPr>
        <w:adjustRightInd w:val="0"/>
        <w:snapToGrid w:val="0"/>
        <w:spacing w:line="560" w:lineRule="exact"/>
        <w:ind w:firstLine="640" w:firstLineChars="200"/>
        <w:jc w:val="left"/>
        <w:rPr>
          <w:rFonts w:ascii="仿宋_GB2312" w:hAnsi="仿宋" w:eastAsia="仿宋_GB2312"/>
          <w:color w:val="000000"/>
          <w:sz w:val="32"/>
          <w:szCs w:val="32"/>
        </w:rPr>
      </w:pPr>
      <w:r>
        <w:rPr>
          <w:rFonts w:hint="eastAsia" w:ascii="仿宋_GB2312" w:eastAsia="仿宋_GB2312"/>
          <w:color w:val="000000"/>
          <w:sz w:val="32"/>
          <w:szCs w:val="32"/>
        </w:rPr>
        <w:t>7.完成区委、区政府交办的其他任务。</w:t>
      </w:r>
    </w:p>
    <w:p>
      <w:pPr>
        <w:adjustRightInd w:val="0"/>
        <w:snapToGrid w:val="0"/>
        <w:spacing w:line="560" w:lineRule="exact"/>
        <w:ind w:firstLine="624" w:firstLineChars="200"/>
        <w:jc w:val="left"/>
        <w:rPr>
          <w:rFonts w:ascii="仿宋_GB2312" w:hAnsi="黑体" w:eastAsia="仿宋_GB2312"/>
          <w:bCs/>
          <w:color w:val="000000"/>
          <w:spacing w:val="-4"/>
          <w:sz w:val="32"/>
          <w:szCs w:val="32"/>
        </w:rPr>
      </w:pPr>
      <w:r>
        <w:rPr>
          <w:rFonts w:hint="eastAsia" w:ascii="仿宋_GB2312" w:hAnsi="黑体" w:eastAsia="仿宋_GB2312"/>
          <w:bCs/>
          <w:color w:val="000000"/>
          <w:spacing w:val="-4"/>
          <w:sz w:val="32"/>
          <w:szCs w:val="32"/>
        </w:rPr>
        <w:t>（二）人员构成情况</w:t>
      </w:r>
    </w:p>
    <w:p>
      <w:pPr>
        <w:adjustRightInd w:val="0"/>
        <w:snapToGrid w:val="0"/>
        <w:spacing w:line="560" w:lineRule="exact"/>
        <w:ind w:firstLine="624" w:firstLineChars="200"/>
        <w:jc w:val="left"/>
        <w:rPr>
          <w:rFonts w:ascii="仿宋_GB2312" w:eastAsia="仿宋_GB2312"/>
          <w:color w:val="000000"/>
          <w:spacing w:val="-4"/>
          <w:sz w:val="32"/>
          <w:szCs w:val="32"/>
        </w:rPr>
      </w:pPr>
      <w:r>
        <w:rPr>
          <w:rFonts w:hint="eastAsia" w:ascii="仿宋_GB2312" w:eastAsia="仿宋_GB2312"/>
          <w:color w:val="000000"/>
          <w:spacing w:val="-4"/>
          <w:sz w:val="32"/>
          <w:szCs w:val="32"/>
        </w:rPr>
        <w:t>区融媒体中心事业编制60名。</w:t>
      </w:r>
      <w:r>
        <w:rPr>
          <w:rFonts w:hint="eastAsia" w:ascii="仿宋_GB2312" w:eastAsia="仿宋_GB2312"/>
          <w:color w:val="000000"/>
          <w:sz w:val="32"/>
          <w:szCs w:val="32"/>
        </w:rPr>
        <w:t>设书记、主任1名，专职副书记1名，副主任3名。科级领导职数</w:t>
      </w:r>
      <w:r>
        <w:rPr>
          <w:rFonts w:hint="eastAsia" w:ascii="仿宋_GB2312" w:eastAsia="仿宋_GB2312"/>
          <w:color w:val="000000"/>
          <w:spacing w:val="-4"/>
          <w:sz w:val="32"/>
          <w:szCs w:val="32"/>
        </w:rPr>
        <w:t>12</w:t>
      </w:r>
      <w:r>
        <w:rPr>
          <w:rFonts w:hint="eastAsia" w:ascii="仿宋_GB2312" w:eastAsia="仿宋_GB2312"/>
          <w:color w:val="000000"/>
          <w:sz w:val="32"/>
          <w:szCs w:val="32"/>
        </w:rPr>
        <w:t>正</w:t>
      </w:r>
      <w:r>
        <w:rPr>
          <w:rFonts w:hint="eastAsia" w:ascii="仿宋_GB2312" w:eastAsia="仿宋_GB2312"/>
          <w:color w:val="000000"/>
          <w:spacing w:val="-4"/>
          <w:sz w:val="32"/>
          <w:szCs w:val="32"/>
        </w:rPr>
        <w:t>13</w:t>
      </w:r>
      <w:r>
        <w:rPr>
          <w:rFonts w:hint="eastAsia" w:ascii="仿宋_GB2312" w:eastAsia="仿宋_GB2312"/>
          <w:color w:val="000000"/>
          <w:sz w:val="32"/>
          <w:szCs w:val="32"/>
        </w:rPr>
        <w:t>副。实际在编人员57人。聘用人员17人。</w:t>
      </w:r>
    </w:p>
    <w:p>
      <w:pPr>
        <w:spacing w:line="560" w:lineRule="exact"/>
        <w:ind w:firstLine="800" w:firstLineChars="250"/>
        <w:rPr>
          <w:rFonts w:ascii="仿宋_GB2312" w:hAnsi="楷体_GB2312" w:eastAsia="仿宋_GB2312" w:cs="楷体_GB2312"/>
          <w:color w:val="000000"/>
          <w:sz w:val="32"/>
          <w:szCs w:val="32"/>
        </w:rPr>
      </w:pPr>
      <w:r>
        <w:rPr>
          <w:rFonts w:hint="eastAsia" w:ascii="仿宋_GB2312" w:hAnsi="楷体_GB2312" w:eastAsia="仿宋_GB2312" w:cs="楷体_GB2312"/>
          <w:color w:val="000000"/>
          <w:sz w:val="32"/>
          <w:szCs w:val="32"/>
        </w:rPr>
        <w:t>二、收入预算说明</w:t>
      </w:r>
    </w:p>
    <w:p>
      <w:pPr>
        <w:spacing w:line="560" w:lineRule="exact"/>
        <w:ind w:firstLine="640" w:firstLineChars="200"/>
        <w:rPr>
          <w:rFonts w:ascii="仿宋_GB2312" w:hAnsi="Batang" w:eastAsia="仿宋_GB2312"/>
          <w:sz w:val="32"/>
          <w:szCs w:val="32"/>
        </w:rPr>
      </w:pPr>
      <w:r>
        <w:rPr>
          <w:rFonts w:hint="eastAsia" w:ascii="仿宋_GB2312" w:hAnsi="Batang" w:eastAsia="仿宋_GB2312"/>
          <w:sz w:val="32"/>
          <w:szCs w:val="32"/>
        </w:rPr>
        <w:t>北京市西城区融媒体中心总支出安排</w:t>
      </w:r>
      <w:r>
        <w:rPr>
          <w:rFonts w:ascii="仿宋_GB2312" w:hAnsi="Batang" w:eastAsia="仿宋_GB2312"/>
          <w:sz w:val="32"/>
          <w:szCs w:val="32"/>
        </w:rPr>
        <w:t>37,782,096.21</w:t>
      </w:r>
      <w:r>
        <w:rPr>
          <w:rFonts w:hint="eastAsia" w:ascii="仿宋_GB2312" w:hAnsi="Batang" w:eastAsia="仿宋_GB2312"/>
          <w:sz w:val="32"/>
          <w:szCs w:val="32"/>
        </w:rPr>
        <w:t>元。其中：预算内资金安排</w:t>
      </w:r>
      <w:r>
        <w:rPr>
          <w:rFonts w:ascii="仿宋_GB2312" w:hAnsi="Batang" w:eastAsia="仿宋_GB2312"/>
          <w:sz w:val="32"/>
          <w:szCs w:val="32"/>
        </w:rPr>
        <w:t>37,782,096.21</w:t>
      </w:r>
      <w:r>
        <w:rPr>
          <w:rFonts w:hint="eastAsia" w:ascii="仿宋_GB2312" w:hAnsi="Batang" w:eastAsia="仿宋_GB2312"/>
          <w:sz w:val="32"/>
          <w:szCs w:val="32"/>
        </w:rPr>
        <w:t>元，财政专户资金安排0元，其他资金安排0元，市级提前下达专项转移支付项目资金安排0元。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三、支出预算说明</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（一）2024年支出预算按用途划分为基本支出和项目支出。</w:t>
      </w:r>
    </w:p>
    <w:p>
      <w:pPr>
        <w:ind w:firstLine="640" w:firstLineChars="200"/>
        <w:rPr>
          <w:rFonts w:ascii="仿宋_GB2312" w:hAnsi="宋体" w:eastAsia="仿宋_GB2312" w:cs="宋体"/>
          <w:bCs/>
          <w:color w:val="000000"/>
          <w:kern w:val="0"/>
          <w:sz w:val="32"/>
          <w:szCs w:val="32"/>
        </w:rPr>
      </w:pPr>
      <w:r>
        <w:rPr>
          <w:rFonts w:hint="eastAsia" w:ascii="仿宋_GB2312" w:hAnsi="仿宋_GB2312" w:eastAsia="仿宋_GB2312" w:cs="仿宋_GB2312"/>
          <w:sz w:val="32"/>
          <w:szCs w:val="32"/>
        </w:rPr>
        <w:t>1.基本支出预算</w:t>
      </w:r>
      <w:r>
        <w:rPr>
          <w:rFonts w:ascii="仿宋_GB2312" w:hAnsi="宋体" w:eastAsia="仿宋_GB2312" w:cs="宋体"/>
          <w:bCs/>
          <w:color w:val="000000"/>
          <w:kern w:val="0"/>
          <w:sz w:val="32"/>
          <w:szCs w:val="32"/>
        </w:rPr>
        <w:t>21,061,791.28</w:t>
      </w:r>
      <w:r>
        <w:rPr>
          <w:rFonts w:hint="eastAsia" w:ascii="仿宋_GB2312" w:hAnsi="宋体" w:eastAsia="仿宋_GB2312" w:cs="宋体"/>
          <w:bCs/>
          <w:color w:val="000000"/>
          <w:kern w:val="0"/>
          <w:sz w:val="32"/>
          <w:szCs w:val="32"/>
        </w:rPr>
        <w:t>元，占总支出预算55.75%</w:t>
      </w:r>
    </w:p>
    <w:p>
      <w:pPr>
        <w:ind w:firstLine="640" w:firstLineChars="200"/>
        <w:rPr>
          <w:rFonts w:ascii="仿宋_GB2312" w:hAnsi="宋体" w:eastAsia="仿宋_GB2312" w:cs="宋体"/>
          <w:bCs/>
          <w:color w:val="000000"/>
          <w:kern w:val="0"/>
          <w:sz w:val="32"/>
          <w:szCs w:val="32"/>
        </w:rPr>
      </w:pPr>
      <w:r>
        <w:rPr>
          <w:rFonts w:hint="eastAsia" w:ascii="仿宋_GB2312" w:hAnsi="仿宋_GB2312" w:eastAsia="仿宋_GB2312" w:cs="仿宋_GB2312"/>
          <w:sz w:val="32"/>
          <w:szCs w:val="32"/>
        </w:rPr>
        <w:t>2.项目支出预算</w:t>
      </w:r>
      <w:r>
        <w:rPr>
          <w:rFonts w:ascii="仿宋_GB2312" w:hAnsi="仿宋_GB2312" w:eastAsia="仿宋_GB2312" w:cs="仿宋_GB2312"/>
          <w:kern w:val="0"/>
          <w:sz w:val="32"/>
          <w:szCs w:val="32"/>
        </w:rPr>
        <w:t>16,720,304.93</w:t>
      </w:r>
      <w:r>
        <w:rPr>
          <w:rFonts w:hint="eastAsia" w:ascii="仿宋_GB2312" w:hAnsi="仿宋_GB2312" w:eastAsia="仿宋_GB2312" w:cs="仿宋_GB2312"/>
          <w:sz w:val="32"/>
          <w:szCs w:val="32"/>
        </w:rPr>
        <w:t>元</w:t>
      </w:r>
      <w:r>
        <w:rPr>
          <w:rFonts w:hint="eastAsia" w:ascii="仿宋_GB2312" w:hAnsi="仿宋_GB2312" w:eastAsia="仿宋_GB2312" w:cs="仿宋_GB2312"/>
          <w:kern w:val="0"/>
          <w:sz w:val="32"/>
          <w:szCs w:val="32"/>
        </w:rPr>
        <w:t>，</w:t>
      </w:r>
      <w:r>
        <w:rPr>
          <w:rFonts w:hint="eastAsia" w:ascii="仿宋_GB2312" w:hAnsi="宋体" w:eastAsia="仿宋_GB2312" w:cs="宋体"/>
          <w:bCs/>
          <w:color w:val="000000"/>
          <w:kern w:val="0"/>
          <w:sz w:val="32"/>
          <w:szCs w:val="32"/>
        </w:rPr>
        <w:t>占总支出预算44.25%</w:t>
      </w:r>
    </w:p>
    <w:p>
      <w:pPr>
        <w:spacing w:line="560" w:lineRule="exact"/>
        <w:ind w:firstLine="640" w:firstLineChars="200"/>
        <w:rPr>
          <w:rFonts w:ascii="仿宋_GB2312" w:hAnsi="楷体_GB2312" w:eastAsia="仿宋_GB2312" w:cs="楷体_GB2312"/>
          <w:color w:val="000000"/>
          <w:sz w:val="32"/>
          <w:szCs w:val="32"/>
        </w:rPr>
      </w:pPr>
      <w:r>
        <w:rPr>
          <w:rFonts w:hint="eastAsia" w:ascii="仿宋_GB2312" w:hAnsi="仿宋_GB2312" w:eastAsia="仿宋_GB2312" w:cs="仿宋_GB2312"/>
          <w:kern w:val="0"/>
          <w:sz w:val="32"/>
          <w:szCs w:val="32"/>
        </w:rPr>
        <w:t>（二）</w:t>
      </w:r>
      <w:r>
        <w:rPr>
          <w:rFonts w:hint="eastAsia" w:ascii="仿宋_GB2312" w:hAnsi="楷体_GB2312" w:eastAsia="仿宋_GB2312" w:cs="楷体_GB2312"/>
          <w:color w:val="000000"/>
          <w:sz w:val="32"/>
          <w:szCs w:val="32"/>
        </w:rPr>
        <w:t>主要支出情况</w:t>
      </w:r>
    </w:p>
    <w:p>
      <w:pPr>
        <w:ind w:firstLine="640" w:firstLineChars="200"/>
        <w:rPr>
          <w:rFonts w:ascii="仿宋_GB2312" w:hAnsi="宋体" w:eastAsia="仿宋_GB2312" w:cs="宋体"/>
          <w:b/>
          <w:bCs/>
          <w:color w:val="000000"/>
          <w:kern w:val="0"/>
          <w:sz w:val="32"/>
          <w:szCs w:val="32"/>
        </w:rPr>
      </w:pPr>
      <w:r>
        <w:rPr>
          <w:rFonts w:hint="eastAsia" w:ascii="仿宋_GB2312" w:hAnsi="仿宋_GB2312" w:eastAsia="仿宋_GB2312" w:cs="仿宋_GB2312"/>
          <w:sz w:val="32"/>
          <w:szCs w:val="32"/>
        </w:rPr>
        <w:t>1.2024年一般公共预算支出按照支出性质划分: .基本支出预算</w:t>
      </w:r>
      <w:r>
        <w:rPr>
          <w:rFonts w:ascii="仿宋_GB2312" w:hAnsi="宋体" w:eastAsia="仿宋_GB2312" w:cs="宋体"/>
          <w:bCs/>
          <w:color w:val="000000"/>
          <w:kern w:val="0"/>
          <w:sz w:val="32"/>
          <w:szCs w:val="32"/>
        </w:rPr>
        <w:t>21,061,791.28</w:t>
      </w:r>
      <w:r>
        <w:rPr>
          <w:rFonts w:hint="eastAsia" w:ascii="仿宋_GB2312" w:hAnsi="宋体" w:eastAsia="仿宋_GB2312" w:cs="宋体"/>
          <w:b/>
          <w:bCs/>
          <w:color w:val="000000"/>
          <w:kern w:val="0"/>
          <w:sz w:val="32"/>
          <w:szCs w:val="32"/>
        </w:rPr>
        <w:t>元</w:t>
      </w:r>
      <w:r>
        <w:rPr>
          <w:rFonts w:hint="eastAsia" w:ascii="仿宋_GB2312" w:hAnsi="仿宋_GB2312" w:eastAsia="仿宋_GB2312" w:cs="仿宋_GB2312"/>
          <w:sz w:val="32"/>
          <w:szCs w:val="32"/>
        </w:rPr>
        <w:t>；项目支出预算</w:t>
      </w:r>
      <w:r>
        <w:rPr>
          <w:rFonts w:ascii="仿宋_GB2312" w:hAnsi="仿宋_GB2312" w:eastAsia="仿宋_GB2312" w:cs="仿宋_GB2312"/>
          <w:kern w:val="0"/>
          <w:sz w:val="32"/>
          <w:szCs w:val="32"/>
        </w:rPr>
        <w:t>16,720,304.93</w:t>
      </w:r>
      <w:r>
        <w:rPr>
          <w:rFonts w:hint="eastAsia" w:ascii="仿宋_GB2312" w:hAnsi="仿宋_GB2312" w:eastAsia="仿宋_GB2312" w:cs="仿宋_GB2312"/>
          <w:sz w:val="32"/>
          <w:szCs w:val="32"/>
        </w:rPr>
        <w:t>元</w:t>
      </w:r>
      <w:r>
        <w:rPr>
          <w:rFonts w:hint="eastAsia" w:ascii="仿宋_GB2312" w:hAnsi="仿宋_GB2312" w:eastAsia="仿宋_GB2312" w:cs="仿宋_GB2312"/>
          <w:kern w:val="0"/>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2.2024年一般公共预算支出按照支出项目类别划分 ：社会保障和就业支出</w:t>
      </w:r>
      <w:r>
        <w:rPr>
          <w:rFonts w:ascii="仿宋_GB2312" w:hAnsi="仿宋_GB2312" w:eastAsia="仿宋_GB2312" w:cs="仿宋_GB2312"/>
          <w:sz w:val="32"/>
          <w:szCs w:val="32"/>
        </w:rPr>
        <w:t>2588479</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4元；卫生健康支出</w:t>
      </w:r>
      <w:r>
        <w:rPr>
          <w:rFonts w:ascii="仿宋_GB2312" w:hAnsi="仿宋_GB2312" w:eastAsia="仿宋_GB2312" w:cs="仿宋_GB2312"/>
          <w:sz w:val="32"/>
          <w:szCs w:val="32"/>
        </w:rPr>
        <w:t>1380269</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52</w:t>
      </w:r>
      <w:r>
        <w:rPr>
          <w:rFonts w:hint="eastAsia" w:ascii="仿宋_GB2312" w:hAnsi="仿宋_GB2312" w:eastAsia="仿宋_GB2312" w:cs="仿宋_GB2312"/>
          <w:sz w:val="32"/>
          <w:szCs w:val="32"/>
        </w:rPr>
        <w:t>元；住房保障支出</w:t>
      </w:r>
      <w:r>
        <w:rPr>
          <w:rFonts w:ascii="仿宋_GB2312" w:hAnsi="仿宋_GB2312" w:eastAsia="仿宋_GB2312" w:cs="仿宋_GB2312"/>
          <w:sz w:val="32"/>
          <w:szCs w:val="32"/>
        </w:rPr>
        <w:t>2,985485</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52</w:t>
      </w:r>
      <w:r>
        <w:rPr>
          <w:rFonts w:hint="eastAsia" w:ascii="仿宋_GB2312" w:hAnsi="仿宋_GB2312" w:eastAsia="仿宋_GB2312" w:cs="仿宋_GB2312"/>
          <w:sz w:val="32"/>
          <w:szCs w:val="32"/>
        </w:rPr>
        <w:t>元。</w:t>
      </w:r>
      <w:bookmarkStart w:id="0" w:name="_Toc19384_WPSOffice_Level2"/>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eastAsia="仿宋_GB2312"/>
          <w:sz w:val="32"/>
          <w:szCs w:val="32"/>
        </w:rPr>
        <w:t>2024年部门预算收支及增减变化情况说明</w:t>
      </w:r>
      <w:bookmarkEnd w:id="0"/>
    </w:p>
    <w:p>
      <w:pPr>
        <w:spacing w:line="640" w:lineRule="exact"/>
        <w:ind w:firstLine="556"/>
        <w:rPr>
          <w:rFonts w:hint="eastAsia" w:ascii="仿宋_GB2312" w:hAnsi="Tahoma" w:eastAsia="仿宋_GB2312" w:cs="Tahoma"/>
          <w:color w:val="FF0000"/>
          <w:sz w:val="32"/>
          <w:szCs w:val="32"/>
        </w:rPr>
      </w:pPr>
      <w:r>
        <w:rPr>
          <w:rFonts w:hint="eastAsia" w:ascii="仿宋_GB2312" w:hAnsi="Tahoma" w:eastAsia="仿宋_GB2312" w:cs="Tahoma"/>
          <w:sz w:val="32"/>
          <w:szCs w:val="32"/>
        </w:rPr>
        <w:t>西城区融媒体中心2024年收入预算</w:t>
      </w:r>
      <w:r>
        <w:rPr>
          <w:rFonts w:hint="eastAsia" w:ascii="仿宋_GB2312" w:hAnsi="Batang" w:eastAsia="仿宋_GB2312"/>
          <w:sz w:val="32"/>
          <w:szCs w:val="32"/>
        </w:rPr>
        <w:t>37,782,096.21</w:t>
      </w:r>
      <w:r>
        <w:rPr>
          <w:rFonts w:hint="eastAsia" w:ascii="仿宋_GB2312" w:hAnsi="Tahoma" w:eastAsia="仿宋_GB2312" w:cs="Tahoma"/>
          <w:sz w:val="32"/>
          <w:szCs w:val="32"/>
        </w:rPr>
        <w:t>元。同比2023年收入预算</w:t>
      </w:r>
      <w:r>
        <w:rPr>
          <w:rFonts w:hint="eastAsia" w:ascii="仿宋_GB2312" w:hAnsi="微软雅黑" w:eastAsia="仿宋_GB2312"/>
          <w:color w:val="333333"/>
          <w:sz w:val="32"/>
          <w:szCs w:val="32"/>
          <w:shd w:val="clear" w:color="auto" w:fill="FFFFFF"/>
        </w:rPr>
        <w:t>30,429,772.94</w:t>
      </w:r>
      <w:r>
        <w:rPr>
          <w:rFonts w:hint="eastAsia" w:ascii="仿宋_GB2312" w:hAnsi="Tahoma" w:eastAsia="仿宋_GB2312" w:cs="Tahoma"/>
          <w:sz w:val="32"/>
          <w:szCs w:val="32"/>
        </w:rPr>
        <w:t>元，增加7352323.27元，增长24.2%。主要原因是根据工作实际，新增了直播经费、网络技术服务经费等。</w:t>
      </w:r>
    </w:p>
    <w:p>
      <w:pPr>
        <w:spacing w:line="560" w:lineRule="exact"/>
        <w:ind w:firstLine="640" w:firstLineChars="200"/>
        <w:rPr>
          <w:rFonts w:ascii="仿宋_GB2312" w:hAnsi="仿宋_GB2312" w:eastAsia="仿宋_GB2312" w:cs="仿宋_GB2312"/>
          <w:sz w:val="32"/>
          <w:szCs w:val="32"/>
        </w:rPr>
      </w:pPr>
    </w:p>
    <w:p>
      <w:pPr>
        <w:spacing w:line="560" w:lineRule="exact"/>
        <w:ind w:firstLine="800" w:firstLineChars="250"/>
        <w:rPr>
          <w:rFonts w:ascii="仿宋_GB2312" w:hAnsi="楷体_GB2312" w:eastAsia="仿宋_GB2312" w:cs="楷体_GB2312"/>
          <w:color w:val="000000"/>
          <w:sz w:val="32"/>
          <w:szCs w:val="32"/>
        </w:rPr>
      </w:pPr>
      <w:r>
        <w:rPr>
          <w:rFonts w:hint="eastAsia" w:ascii="仿宋_GB2312" w:hAnsi="楷体_GB2312" w:eastAsia="仿宋_GB2312" w:cs="楷体_GB2312"/>
          <w:color w:val="000000"/>
          <w:sz w:val="32"/>
          <w:szCs w:val="32"/>
        </w:rPr>
        <w:t>五、部门“三公”经费财政拨款预算说明</w:t>
      </w:r>
    </w:p>
    <w:p>
      <w:pPr>
        <w:spacing w:line="560" w:lineRule="exact"/>
        <w:ind w:firstLine="800" w:firstLineChars="250"/>
        <w:rPr>
          <w:rFonts w:ascii="仿宋_GB2312" w:hAnsi="楷体_GB2312" w:eastAsia="仿宋_GB2312" w:cs="楷体_GB2312"/>
          <w:color w:val="000000"/>
          <w:sz w:val="32"/>
          <w:szCs w:val="32"/>
        </w:rPr>
      </w:pPr>
      <w:r>
        <w:rPr>
          <w:rFonts w:hint="eastAsia" w:ascii="仿宋_GB2312" w:hAnsi="楷体_GB2312" w:eastAsia="仿宋_GB2312" w:cs="楷体_GB2312"/>
          <w:color w:val="000000"/>
          <w:sz w:val="32"/>
          <w:szCs w:val="32"/>
        </w:rPr>
        <w:t>本部门2024年度未安排“三公”经费预算。</w:t>
      </w:r>
    </w:p>
    <w:p>
      <w:pPr>
        <w:spacing w:line="560" w:lineRule="exact"/>
        <w:ind w:firstLine="800" w:firstLineChars="250"/>
        <w:rPr>
          <w:rFonts w:ascii="仿宋_GB2312" w:hAnsi="楷体_GB2312" w:eastAsia="仿宋_GB2312" w:cs="楷体_GB2312"/>
          <w:color w:val="000000"/>
          <w:sz w:val="32"/>
          <w:szCs w:val="32"/>
        </w:rPr>
      </w:pPr>
      <w:r>
        <w:rPr>
          <w:rFonts w:hint="eastAsia" w:ascii="仿宋_GB2312" w:hAnsi="楷体_GB2312" w:eastAsia="仿宋_GB2312" w:cs="楷体_GB2312"/>
          <w:color w:val="000000"/>
          <w:sz w:val="32"/>
          <w:szCs w:val="32"/>
        </w:rPr>
        <w:t>六、其他情况说明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（一）政府采购预算说明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2024年北京市西城区融媒体中心政府采购预算总额213600元。</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（二）政府购买服务预算的说明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北京市西城区融媒体中心不涉及政府购买服务。</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（三）机关运行经费情况说明</w:t>
      </w:r>
    </w:p>
    <w:p>
      <w:pPr>
        <w:spacing w:line="560" w:lineRule="exact"/>
        <w:ind w:firstLine="640" w:firstLineChars="200"/>
        <w:rPr>
          <w:rFonts w:ascii="仿宋_GB2312" w:hAnsi="宋体" w:eastAsia="仿宋_GB2312" w:cs="宋体"/>
          <w:b/>
          <w:bCs/>
          <w:kern w:val="0"/>
          <w:sz w:val="32"/>
          <w:szCs w:val="32"/>
        </w:rPr>
      </w:pPr>
      <w:r>
        <w:rPr>
          <w:rFonts w:hint="eastAsia" w:ascii="仿宋_GB2312" w:eastAsia="仿宋_GB2312"/>
          <w:sz w:val="32"/>
          <w:szCs w:val="32"/>
        </w:rPr>
        <w:t>2024年</w:t>
      </w:r>
      <w:r>
        <w:rPr>
          <w:rFonts w:hint="eastAsia" w:ascii="仿宋_GB2312" w:eastAsia="仿宋_GB2312"/>
          <w:color w:val="000000"/>
          <w:sz w:val="32"/>
          <w:szCs w:val="32"/>
        </w:rPr>
        <w:t>北京市西城区融媒体中心</w:t>
      </w:r>
      <w:r>
        <w:rPr>
          <w:rFonts w:hint="eastAsia" w:ascii="仿宋_GB2312" w:eastAsia="仿宋_GB2312"/>
          <w:sz w:val="32"/>
          <w:szCs w:val="32"/>
        </w:rPr>
        <w:t>履行</w:t>
      </w:r>
      <w:r>
        <w:rPr>
          <w:rFonts w:hint="eastAsia" w:eastAsia="仿宋_GB2312"/>
          <w:sz w:val="32"/>
          <w:szCs w:val="32"/>
        </w:rPr>
        <w:t>公益一类财政补助事业单位</w:t>
      </w:r>
      <w:r>
        <w:rPr>
          <w:rFonts w:hint="eastAsia" w:ascii="仿宋_GB2312" w:eastAsia="仿宋_GB2312"/>
          <w:sz w:val="32"/>
          <w:szCs w:val="32"/>
        </w:rPr>
        <w:t>职能、维持单位运行，用于一般公共预算安排的行政运行经费</w:t>
      </w:r>
      <w:r>
        <w:rPr>
          <w:rFonts w:hint="eastAsia" w:ascii="仿宋_GB2312" w:eastAsia="仿宋_GB2312"/>
          <w:color w:val="000000"/>
          <w:sz w:val="32"/>
          <w:szCs w:val="32"/>
        </w:rPr>
        <w:t>，合计726952元。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行政运行经费是指为保障单位正常运行，用于办公费、邮电费、差旅费、会议费、培训费、福利费、日常维修费、办公用房水电费等费用。</w:t>
      </w:r>
    </w:p>
    <w:p>
      <w:pPr>
        <w:numPr>
          <w:ilvl w:val="0"/>
          <w:numId w:val="1"/>
        </w:numPr>
        <w:spacing w:line="560" w:lineRule="exact"/>
        <w:rPr>
          <w:rFonts w:ascii="仿宋_GB2312" w:eastAsia="仿宋_GB2312"/>
          <w:color w:val="000000"/>
          <w:sz w:val="32"/>
          <w:szCs w:val="32"/>
        </w:rPr>
      </w:pPr>
      <w:r>
        <w:rPr>
          <w:rFonts w:hint="eastAsia" w:ascii="仿宋_GB2312" w:eastAsia="仿宋_GB2312"/>
          <w:color w:val="000000"/>
          <w:sz w:val="32"/>
          <w:szCs w:val="32"/>
        </w:rPr>
        <w:t>项目支出绩效目标情况说明</w:t>
      </w:r>
    </w:p>
    <w:p>
      <w:pPr>
        <w:spacing w:line="560" w:lineRule="exact"/>
        <w:ind w:firstLine="640" w:firstLineChars="200"/>
        <w:outlineLvl w:val="0"/>
        <w:rPr>
          <w:rFonts w:ascii="仿宋_GB2312" w:eastAsia="仿宋_GB2312"/>
          <w:color w:val="000000"/>
          <w:sz w:val="32"/>
          <w:szCs w:val="32"/>
        </w:rPr>
      </w:pPr>
      <w:r>
        <w:rPr>
          <w:rFonts w:hint="eastAsia" w:ascii="仿宋_GB2312" w:eastAsia="仿宋_GB2312"/>
          <w:sz w:val="32"/>
          <w:szCs w:val="32"/>
        </w:rPr>
        <w:t>2024年</w:t>
      </w:r>
      <w:r>
        <w:rPr>
          <w:rFonts w:hint="eastAsia" w:ascii="仿宋_GB2312" w:eastAsia="仿宋_GB2312"/>
          <w:color w:val="000000"/>
          <w:sz w:val="32"/>
          <w:szCs w:val="32"/>
        </w:rPr>
        <w:t>北京市西城区融媒体中心填报绩效目标的预算项目11个，占本年预算项目12个的91.7%。填报绩效目标的项目支出预算16562504.93元，占本部门全部项目支出预算的99.06%。</w:t>
      </w:r>
    </w:p>
    <w:p>
      <w:pPr>
        <w:spacing w:line="560" w:lineRule="exact"/>
        <w:ind w:firstLine="480" w:firstLineChars="150"/>
        <w:outlineLvl w:val="0"/>
        <w:rPr>
          <w:rFonts w:ascii="仿宋_GB2312" w:eastAsia="仿宋_GB2312"/>
          <w:sz w:val="32"/>
          <w:szCs w:val="32"/>
        </w:rPr>
      </w:pPr>
      <w:r>
        <w:rPr>
          <w:rFonts w:hint="eastAsia" w:ascii="仿宋_GB2312" w:eastAsia="仿宋_GB2312"/>
          <w:sz w:val="32"/>
          <w:szCs w:val="32"/>
        </w:rPr>
        <w:t>（五）重点行政事业性收费情况说明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本部门2024年无重点行政事业性收费。</w:t>
      </w:r>
    </w:p>
    <w:p>
      <w:pPr>
        <w:spacing w:line="560" w:lineRule="exact"/>
        <w:ind w:firstLine="480" w:firstLineChars="150"/>
        <w:rPr>
          <w:rFonts w:ascii="仿宋_GB2312" w:eastAsia="仿宋_GB2312"/>
          <w:color w:val="000000"/>
          <w:sz w:val="32"/>
          <w:szCs w:val="32"/>
        </w:rPr>
      </w:pPr>
      <w:r>
        <w:rPr>
          <w:rFonts w:hint="eastAsia" w:ascii="仿宋_GB2312" w:eastAsia="仿宋_GB2312"/>
          <w:color w:val="000000"/>
          <w:sz w:val="32"/>
          <w:szCs w:val="32"/>
        </w:rPr>
        <w:t>（六）国有资本经营预算财政拨款情况说明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本部门2024年无国有资本经营预算财政拨款安排的预算。</w:t>
      </w:r>
    </w:p>
    <w:p>
      <w:pPr>
        <w:spacing w:line="560" w:lineRule="exact"/>
        <w:jc w:val="center"/>
        <w:rPr>
          <w:rFonts w:ascii="方正小标宋简体" w:hAnsi="方正小标宋简体" w:eastAsia="方正小标宋简体" w:cs="方正小标宋简体"/>
          <w:color w:val="000000"/>
          <w:sz w:val="36"/>
          <w:szCs w:val="36"/>
        </w:rPr>
      </w:pPr>
    </w:p>
    <w:p>
      <w:pPr>
        <w:spacing w:line="560" w:lineRule="exact"/>
        <w:jc w:val="center"/>
        <w:rPr>
          <w:rFonts w:ascii="方正小标宋简体" w:hAnsi="方正小标宋简体" w:eastAsia="方正小标宋简体" w:cs="方正小标宋简体"/>
          <w:color w:val="000000"/>
          <w:sz w:val="36"/>
          <w:szCs w:val="36"/>
        </w:rPr>
      </w:pPr>
    </w:p>
    <w:p>
      <w:pPr>
        <w:spacing w:line="560" w:lineRule="exact"/>
        <w:ind w:firstLine="1800" w:firstLineChars="500"/>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第二部分  2024年部门预算表</w:t>
      </w:r>
    </w:p>
    <w:tbl>
      <w:tblPr>
        <w:tblStyle w:val="8"/>
        <w:tblW w:w="12270" w:type="dxa"/>
        <w:tblInd w:w="-359" w:type="dxa"/>
        <w:tblLayout w:type="fixed"/>
        <w:tblCellMar>
          <w:top w:w="0" w:type="dxa"/>
          <w:left w:w="108" w:type="dxa"/>
          <w:bottom w:w="0" w:type="dxa"/>
          <w:right w:w="108" w:type="dxa"/>
        </w:tblCellMar>
      </w:tblPr>
      <w:tblGrid>
        <w:gridCol w:w="448"/>
        <w:gridCol w:w="236"/>
        <w:gridCol w:w="2044"/>
        <w:gridCol w:w="691"/>
        <w:gridCol w:w="831"/>
        <w:gridCol w:w="948"/>
        <w:gridCol w:w="2042"/>
        <w:gridCol w:w="540"/>
        <w:gridCol w:w="1177"/>
        <w:gridCol w:w="3313"/>
      </w:tblGrid>
      <w:tr>
        <w:tblPrEx>
          <w:tblCellMar>
            <w:top w:w="0" w:type="dxa"/>
            <w:left w:w="108" w:type="dxa"/>
            <w:bottom w:w="0" w:type="dxa"/>
            <w:right w:w="108" w:type="dxa"/>
          </w:tblCellMar>
        </w:tblPrEx>
        <w:trPr>
          <w:gridAfter w:val="1"/>
          <w:wAfter w:w="3313" w:type="dxa"/>
          <w:trHeight w:val="360" w:hRule="atLeast"/>
        </w:trPr>
        <w:tc>
          <w:tcPr>
            <w:tcW w:w="2728" w:type="dxa"/>
            <w:gridSpan w:val="3"/>
            <w:tcBorders>
              <w:top w:val="nil"/>
              <w:left w:val="nil"/>
              <w:bottom w:val="nil"/>
              <w:right w:val="nil"/>
            </w:tcBorders>
            <w:noWrap/>
            <w:vAlign w:val="bottom"/>
          </w:tcPr>
          <w:p>
            <w:pPr>
              <w:widowControl/>
              <w:jc w:val="left"/>
              <w:rPr>
                <w:rFonts w:ascii="宋体" w:hAnsi="宋体" w:cs="宋体"/>
                <w:b/>
                <w:bCs/>
                <w:color w:val="000000"/>
                <w:kern w:val="0"/>
                <w:sz w:val="22"/>
                <w:szCs w:val="22"/>
              </w:rPr>
            </w:pPr>
          </w:p>
        </w:tc>
        <w:tc>
          <w:tcPr>
            <w:tcW w:w="1522" w:type="dxa"/>
            <w:gridSpan w:val="2"/>
            <w:tcBorders>
              <w:top w:val="nil"/>
              <w:left w:val="nil"/>
              <w:bottom w:val="nil"/>
              <w:right w:val="nil"/>
            </w:tcBorders>
            <w:noWrap/>
            <w:vAlign w:val="bottom"/>
          </w:tcPr>
          <w:p>
            <w:pPr>
              <w:widowControl/>
              <w:jc w:val="left"/>
              <w:rPr>
                <w:rFonts w:ascii="宋体" w:hAnsi="宋体" w:cs="宋体"/>
                <w:color w:val="000000"/>
                <w:kern w:val="0"/>
                <w:sz w:val="22"/>
                <w:szCs w:val="22"/>
              </w:rPr>
            </w:pPr>
          </w:p>
        </w:tc>
        <w:tc>
          <w:tcPr>
            <w:tcW w:w="2990" w:type="dxa"/>
            <w:gridSpan w:val="2"/>
            <w:tcBorders>
              <w:top w:val="nil"/>
              <w:left w:val="nil"/>
              <w:bottom w:val="nil"/>
              <w:right w:val="nil"/>
            </w:tcBorders>
            <w:noWrap/>
            <w:vAlign w:val="bottom"/>
          </w:tcPr>
          <w:p>
            <w:pPr>
              <w:widowControl/>
              <w:jc w:val="left"/>
              <w:rPr>
                <w:rFonts w:ascii="宋体" w:hAnsi="宋体" w:cs="宋体"/>
                <w:color w:val="000000"/>
                <w:kern w:val="0"/>
                <w:sz w:val="22"/>
                <w:szCs w:val="22"/>
              </w:rPr>
            </w:pPr>
          </w:p>
        </w:tc>
        <w:tc>
          <w:tcPr>
            <w:tcW w:w="1717" w:type="dxa"/>
            <w:gridSpan w:val="2"/>
            <w:tcBorders>
              <w:top w:val="nil"/>
              <w:left w:val="nil"/>
              <w:bottom w:val="nil"/>
              <w:right w:val="nil"/>
            </w:tcBorders>
            <w:noWrap/>
            <w:vAlign w:val="bottom"/>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gridBefore w:val="1"/>
          <w:wBefore w:w="448" w:type="dxa"/>
          <w:trHeight w:val="327" w:hRule="atLeast"/>
        </w:trPr>
        <w:tc>
          <w:tcPr>
            <w:tcW w:w="236" w:type="dxa"/>
            <w:tcBorders>
              <w:top w:val="nil"/>
              <w:left w:val="nil"/>
              <w:bottom w:val="single" w:color="FFFFFF" w:sz="4" w:space="0"/>
              <w:right w:val="nil"/>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735" w:type="dxa"/>
            <w:gridSpan w:val="2"/>
            <w:tcBorders>
              <w:top w:val="nil"/>
              <w:left w:val="single" w:color="FFFFFF" w:sz="4" w:space="0"/>
              <w:bottom w:val="single" w:color="FFFFFF" w:sz="4" w:space="0"/>
              <w:right w:val="single" w:color="FFFFFF" w:sz="4" w:space="0"/>
            </w:tcBorders>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779" w:type="dxa"/>
            <w:gridSpan w:val="2"/>
            <w:tcBorders>
              <w:top w:val="nil"/>
              <w:left w:val="nil"/>
              <w:bottom w:val="single" w:color="FFFFFF" w:sz="4" w:space="0"/>
              <w:right w:val="single" w:color="FFFFFF"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582" w:type="dxa"/>
            <w:gridSpan w:val="2"/>
            <w:tcBorders>
              <w:top w:val="nil"/>
              <w:left w:val="nil"/>
              <w:bottom w:val="single" w:color="FFFFFF" w:sz="4" w:space="0"/>
              <w:right w:val="single" w:color="FFFFFF"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490" w:type="dxa"/>
            <w:gridSpan w:val="2"/>
            <w:tcBorders>
              <w:top w:val="nil"/>
              <w:left w:val="nil"/>
              <w:bottom w:val="single" w:color="FFFFFF" w:sz="4" w:space="0"/>
              <w:right w:val="single" w:color="FFFFFF"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10" w:usb3="00000000" w:csb0="0008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461681"/>
    <w:multiLevelType w:val="multilevel"/>
    <w:tmpl w:val="38461681"/>
    <w:lvl w:ilvl="0" w:tentative="0">
      <w:start w:val="4"/>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C0E"/>
    <w:rsid w:val="00185655"/>
    <w:rsid w:val="001E0A12"/>
    <w:rsid w:val="00341901"/>
    <w:rsid w:val="00457C0E"/>
    <w:rsid w:val="00564675"/>
    <w:rsid w:val="005E769D"/>
    <w:rsid w:val="00705686"/>
    <w:rsid w:val="007873A4"/>
    <w:rsid w:val="007D59B8"/>
    <w:rsid w:val="00812672"/>
    <w:rsid w:val="00814BE4"/>
    <w:rsid w:val="0099234D"/>
    <w:rsid w:val="009F1DAC"/>
    <w:rsid w:val="009F5BA7"/>
    <w:rsid w:val="00A00753"/>
    <w:rsid w:val="00B25383"/>
    <w:rsid w:val="00B86670"/>
    <w:rsid w:val="00C62AF5"/>
    <w:rsid w:val="00C828F7"/>
    <w:rsid w:val="00CB166A"/>
    <w:rsid w:val="00D074FE"/>
    <w:rsid w:val="00D829E1"/>
    <w:rsid w:val="00DA29AF"/>
    <w:rsid w:val="00DC1616"/>
    <w:rsid w:val="00E84226"/>
    <w:rsid w:val="00F73107"/>
    <w:rsid w:val="0730481F"/>
    <w:rsid w:val="281D6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8"/>
    <w:unhideWhenUsed/>
    <w:qFormat/>
    <w:uiPriority w:val="9"/>
    <w:pPr>
      <w:keepNext/>
      <w:keepLines/>
      <w:spacing w:line="240" w:lineRule="atLeast"/>
      <w:outlineLvl w:val="1"/>
    </w:pPr>
    <w:rPr>
      <w:rFonts w:ascii="Arial" w:hAnsi="Arial" w:eastAsia="黑体"/>
      <w:b/>
      <w:sz w:val="32"/>
      <w:szCs w:val="21"/>
    </w:rPr>
  </w:style>
  <w:style w:type="paragraph" w:styleId="3">
    <w:name w:val="heading 3"/>
    <w:basedOn w:val="1"/>
    <w:next w:val="1"/>
    <w:link w:val="19"/>
    <w:unhideWhenUsed/>
    <w:qFormat/>
    <w:uiPriority w:val="9"/>
    <w:pPr>
      <w:keepNext/>
      <w:keepLines/>
      <w:spacing w:line="413" w:lineRule="auto"/>
      <w:outlineLvl w:val="2"/>
    </w:pPr>
    <w:rPr>
      <w:rFonts w:eastAsia="楷体"/>
      <w:b/>
      <w:sz w:val="32"/>
      <w:szCs w:val="21"/>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unhideWhenUsed/>
    <w:uiPriority w:val="99"/>
    <w:rPr>
      <w:kern w:val="0"/>
      <w:sz w:val="18"/>
      <w:szCs w:val="18"/>
    </w:rPr>
  </w:style>
  <w:style w:type="paragraph" w:styleId="5">
    <w:name w:val="footer"/>
    <w:basedOn w:val="1"/>
    <w:link w:val="12"/>
    <w:unhideWhenUsed/>
    <w:uiPriority w:val="99"/>
    <w:pPr>
      <w:tabs>
        <w:tab w:val="center" w:pos="4153"/>
        <w:tab w:val="right" w:pos="8306"/>
      </w:tabs>
      <w:snapToGrid w:val="0"/>
      <w:jc w:val="left"/>
    </w:pPr>
    <w:rPr>
      <w:kern w:val="0"/>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kern w:val="0"/>
      <w:sz w:val="18"/>
      <w:szCs w:val="18"/>
    </w:rPr>
  </w:style>
  <w:style w:type="paragraph" w:styleId="7">
    <w:name w:val="Normal (Web)"/>
    <w:basedOn w:val="1"/>
    <w:unhideWhenUsed/>
    <w:uiPriority w:val="99"/>
    <w:pPr>
      <w:jc w:val="left"/>
    </w:pPr>
    <w:rPr>
      <w:kern w:val="0"/>
      <w:sz w:val="24"/>
    </w:rPr>
  </w:style>
  <w:style w:type="table" w:styleId="9">
    <w:name w:val="Table Grid"/>
    <w:basedOn w:val="8"/>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
    <w:name w:val="批注框文本 Char"/>
    <w:basedOn w:val="10"/>
    <w:link w:val="4"/>
    <w:uiPriority w:val="99"/>
    <w:rPr>
      <w:rFonts w:ascii="Times New Roman" w:hAnsi="Times New Roman" w:eastAsia="宋体" w:cs="Times New Roman"/>
      <w:kern w:val="0"/>
      <w:sz w:val="18"/>
      <w:szCs w:val="18"/>
    </w:rPr>
  </w:style>
  <w:style w:type="character" w:customStyle="1" w:styleId="12">
    <w:name w:val="页脚 Char"/>
    <w:basedOn w:val="10"/>
    <w:link w:val="5"/>
    <w:uiPriority w:val="99"/>
    <w:rPr>
      <w:rFonts w:ascii="Times New Roman" w:hAnsi="Times New Roman" w:eastAsia="宋体" w:cs="Times New Roman"/>
      <w:kern w:val="0"/>
      <w:sz w:val="18"/>
      <w:szCs w:val="18"/>
    </w:rPr>
  </w:style>
  <w:style w:type="character" w:customStyle="1" w:styleId="13">
    <w:name w:val="页眉 Char"/>
    <w:basedOn w:val="10"/>
    <w:link w:val="6"/>
    <w:uiPriority w:val="99"/>
    <w:rPr>
      <w:rFonts w:ascii="Times New Roman" w:hAnsi="Times New Roman" w:eastAsia="宋体" w:cs="Times New Roman"/>
      <w:kern w:val="0"/>
      <w:sz w:val="18"/>
      <w:szCs w:val="18"/>
    </w:rPr>
  </w:style>
  <w:style w:type="character" w:customStyle="1" w:styleId="14">
    <w:name w:val="font21"/>
    <w:basedOn w:val="10"/>
    <w:uiPriority w:val="0"/>
    <w:rPr>
      <w:rFonts w:hint="eastAsia" w:ascii="宋体" w:hAnsi="宋体" w:eastAsia="宋体" w:cs="宋体"/>
      <w:b/>
      <w:color w:val="000000"/>
      <w:sz w:val="24"/>
      <w:szCs w:val="24"/>
      <w:u w:val="none"/>
    </w:rPr>
  </w:style>
  <w:style w:type="character" w:customStyle="1" w:styleId="15">
    <w:name w:val="font11"/>
    <w:basedOn w:val="10"/>
    <w:qFormat/>
    <w:uiPriority w:val="0"/>
    <w:rPr>
      <w:rFonts w:hint="eastAsia" w:ascii="宋体" w:hAnsi="宋体" w:eastAsia="宋体" w:cs="宋体"/>
      <w:color w:val="000000"/>
      <w:sz w:val="18"/>
      <w:szCs w:val="18"/>
      <w:u w:val="none"/>
    </w:rPr>
  </w:style>
  <w:style w:type="character" w:customStyle="1" w:styleId="16">
    <w:name w:val="font01"/>
    <w:basedOn w:val="10"/>
    <w:qFormat/>
    <w:uiPriority w:val="0"/>
    <w:rPr>
      <w:rFonts w:hint="eastAsia" w:ascii="宋体" w:hAnsi="宋体" w:eastAsia="宋体" w:cs="宋体"/>
      <w:color w:val="000000"/>
      <w:sz w:val="18"/>
      <w:szCs w:val="18"/>
      <w:u w:val="none"/>
    </w:rPr>
  </w:style>
  <w:style w:type="character" w:customStyle="1" w:styleId="17">
    <w:name w:val="font31"/>
    <w:basedOn w:val="10"/>
    <w:qFormat/>
    <w:uiPriority w:val="0"/>
    <w:rPr>
      <w:rFonts w:hint="eastAsia" w:ascii="宋体" w:hAnsi="宋体" w:eastAsia="宋体" w:cs="宋体"/>
      <w:color w:val="000000"/>
      <w:sz w:val="18"/>
      <w:szCs w:val="18"/>
      <w:u w:val="none"/>
    </w:rPr>
  </w:style>
  <w:style w:type="character" w:customStyle="1" w:styleId="18">
    <w:name w:val="标题 2 Char"/>
    <w:basedOn w:val="10"/>
    <w:link w:val="2"/>
    <w:qFormat/>
    <w:uiPriority w:val="9"/>
    <w:rPr>
      <w:rFonts w:ascii="Arial" w:hAnsi="Arial" w:eastAsia="黑体" w:cs="Times New Roman"/>
      <w:b/>
      <w:sz w:val="32"/>
      <w:szCs w:val="21"/>
    </w:rPr>
  </w:style>
  <w:style w:type="character" w:customStyle="1" w:styleId="19">
    <w:name w:val="标题 3 Char"/>
    <w:basedOn w:val="10"/>
    <w:link w:val="3"/>
    <w:uiPriority w:val="9"/>
    <w:rPr>
      <w:rFonts w:ascii="Times New Roman" w:hAnsi="Times New Roman" w:eastAsia="楷体" w:cs="Times New Roman"/>
      <w:b/>
      <w:sz w:val="32"/>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5</Pages>
  <Words>302</Words>
  <Characters>1725</Characters>
  <Lines>14</Lines>
  <Paragraphs>4</Paragraphs>
  <TotalTime>119</TotalTime>
  <ScaleCrop>false</ScaleCrop>
  <LinksUpToDate>false</LinksUpToDate>
  <CharactersWithSpaces>2023</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2024-01-22T05:36:00Z</dcterms:created>
  <dc:creator>Windows User</dc:creator>
  <cp:lastModifiedBy>Administrator</cp:lastModifiedBy>
  <dcterms:modified xsi:type="dcterms:W3CDTF">2025-10-15T07:08:21Z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CD4C1BB7DC7E47F58924D55E7A29EDFC</vt:lpwstr>
  </property>
</Properties>
</file>