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3D9DD">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cs="宋体"/>
          <w:b/>
          <w:color w:val="000000"/>
          <w:kern w:val="0"/>
          <w:sz w:val="44"/>
          <w:szCs w:val="44"/>
          <w:lang w:eastAsia="zh-CN"/>
        </w:rPr>
      </w:pPr>
      <w:r>
        <w:rPr>
          <w:rFonts w:hint="eastAsia" w:ascii="宋体" w:hAnsi="宋体" w:cs="宋体"/>
          <w:b/>
          <w:color w:val="000000"/>
          <w:kern w:val="0"/>
          <w:sz w:val="44"/>
          <w:szCs w:val="44"/>
          <w:lang w:eastAsia="zh-CN"/>
        </w:rPr>
        <w:t>中共北京市西城区审计局党组</w:t>
      </w:r>
    </w:p>
    <w:p w14:paraId="4A994700">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eastAsia="宋体" w:cs="宋体"/>
          <w:b/>
          <w:color w:val="000000"/>
          <w:kern w:val="0"/>
          <w:sz w:val="44"/>
          <w:szCs w:val="44"/>
          <w:lang w:val="en-US" w:eastAsia="zh-CN"/>
        </w:rPr>
      </w:pPr>
      <w:r>
        <w:rPr>
          <w:rFonts w:hint="eastAsia" w:ascii="宋体" w:hAnsi="宋体" w:cs="宋体"/>
          <w:b/>
          <w:color w:val="000000"/>
          <w:kern w:val="0"/>
          <w:sz w:val="44"/>
          <w:szCs w:val="44"/>
        </w:rPr>
        <w:t>北京市西城区审计局</w:t>
      </w:r>
      <w:r>
        <w:rPr>
          <w:rFonts w:hint="eastAsia" w:ascii="宋体" w:hAnsi="宋体" w:cs="宋体"/>
          <w:b/>
          <w:color w:val="000000"/>
          <w:kern w:val="0"/>
          <w:sz w:val="44"/>
          <w:szCs w:val="44"/>
          <w:lang w:eastAsia="zh-CN"/>
        </w:rPr>
        <w:t>关于</w:t>
      </w:r>
      <w:r>
        <w:rPr>
          <w:rFonts w:hint="eastAsia" w:ascii="宋体" w:hAnsi="宋体" w:cs="宋体"/>
          <w:b/>
          <w:color w:val="000000"/>
          <w:kern w:val="0"/>
          <w:sz w:val="44"/>
          <w:szCs w:val="44"/>
        </w:rPr>
        <w:t>202</w:t>
      </w:r>
      <w:r>
        <w:rPr>
          <w:rFonts w:hint="eastAsia" w:ascii="宋体" w:hAnsi="宋体" w:cs="宋体"/>
          <w:b/>
          <w:color w:val="000000"/>
          <w:kern w:val="0"/>
          <w:sz w:val="44"/>
          <w:szCs w:val="44"/>
          <w:lang w:val="en-US" w:eastAsia="zh-CN"/>
        </w:rPr>
        <w:t>5</w:t>
      </w:r>
      <w:r>
        <w:rPr>
          <w:rFonts w:hint="eastAsia" w:ascii="宋体" w:hAnsi="宋体" w:cs="宋体"/>
          <w:b/>
          <w:color w:val="000000"/>
          <w:kern w:val="0"/>
          <w:sz w:val="44"/>
          <w:szCs w:val="44"/>
        </w:rPr>
        <w:t>年</w:t>
      </w:r>
    </w:p>
    <w:p w14:paraId="0870331F">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cs="宋体"/>
          <w:b/>
          <w:color w:val="000000"/>
          <w:kern w:val="0"/>
          <w:sz w:val="44"/>
          <w:szCs w:val="44"/>
        </w:rPr>
      </w:pPr>
      <w:r>
        <w:rPr>
          <w:rFonts w:hint="eastAsia" w:ascii="宋体" w:hAnsi="宋体" w:cs="宋体"/>
          <w:b/>
          <w:color w:val="000000"/>
          <w:kern w:val="0"/>
          <w:sz w:val="44"/>
          <w:szCs w:val="44"/>
        </w:rPr>
        <w:t>法治政府建设</w:t>
      </w:r>
      <w:r>
        <w:rPr>
          <w:rFonts w:hint="eastAsia" w:ascii="宋体" w:hAnsi="宋体" w:cs="宋体"/>
          <w:b/>
          <w:color w:val="000000"/>
          <w:kern w:val="0"/>
          <w:sz w:val="44"/>
          <w:szCs w:val="44"/>
          <w:lang w:eastAsia="zh-CN"/>
        </w:rPr>
        <w:t>年度情况的</w:t>
      </w:r>
      <w:r>
        <w:rPr>
          <w:rFonts w:hint="eastAsia" w:ascii="宋体" w:hAnsi="宋体" w:cs="宋体"/>
          <w:b/>
          <w:color w:val="000000"/>
          <w:kern w:val="0"/>
          <w:sz w:val="44"/>
          <w:szCs w:val="44"/>
        </w:rPr>
        <w:t>报告</w:t>
      </w:r>
    </w:p>
    <w:p w14:paraId="0C686BDA">
      <w:pPr>
        <w:pStyle w:val="5"/>
        <w:spacing w:line="560" w:lineRule="exact"/>
        <w:rPr>
          <w:rFonts w:hint="eastAsia" w:ascii="仿宋_GB2312" w:hAnsi="宋体" w:eastAsia="仿宋_GB2312" w:cs="Courier New"/>
          <w:kern w:val="2"/>
          <w:sz w:val="32"/>
          <w:szCs w:val="32"/>
        </w:rPr>
      </w:pPr>
      <w:r>
        <w:rPr>
          <w:rFonts w:hint="eastAsia" w:ascii="仿宋_GB2312" w:hAnsi="宋体" w:eastAsia="仿宋_GB2312" w:cs="Courier New"/>
          <w:kern w:val="2"/>
          <w:sz w:val="32"/>
          <w:szCs w:val="32"/>
        </w:rPr>
        <w:t>区委、区政府：</w:t>
      </w:r>
    </w:p>
    <w:p w14:paraId="6F1EE088">
      <w:pPr>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lang w:eastAsia="zh-CN"/>
        </w:rPr>
        <w:t>025年，我局坚持以习近平新时代中国特色社会主义思想为指导，深入贯彻习近平法治思想，将依法审计贯穿审计工作全过程各方面，推动法治政府建设与审计业务深度融合，为经济社会高质量发展提供坚实审计法治保障。</w:t>
      </w:r>
      <w:r>
        <w:rPr>
          <w:rFonts w:hint="eastAsia" w:ascii="仿宋" w:hAnsi="仿宋" w:eastAsia="仿宋" w:cs="仿宋"/>
          <w:color w:val="000000"/>
          <w:sz w:val="32"/>
          <w:szCs w:val="32"/>
        </w:rPr>
        <w:t>现将工作情况报告如下</w:t>
      </w:r>
      <w:r>
        <w:rPr>
          <w:rFonts w:hint="eastAsia" w:ascii="仿宋" w:hAnsi="仿宋" w:eastAsia="仿宋" w:cs="仿宋"/>
          <w:color w:val="000000"/>
          <w:sz w:val="32"/>
          <w:szCs w:val="32"/>
          <w:lang w:eastAsia="zh-CN"/>
        </w:rPr>
        <w:t>：</w:t>
      </w:r>
    </w:p>
    <w:p w14:paraId="24D974AD">
      <w:pPr>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一、2025年度推进法治政府建设的主要举措和成效</w:t>
      </w:r>
    </w:p>
    <w:p w14:paraId="623EC4E2">
      <w:pPr>
        <w:keepNext w:val="0"/>
        <w:keepLines w:val="0"/>
        <w:pageBreakBefore w:val="0"/>
        <w:widowControl w:val="0"/>
        <w:numPr>
          <w:ilvl w:val="-1"/>
          <w:numId w:val="0"/>
        </w:numPr>
        <w:pBdr>
          <w:bottom w:val="single" w:color="FFFFFF" w:sz="4" w:space="31"/>
        </w:pBdr>
        <w:tabs>
          <w:tab w:val="left" w:pos="0"/>
        </w:tabs>
        <w:kinsoku/>
        <w:wordWrap/>
        <w:overflowPunct/>
        <w:topLinePunct w:val="0"/>
        <w:autoSpaceDE/>
        <w:autoSpaceDN/>
        <w:bidi w:val="0"/>
        <w:adjustRightInd/>
        <w:snapToGrid/>
        <w:spacing w:line="560" w:lineRule="exact"/>
        <w:ind w:left="0" w:firstLine="0" w:firstLineChars="0"/>
        <w:textAlignment w:val="baseline"/>
        <w:outlineLvl w:val="0"/>
        <w:rPr>
          <w:rStyle w:val="11"/>
          <w:rFonts w:hint="eastAsia" w:ascii="仿宋_GB2312" w:hAnsi="仿宋_GB2312" w:eastAsia="仿宋_GB2312" w:cs="仿宋_GB2312"/>
          <w:b w:val="0"/>
          <w:bCs w:val="0"/>
          <w:color w:val="auto"/>
          <w:sz w:val="32"/>
          <w:szCs w:val="32"/>
          <w:shd w:val="clear" w:color="auto" w:fill="FFFFFF"/>
        </w:rPr>
      </w:pPr>
      <w:r>
        <w:rPr>
          <w:rStyle w:val="12"/>
          <w:rFonts w:hint="eastAsia" w:ascii="楷体_GB2312" w:hAnsi="楷体_GB2312" w:eastAsia="楷体_GB2312" w:cs="楷体_GB2312"/>
          <w:b w:val="0"/>
          <w:bCs w:val="0"/>
          <w:i w:val="0"/>
          <w:iCs w:val="0"/>
          <w:caps w:val="0"/>
          <w:color w:val="0F1115"/>
          <w:spacing w:val="0"/>
          <w:kern w:val="2"/>
          <w:sz w:val="32"/>
          <w:szCs w:val="32"/>
          <w:shd w:val="clear" w:color="auto" w:fill="FFFFFF"/>
          <w:lang w:val="en-US" w:eastAsia="zh-CN" w:bidi="ar-SA"/>
        </w:rPr>
        <w:t xml:space="preserve">    （一）强化政治引领，筑牢法治建设根基。</w:t>
      </w:r>
      <w:r>
        <w:rPr>
          <w:rStyle w:val="12"/>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一是</w:t>
      </w:r>
      <w:r>
        <w:rPr>
          <w:rFonts w:hint="eastAsia" w:ascii="仿宋_GB2312" w:hAnsi="仿宋_GB2312" w:eastAsia="仿宋_GB2312" w:cs="仿宋_GB2312"/>
          <w:i w:val="0"/>
          <w:caps w:val="0"/>
          <w:color w:val="auto"/>
          <w:spacing w:val="0"/>
          <w:sz w:val="32"/>
          <w:szCs w:val="32"/>
          <w:shd w:val="clear" w:color="auto" w:fill="FFFFFF"/>
          <w:lang w:eastAsia="zh-CN"/>
        </w:rPr>
        <w:t>始终坚持以习近平新时代中国特色社会主义思想为</w:t>
      </w:r>
      <w:r>
        <w:rPr>
          <w:rStyle w:val="12"/>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指导</w:t>
      </w:r>
      <w:r>
        <w:rPr>
          <w:rFonts w:hint="eastAsia" w:ascii="仿宋_GB2312" w:hAnsi="仿宋_GB2312" w:eastAsia="仿宋_GB2312" w:cs="仿宋_GB2312"/>
          <w:i w:val="0"/>
          <w:caps w:val="0"/>
          <w:color w:val="auto"/>
          <w:spacing w:val="0"/>
          <w:sz w:val="32"/>
          <w:szCs w:val="32"/>
          <w:shd w:val="clear" w:color="auto" w:fill="FFFFFF"/>
          <w:lang w:eastAsia="zh-CN"/>
        </w:rPr>
        <w:t>，认真学习贯彻习近平总书记关于法治建设的重要指示精神，专题学习《习近平法治思想学习纲要》等内容。</w:t>
      </w:r>
      <w:r>
        <w:rPr>
          <w:rStyle w:val="12"/>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二是</w:t>
      </w:r>
      <w:r>
        <w:rPr>
          <w:rFonts w:hint="eastAsia" w:ascii="仿宋_GB2312" w:hAnsi="仿宋_GB2312" w:eastAsia="仿宋_GB2312" w:cs="仿宋_GB2312"/>
          <w:color w:val="auto"/>
          <w:sz w:val="32"/>
          <w:szCs w:val="32"/>
          <w:shd w:val="clear" w:color="auto" w:fill="FFFFFF"/>
        </w:rPr>
        <w:t>将法治政府建设与学习贯彻党中央关于审计工作的重大决策部署相结合，围绕区委、区政府中心工作，聚焦民生保障、重大项目建设、财政资金使用等重点领域，将法治要求融入审计监督全过程，通过依法审计及时发现和纠正违规问题，切实发挥审计在服务区域经济社会高质量发展中的法治保障作用。</w:t>
      </w:r>
      <w:r>
        <w:rPr>
          <w:rFonts w:hint="eastAsia" w:ascii="仿宋_GB2312" w:hAnsi="仿宋_GB2312" w:eastAsia="仿宋_GB2312" w:cs="仿宋_GB2312"/>
          <w:color w:val="auto"/>
          <w:sz w:val="32"/>
          <w:szCs w:val="32"/>
          <w:shd w:val="clear" w:color="auto" w:fill="FFFFFF"/>
          <w:lang w:eastAsia="zh-CN"/>
        </w:rPr>
        <w:t>三</w:t>
      </w:r>
      <w:r>
        <w:rPr>
          <w:rStyle w:val="12"/>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是</w:t>
      </w:r>
      <w:r>
        <w:rPr>
          <w:rFonts w:hint="eastAsia" w:ascii="仿宋_GB2312" w:hAnsi="仿宋_GB2312" w:eastAsia="仿宋_GB2312" w:cs="仿宋_GB2312"/>
          <w:color w:val="auto"/>
          <w:sz w:val="32"/>
          <w:szCs w:val="32"/>
          <w:shd w:val="clear" w:color="auto" w:fill="FFFFFF"/>
        </w:rPr>
        <w:t>严明政治纪律，强化法治建设监督约束</w:t>
      </w:r>
      <w:r>
        <w:rPr>
          <w:rStyle w:val="11"/>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把依法审计情况纳入干部</w:t>
      </w:r>
      <w:r>
        <w:rPr>
          <w:rFonts w:hint="eastAsia" w:ascii="仿宋_GB2312" w:hAnsi="仿宋_GB2312" w:eastAsia="仿宋_GB2312" w:cs="仿宋_GB2312"/>
          <w:color w:val="auto"/>
          <w:sz w:val="32"/>
          <w:szCs w:val="32"/>
          <w:shd w:val="clear" w:color="auto" w:fill="FFFFFF"/>
          <w:lang w:eastAsia="zh-CN"/>
        </w:rPr>
        <w:t>日常</w:t>
      </w:r>
      <w:r>
        <w:rPr>
          <w:rFonts w:hint="eastAsia" w:ascii="仿宋_GB2312" w:hAnsi="仿宋_GB2312" w:eastAsia="仿宋_GB2312" w:cs="仿宋_GB2312"/>
          <w:color w:val="auto"/>
          <w:sz w:val="32"/>
          <w:szCs w:val="32"/>
          <w:shd w:val="clear" w:color="auto" w:fill="FFFFFF"/>
        </w:rPr>
        <w:t>监督管理</w:t>
      </w:r>
      <w:r>
        <w:rPr>
          <w:rStyle w:val="11"/>
          <w:rFonts w:hint="eastAsia" w:ascii="仿宋_GB2312" w:hAnsi="仿宋_GB2312" w:eastAsia="仿宋_GB2312" w:cs="仿宋_GB2312"/>
          <w:b w:val="0"/>
          <w:bCs w:val="0"/>
          <w:color w:val="auto"/>
          <w:sz w:val="32"/>
          <w:szCs w:val="32"/>
          <w:shd w:val="clear" w:color="auto" w:fill="FFFFFF"/>
          <w:lang w:eastAsia="zh-CN"/>
        </w:rPr>
        <w:t>中</w:t>
      </w:r>
      <w:r>
        <w:rPr>
          <w:rFonts w:hint="eastAsia" w:ascii="仿宋_GB2312" w:hAnsi="仿宋_GB2312" w:eastAsia="仿宋_GB2312" w:cs="仿宋_GB2312"/>
          <w:color w:val="auto"/>
          <w:sz w:val="32"/>
          <w:szCs w:val="32"/>
          <w:shd w:val="clear" w:color="auto" w:fill="FFFFFF"/>
        </w:rPr>
        <w:t>，制定《北京市西城区审计局党员干部“八小时以外”行为规范》，在重要节点发布廉政提醒，加强对现场审计风险提示提醒，教育监督审计干部严守政治纪律、政治规矩和廉政纪律，确保审计权力始终在法治轨道上规范运行。</w:t>
      </w:r>
    </w:p>
    <w:p w14:paraId="79E8832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left"/>
        <w:textAlignment w:val="baseline"/>
        <w:outlineLvl w:val="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highlight w:val="none"/>
          <w:lang w:val="en-US" w:eastAsia="zh-CN"/>
        </w:rPr>
        <w:t>聚焦主责主业，依法履行审计监督职责。</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rPr>
        <w:t>严格执行请示报告制度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落实中审办“首先报告”“直接报告”要求，将审计成果首报</w:t>
      </w:r>
      <w:r>
        <w:rPr>
          <w:rFonts w:hint="eastAsia" w:ascii="仿宋_GB2312" w:hAnsi="仿宋_GB2312" w:eastAsia="仿宋_GB2312" w:cs="仿宋_GB2312"/>
          <w:b w:val="0"/>
          <w:bCs w:val="0"/>
          <w:sz w:val="32"/>
          <w:szCs w:val="32"/>
          <w:lang w:eastAsia="zh-CN"/>
        </w:rPr>
        <w:t>、直</w:t>
      </w:r>
      <w:r>
        <w:rPr>
          <w:rFonts w:hint="eastAsia" w:ascii="仿宋_GB2312" w:hAnsi="仿宋_GB2312" w:eastAsia="仿宋_GB2312" w:cs="仿宋_GB2312"/>
          <w:b w:val="0"/>
          <w:bCs w:val="0"/>
          <w:sz w:val="32"/>
          <w:szCs w:val="32"/>
          <w:highlight w:val="none"/>
          <w:lang w:eastAsia="zh-CN"/>
        </w:rPr>
        <w:t>报</w:t>
      </w:r>
      <w:r>
        <w:rPr>
          <w:rFonts w:hint="eastAsia" w:ascii="仿宋_GB2312" w:hAnsi="仿宋_GB2312" w:eastAsia="仿宋_GB2312" w:cs="仿宋_GB2312"/>
          <w:b w:val="0"/>
          <w:bCs w:val="0"/>
          <w:sz w:val="32"/>
          <w:szCs w:val="32"/>
          <w:highlight w:val="none"/>
        </w:rPr>
        <w:t>区委审委</w:t>
      </w:r>
      <w:r>
        <w:rPr>
          <w:rFonts w:hint="eastAsia" w:ascii="仿宋_GB2312" w:hAnsi="仿宋_GB2312" w:eastAsia="仿宋_GB2312" w:cs="仿宋_GB2312"/>
          <w:b w:val="0"/>
          <w:bCs w:val="0"/>
          <w:sz w:val="32"/>
          <w:szCs w:val="32"/>
          <w:highlight w:val="none"/>
          <w:lang w:eastAsia="zh-CN"/>
        </w:rPr>
        <w:t>会</w:t>
      </w:r>
      <w:r>
        <w:rPr>
          <w:rFonts w:hint="eastAsia" w:ascii="仿宋_GB2312" w:hAnsi="仿宋_GB2312" w:eastAsia="仿宋_GB2312" w:cs="仿宋_GB2312"/>
          <w:b w:val="0"/>
          <w:bCs w:val="0"/>
          <w:sz w:val="32"/>
          <w:szCs w:val="32"/>
          <w:highlight w:val="none"/>
        </w:rPr>
        <w:t>主任。</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lang w:val="en-US" w:eastAsia="zh-CN"/>
        </w:rPr>
        <w:t>高质量完成全年审计任务。</w:t>
      </w:r>
      <w:r>
        <w:rPr>
          <w:rFonts w:hint="eastAsia" w:ascii="仿宋_GB2312" w:hAnsi="仿宋_GB2312" w:eastAsia="仿宋_GB2312" w:cs="仿宋_GB2312"/>
          <w:b w:val="0"/>
          <w:bCs w:val="0"/>
          <w:sz w:val="32"/>
          <w:szCs w:val="32"/>
          <w:highlight w:val="none"/>
        </w:rPr>
        <w:t>2025年</w:t>
      </w:r>
      <w:r>
        <w:rPr>
          <w:rFonts w:hint="eastAsia" w:ascii="仿宋_GB2312" w:hAnsi="仿宋_GB2312" w:eastAsia="仿宋_GB2312" w:cs="仿宋_GB2312"/>
          <w:b w:val="0"/>
          <w:bCs w:val="0"/>
          <w:sz w:val="32"/>
          <w:szCs w:val="32"/>
          <w:highlight w:val="none"/>
          <w:lang w:eastAsia="zh-CN"/>
        </w:rPr>
        <w:t>完成全年</w:t>
      </w:r>
      <w:r>
        <w:rPr>
          <w:rFonts w:hint="eastAsia" w:ascii="仿宋_GB2312" w:hAnsi="仿宋_GB2312" w:eastAsia="仿宋_GB2312" w:cs="仿宋_GB2312"/>
          <w:b w:val="0"/>
          <w:bCs w:val="0"/>
          <w:sz w:val="32"/>
          <w:szCs w:val="32"/>
          <w:highlight w:val="none"/>
        </w:rPr>
        <w:t>安排</w:t>
      </w:r>
      <w:r>
        <w:rPr>
          <w:rFonts w:hint="eastAsia" w:ascii="仿宋_GB2312" w:hAnsi="仿宋_GB2312" w:eastAsia="仿宋_GB2312" w:cs="仿宋_GB2312"/>
          <w:b w:val="0"/>
          <w:bCs w:val="0"/>
          <w:sz w:val="32"/>
          <w:szCs w:val="32"/>
          <w:highlight w:val="none"/>
          <w:lang w:eastAsia="zh-CN"/>
        </w:rPr>
        <w:t>的</w:t>
      </w:r>
      <w:r>
        <w:rPr>
          <w:rFonts w:hint="eastAsia" w:ascii="仿宋_GB2312" w:hAnsi="仿宋_GB2312" w:eastAsia="仿宋_GB2312" w:cs="仿宋_GB2312"/>
          <w:b w:val="0"/>
          <w:bCs w:val="0"/>
          <w:sz w:val="32"/>
          <w:szCs w:val="32"/>
          <w:highlight w:val="none"/>
        </w:rPr>
        <w:t>审计项目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val="en-US" w:eastAsia="zh-CN"/>
        </w:rPr>
        <w:t>印发《西城区区属国有企业审计发现问题及风险提示提醒清单》</w:t>
      </w:r>
      <w:r>
        <w:rPr>
          <w:rFonts w:hint="eastAsia" w:ascii="仿宋_GB2312" w:hAnsi="仿宋_GB2312" w:eastAsia="仿宋_GB2312" w:cs="仿宋_GB2312"/>
          <w:b w:val="0"/>
          <w:bCs w:val="0"/>
          <w:sz w:val="32"/>
          <w:szCs w:val="32"/>
          <w:highlight w:val="none"/>
          <w:lang w:val="en-US" w:eastAsia="zh-CN"/>
        </w:rPr>
        <w:t>《北京市西城区区级有关部门主要领导干部自然资源资产离任审计评价指标体系（试行）》和</w:t>
      </w:r>
      <w:r>
        <w:rPr>
          <w:rFonts w:hint="eastAsia" w:ascii="仿宋_GB2312" w:eastAsia="仿宋_GB2312"/>
          <w:sz w:val="32"/>
          <w:szCs w:val="32"/>
        </w:rPr>
        <w:t>《西城区街道政府购买服务审计发现问题提示提醒清单（2025版）》</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加强权力制约和反腐倡廉。</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i w:val="0"/>
          <w:caps w:val="0"/>
          <w:color w:val="auto"/>
          <w:spacing w:val="0"/>
          <w:sz w:val="32"/>
          <w:szCs w:val="32"/>
          <w:shd w:val="clear" w:color="auto" w:fill="FFFFFF"/>
          <w:lang w:eastAsia="zh-CN"/>
        </w:rPr>
        <w:t>深化审计整改攻坚。</w:t>
      </w:r>
      <w:r>
        <w:rPr>
          <w:rFonts w:hint="eastAsia" w:ascii="仿宋_GB2312" w:hAnsi="仿宋_GB2312" w:eastAsia="仿宋_GB2312" w:cs="仿宋_GB2312"/>
          <w:sz w:val="32"/>
          <w:szCs w:val="32"/>
          <w:highlight w:val="none"/>
          <w:lang w:val="en-US" w:eastAsia="zh-CN"/>
        </w:rPr>
        <w:t>2025年区政府党组会专题研究审计领域重大事项及整改工作情况，开展审计整改“回头看”工作。面向全区预算单位开展以往审计查出问题及整改工作专题培训，督促各单位不断提高内部管理的规范化和科学化水平，从源头上防范风险、规范管理。</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lang w:val="en-US" w:eastAsia="zh-CN"/>
        </w:rPr>
        <w:t>推动各类监督贯通协同。</w:t>
      </w:r>
      <w:r>
        <w:rPr>
          <w:rFonts w:hint="eastAsia" w:ascii="仿宋_GB2312" w:hAnsi="仿宋_GB2312" w:eastAsia="仿宋_GB2312" w:cs="仿宋_GB2312"/>
          <w:b w:val="0"/>
          <w:bCs w:val="0"/>
          <w:sz w:val="32"/>
          <w:szCs w:val="32"/>
          <w:highlight w:val="none"/>
        </w:rPr>
        <w:t>深化审计监督与纪检监察、巡视巡察、组织人事等各类监督的贯通协同，</w:t>
      </w:r>
      <w:r>
        <w:rPr>
          <w:rFonts w:hint="eastAsia" w:ascii="仿宋_GB2312" w:hAnsi="仿宋_GB2312" w:eastAsia="仿宋_GB2312" w:cs="仿宋_GB2312"/>
          <w:color w:val="auto"/>
          <w:sz w:val="32"/>
          <w:szCs w:val="32"/>
          <w:highlight w:val="none"/>
          <w:lang w:val="en-US" w:eastAsia="zh-CN"/>
        </w:rPr>
        <w:t>形成工作合力。落实</w:t>
      </w:r>
      <w:r>
        <w:rPr>
          <w:rFonts w:hint="eastAsia" w:ascii="仿宋_GB2312" w:hAnsi="仿宋_GB2312" w:eastAsia="仿宋_GB2312" w:cs="仿宋_GB2312"/>
          <w:sz w:val="32"/>
          <w:szCs w:val="32"/>
          <w:highlight w:val="none"/>
        </w:rPr>
        <w:t>“1+9”贯通协同监督机制</w:t>
      </w:r>
      <w:r>
        <w:rPr>
          <w:rFonts w:hint="eastAsia" w:ascii="仿宋_GB2312" w:hAnsi="仿宋_GB2312" w:eastAsia="仿宋_GB2312" w:cs="仿宋_GB2312"/>
          <w:sz w:val="32"/>
          <w:szCs w:val="32"/>
          <w:highlight w:val="none"/>
          <w:lang w:eastAsia="zh-CN"/>
        </w:rPr>
        <w:t>，向区纪委区监委移送审计发现问题线索。</w:t>
      </w:r>
      <w:r>
        <w:rPr>
          <w:rFonts w:hint="eastAsia" w:ascii="仿宋_GB2312" w:hAnsi="仿宋_GB2312" w:eastAsia="仿宋_GB2312" w:cs="仿宋_GB2312"/>
          <w:b w:val="0"/>
          <w:bCs w:val="0"/>
          <w:sz w:val="32"/>
          <w:szCs w:val="32"/>
          <w:highlight w:val="none"/>
        </w:rPr>
        <w:t>联合区委巡察办，选取两个街道办事处积极探索“巡审联动”，促进资源共享。</w:t>
      </w:r>
      <w:r>
        <w:rPr>
          <w:rFonts w:hint="eastAsia" w:ascii="仿宋_GB2312" w:hAnsi="仿宋_GB2312" w:eastAsia="仿宋_GB2312" w:cs="仿宋_GB2312"/>
          <w:color w:val="auto"/>
          <w:sz w:val="32"/>
          <w:szCs w:val="32"/>
          <w:highlight w:val="none"/>
          <w:lang w:val="en-US" w:eastAsia="zh-CN"/>
        </w:rPr>
        <w:t>打通审计监督与财会监督的贯通路径，重点领域协同发力，共享监督检查结果。</w:t>
      </w:r>
    </w:p>
    <w:p w14:paraId="64EA0952">
      <w:pPr>
        <w:keepNext w:val="0"/>
        <w:keepLines w:val="0"/>
        <w:pageBreakBefore w:val="0"/>
        <w:widowControl w:val="0"/>
        <w:numPr>
          <w:ilvl w:val="-1"/>
          <w:numId w:val="0"/>
        </w:numPr>
        <w:pBdr>
          <w:bottom w:val="single" w:color="FFFFFF" w:sz="4" w:space="31"/>
        </w:pBdr>
        <w:tabs>
          <w:tab w:val="left" w:pos="0"/>
        </w:tabs>
        <w:kinsoku/>
        <w:wordWrap/>
        <w:overflowPunct/>
        <w:topLinePunct w:val="0"/>
        <w:autoSpaceDE/>
        <w:autoSpaceDN/>
        <w:bidi w:val="0"/>
        <w:adjustRightInd/>
        <w:snapToGrid/>
        <w:spacing w:line="560" w:lineRule="exact"/>
        <w:ind w:left="0" w:firstLine="640" w:firstLineChars="200"/>
        <w:textAlignment w:val="baseline"/>
        <w:outlineLvl w:val="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val="en-US" w:eastAsia="zh-CN"/>
        </w:rPr>
        <w:t>（三）落实普法责任，营造法治审计氛围。</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rPr>
        <w:t>严格落实“谁执法谁普法”责任制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总结我局“八五普法”取得的成效、分析不足、研究“九五”普法工作。</w:t>
      </w:r>
      <w:r>
        <w:rPr>
          <w:rFonts w:hint="eastAsia" w:ascii="仿宋_GB2312" w:hAnsi="仿宋_GB2312" w:eastAsia="仿宋_GB2312" w:cs="仿宋_GB2312"/>
          <w:sz w:val="32"/>
          <w:szCs w:val="32"/>
        </w:rPr>
        <w:t>结合审计机关履职实际，</w:t>
      </w:r>
      <w:r>
        <w:rPr>
          <w:rFonts w:hint="eastAsia" w:ascii="仿宋_GB2312" w:hAnsi="仿宋_GB2312" w:eastAsia="仿宋_GB2312" w:cs="仿宋_GB2312"/>
          <w:sz w:val="32"/>
          <w:szCs w:val="32"/>
          <w:lang w:eastAsia="zh-CN"/>
        </w:rPr>
        <w:t>依托“法治讲堂”“会前学法”等，</w:t>
      </w:r>
      <w:r>
        <w:rPr>
          <w:rFonts w:hint="eastAsia" w:ascii="仿宋_GB2312" w:hAnsi="仿宋_GB2312" w:eastAsia="仿宋_GB2312" w:cs="仿宋_GB2312"/>
          <w:sz w:val="32"/>
          <w:szCs w:val="32"/>
        </w:rPr>
        <w:t>围绕《中华人民共和国审计法》《中华人民共和国行政处罚法》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重点法规，针对审计干部、被审计单位等不同群体定制宣讲内容，通过专题培训、执法现场普法等形式，解读法律条文与实操要点，提升普法的针对性和实效性。</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重要结点积极开展普法工作。结合民法典宣传月、宪法宣传周等重要法治宣传结点，开展法治讲座，</w:t>
      </w:r>
      <w:r>
        <w:rPr>
          <w:rFonts w:hint="eastAsia" w:ascii="仿宋_GB2312" w:hAnsi="仿宋_GB2312" w:eastAsia="仿宋_GB2312" w:cs="仿宋_GB2312"/>
          <w:sz w:val="32"/>
          <w:szCs w:val="32"/>
          <w:highlight w:val="none"/>
        </w:rPr>
        <w:t>解读法律条文、执法程序及权利义务，提升审计人员依法履职能力和被审计单位的守法合规意识。</w:t>
      </w:r>
      <w:r>
        <w:rPr>
          <w:rFonts w:hint="eastAsia" w:ascii="仿宋_GB2312" w:hAnsi="仿宋_GB2312" w:eastAsia="仿宋_GB2312" w:cs="仿宋_GB2312"/>
          <w:sz w:val="32"/>
          <w:szCs w:val="32"/>
          <w:highlight w:val="none"/>
          <w:lang w:eastAsia="zh-CN"/>
        </w:rPr>
        <w:t>转发各类普法宣传视频，组织全体同志参与法治答题活动。</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发挥法律顾问作用。</w:t>
      </w:r>
      <w:r>
        <w:rPr>
          <w:rFonts w:hint="eastAsia" w:ascii="仿宋_GB2312" w:hAnsi="仿宋_GB2312" w:eastAsia="仿宋_GB2312" w:cs="仿宋_GB2312"/>
          <w:i w:val="0"/>
          <w:caps w:val="0"/>
          <w:color w:val="auto"/>
          <w:spacing w:val="0"/>
          <w:sz w:val="32"/>
          <w:szCs w:val="32"/>
          <w:shd w:val="clear" w:color="auto" w:fill="FFFFFF"/>
          <w:lang w:eastAsia="zh-CN"/>
        </w:rPr>
        <w:t>充分发挥</w:t>
      </w:r>
      <w:r>
        <w:rPr>
          <w:rFonts w:hint="eastAsia" w:ascii="仿宋_GB2312" w:hAnsi="仿宋_GB2312" w:eastAsia="仿宋_GB2312" w:cs="仿宋_GB2312"/>
          <w:sz w:val="32"/>
          <w:szCs w:val="32"/>
          <w:lang w:eastAsia="zh-CN"/>
        </w:rPr>
        <w:t>法律顾问的专业优势，</w:t>
      </w:r>
      <w:r>
        <w:rPr>
          <w:rFonts w:hint="eastAsia" w:ascii="仿宋_GB2312" w:hAnsi="仿宋_GB2312" w:eastAsia="仿宋_GB2312" w:cs="仿宋_GB2312"/>
          <w:sz w:val="32"/>
          <w:szCs w:val="32"/>
        </w:rPr>
        <w:t>在行政决策、执法监督、行政复议等工作中提供专业法律意见，将普法工作与审计执法实践深度融合；针对普法过程中发现的法治建设薄弱环节，提出改进建议，助力提升审计机关依法行政水平。</w:t>
      </w:r>
      <w:r>
        <w:rPr>
          <w:rFonts w:hint="eastAsia" w:ascii="仿宋_GB2312" w:hAnsi="仿宋_GB2312" w:eastAsia="仿宋_GB2312" w:cs="仿宋_GB2312"/>
          <w:sz w:val="32"/>
          <w:szCs w:val="32"/>
          <w:lang w:val="en-US" w:eastAsia="zh-CN"/>
        </w:rPr>
        <w:t>此外，我局积极组织相关人员参与法院旁听，熟悉行政争议的审理逻辑和裁判思路，培养以法治方式解决争议的思维模式；机关负责人强化责任意识，严格落实出庭责任，进一步提升审计队伍整体法治素养。</w:t>
      </w:r>
    </w:p>
    <w:p w14:paraId="72664EDC">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Style w:val="12"/>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pPr>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二、</w:t>
      </w:r>
      <w:bookmarkStart w:id="0" w:name="OLE_LINK1"/>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2025年度</w:t>
      </w:r>
      <w:bookmarkEnd w:id="0"/>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推进法治政府建设存在的不足和原因</w:t>
      </w:r>
    </w:p>
    <w:p w14:paraId="50CC71BC">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 xml:space="preserve">     一是</w:t>
      </w:r>
      <w:r>
        <w:rPr>
          <w:rFonts w:hint="eastAsia" w:ascii="仿宋_GB2312" w:hAnsi="仿宋_GB2312" w:eastAsia="仿宋_GB2312" w:cs="仿宋_GB2312"/>
          <w:sz w:val="32"/>
          <w:szCs w:val="32"/>
          <w:lang w:val="en-US" w:eastAsia="zh-CN"/>
        </w:rPr>
        <w:t>审计干部法治专业能力存在短板。原因是部分审计干部存在“重业务、轻法治”的思维定式，将工作重心放在账务核查、数据比对等传统审计环节，主动学习最新法律法规、司法解释的积极性不足，对法治思维的运用意识薄弱。</w:t>
      </w:r>
      <w:r>
        <w:rPr>
          <w:rFonts w:hint="eastAsia" w:ascii="仿宋" w:hAnsi="仿宋" w:eastAsia="仿宋" w:cs="仿宋"/>
          <w:b/>
          <w:bCs/>
          <w:color w:val="auto"/>
          <w:sz w:val="32"/>
          <w:szCs w:val="32"/>
          <w:lang w:val="en-US" w:eastAsia="zh-CN"/>
        </w:rPr>
        <w:t>二是</w:t>
      </w:r>
      <w:r>
        <w:rPr>
          <w:rFonts w:hint="eastAsia" w:ascii="仿宋_GB2312" w:hAnsi="仿宋_GB2312" w:eastAsia="仿宋_GB2312" w:cs="仿宋_GB2312"/>
          <w:sz w:val="32"/>
          <w:szCs w:val="32"/>
          <w:lang w:val="en-US" w:eastAsia="zh-CN"/>
        </w:rPr>
        <w:t>法治宣传针对性有待加强。原因是宣传内容多为法律法规原文摘抄、政策文件宣读，缺乏结合审计典型案例的通俗化解读；宣传形式以会议传达、海报张贴等传统方式为主，短视频、线上互动答题等新媒体形式运用不足，难以吸引受众主动参与。</w:t>
      </w:r>
      <w:bookmarkStart w:id="1" w:name="_GoBack"/>
      <w:bookmarkEnd w:id="1"/>
    </w:p>
    <w:p w14:paraId="042DDCC4">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2"/>
          <w:rFonts w:hint="eastAsia" w:ascii="仿宋_GB2312" w:hAnsi="仿宋_GB2312" w:eastAsia="仿宋_GB2312" w:cs="仿宋_GB2312"/>
          <w:bCs/>
          <w:i w:val="0"/>
          <w:iCs w:val="0"/>
          <w:caps w:val="0"/>
          <w:color w:val="0F1115"/>
          <w:spacing w:val="0"/>
          <w:kern w:val="2"/>
          <w:sz w:val="32"/>
          <w:szCs w:val="32"/>
          <w:shd w:val="clear" w:color="auto" w:fill="FFFFFF"/>
          <w:lang w:val="en-US" w:eastAsia="zh-CN" w:bidi="ar-SA"/>
        </w:rPr>
        <w:t xml:space="preserve">   </w:t>
      </w:r>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 xml:space="preserve"> 三、2025年度党政主要负责人履行推进法治建设第一责任人职责，加强法治政府建设的有关情况</w:t>
      </w:r>
    </w:p>
    <w:p w14:paraId="7638360C">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Fonts w:ascii="仿宋_GB2312" w:hAnsi="微软雅黑" w:eastAsia="仿宋_GB2312" w:cs="仿宋_GB2312"/>
          <w:sz w:val="32"/>
          <w:szCs w:val="32"/>
        </w:rPr>
      </w:pPr>
      <w:r>
        <w:rPr>
          <w:rFonts w:ascii="仿宋_GB2312" w:hAnsi="微软雅黑" w:eastAsia="仿宋_GB2312" w:cs="仿宋_GB2312"/>
          <w:sz w:val="32"/>
          <w:szCs w:val="32"/>
        </w:rPr>
        <w:t>局主要负责人高度重视法治建设工作，</w:t>
      </w:r>
      <w:r>
        <w:rPr>
          <w:rFonts w:hint="eastAsia" w:ascii="仿宋_GB2312" w:hAnsi="微软雅黑" w:eastAsia="仿宋_GB2312" w:cs="仿宋_GB2312"/>
          <w:b/>
          <w:bCs/>
          <w:sz w:val="32"/>
          <w:szCs w:val="32"/>
          <w:lang w:eastAsia="zh-CN"/>
        </w:rPr>
        <w:t>一是</w:t>
      </w:r>
      <w:r>
        <w:rPr>
          <w:rFonts w:hint="eastAsia" w:ascii="仿宋_GB2312" w:hAnsi="微软雅黑" w:eastAsia="仿宋_GB2312" w:cs="仿宋_GB2312"/>
          <w:sz w:val="32"/>
          <w:szCs w:val="32"/>
        </w:rPr>
        <w:t>统筹组织领导，压实法治建设主体责任</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将法治政府建设纳入审计机关工作，与审计业务同部署、同推进；</w:t>
      </w:r>
      <w:r>
        <w:rPr>
          <w:rFonts w:hint="eastAsia" w:ascii="仿宋_GB2312" w:hAnsi="仿宋_GB2312" w:eastAsia="仿宋_GB2312" w:cs="仿宋_GB2312"/>
          <w:sz w:val="32"/>
          <w:szCs w:val="32"/>
          <w:highlight w:val="none"/>
          <w:lang w:val="en-US" w:eastAsia="zh-CN"/>
        </w:rPr>
        <w:t>组织会前学法及法治讲座，按要求落实党组会、局办会研究法治建设议题，部署法治建设重要工作</w:t>
      </w:r>
      <w:r>
        <w:rPr>
          <w:rFonts w:hint="eastAsia" w:ascii="仿宋_GB2312" w:hAnsi="微软雅黑" w:eastAsia="仿宋_GB2312" w:cs="仿宋_GB2312"/>
          <w:sz w:val="32"/>
          <w:szCs w:val="32"/>
        </w:rPr>
        <w:t>，对重要工作亲自部署、重大问题亲自过问、重点环节亲自协调、重要任务亲自督办，建立“主要领导牵头、分管领导主抓、科室具体落实”的责任体系，确保依法审计各项要求落地。</w:t>
      </w:r>
      <w:r>
        <w:rPr>
          <w:rFonts w:hint="eastAsia" w:ascii="仿宋_GB2312" w:hAnsi="微软雅黑" w:eastAsia="仿宋_GB2312" w:cs="仿宋_GB2312"/>
          <w:b/>
          <w:bCs/>
          <w:sz w:val="32"/>
          <w:szCs w:val="32"/>
          <w:lang w:eastAsia="zh-CN"/>
        </w:rPr>
        <w:t>二是</w:t>
      </w:r>
      <w:r>
        <w:rPr>
          <w:rFonts w:hint="eastAsia" w:ascii="仿宋_GB2312" w:hAnsi="微软雅黑" w:eastAsia="仿宋_GB2312" w:cs="仿宋_GB2312"/>
          <w:sz w:val="32"/>
          <w:szCs w:val="32"/>
        </w:rPr>
        <w:t>强化规范执法，筑牢依法审计质量防线</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带头严格执行重大行政决策法定程序，充分发挥法律顾问、公职律师作用；健全审计质量控制与责任追究机制，印发《北京市西城区审计局审计业务综合管理规定》，修订和完善审计文书和文本模板，规范依法审计流程。把好审计方案论证会、审计质量把控会、审计业务会三道审计质量关，提高审计报告专业性</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推动审计执法与普法融合，在进点会、现场核查、整改督导中</w:t>
      </w:r>
      <w:r>
        <w:rPr>
          <w:rFonts w:hint="eastAsia" w:ascii="仿宋_GB2312" w:hAnsi="微软雅黑" w:eastAsia="仿宋_GB2312" w:cs="仿宋_GB2312"/>
          <w:sz w:val="32"/>
          <w:szCs w:val="32"/>
          <w:highlight w:val="none"/>
        </w:rPr>
        <w:t>“以案释法”，</w:t>
      </w:r>
      <w:r>
        <w:rPr>
          <w:rFonts w:hint="eastAsia" w:ascii="仿宋_GB2312" w:hAnsi="微软雅黑" w:eastAsia="仿宋_GB2312" w:cs="仿宋_GB2312"/>
          <w:sz w:val="32"/>
          <w:szCs w:val="32"/>
        </w:rPr>
        <w:t>提升被审计单位合规意识，防范执法风险。</w:t>
      </w:r>
      <w:r>
        <w:rPr>
          <w:rFonts w:hint="eastAsia" w:ascii="仿宋_GB2312" w:hAnsi="微软雅黑" w:eastAsia="仿宋_GB2312" w:cs="仿宋_GB2312"/>
          <w:b/>
          <w:bCs/>
          <w:sz w:val="32"/>
          <w:szCs w:val="32"/>
          <w:lang w:eastAsia="zh-CN"/>
        </w:rPr>
        <w:t>三是</w:t>
      </w:r>
      <w:r>
        <w:rPr>
          <w:rFonts w:hint="eastAsia" w:ascii="仿宋_GB2312" w:hAnsi="微软雅黑" w:eastAsia="仿宋_GB2312" w:cs="仿宋_GB2312"/>
          <w:sz w:val="32"/>
          <w:szCs w:val="32"/>
        </w:rPr>
        <w:t>深化法治赋能，夯实队伍与机制保障</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牵头推进法治学习常态化，将习近平法治思想、审计法、预算法等纳入</w:t>
      </w:r>
      <w:r>
        <w:rPr>
          <w:rFonts w:hint="eastAsia" w:ascii="仿宋_GB2312" w:hAnsi="微软雅黑" w:eastAsia="仿宋_GB2312" w:cs="仿宋_GB2312"/>
          <w:sz w:val="32"/>
          <w:szCs w:val="32"/>
          <w:lang w:eastAsia="zh-CN"/>
        </w:rPr>
        <w:t>学习</w:t>
      </w:r>
      <w:r>
        <w:rPr>
          <w:rFonts w:hint="eastAsia" w:ascii="仿宋_GB2312" w:hAnsi="微软雅黑" w:eastAsia="仿宋_GB2312" w:cs="仿宋_GB2312"/>
          <w:sz w:val="32"/>
          <w:szCs w:val="32"/>
        </w:rPr>
        <w:t>内容，提升全员法治素养；落实法治政府建设年度报告、</w:t>
      </w:r>
      <w:r>
        <w:rPr>
          <w:rFonts w:hint="eastAsia" w:ascii="仿宋_GB2312" w:hAnsi="微软雅黑" w:eastAsia="仿宋_GB2312" w:cs="仿宋_GB2312"/>
          <w:sz w:val="32"/>
          <w:szCs w:val="32"/>
          <w:lang w:eastAsia="zh-CN"/>
        </w:rPr>
        <w:t>落实</w:t>
      </w:r>
      <w:r>
        <w:rPr>
          <w:rFonts w:hint="eastAsia" w:ascii="仿宋_GB2312" w:hAnsi="微软雅黑" w:eastAsia="仿宋_GB2312" w:cs="仿宋_GB2312"/>
          <w:sz w:val="32"/>
          <w:szCs w:val="32"/>
        </w:rPr>
        <w:t>政务公开</w:t>
      </w:r>
      <w:r>
        <w:rPr>
          <w:rFonts w:hint="eastAsia" w:ascii="仿宋_GB2312" w:hAnsi="微软雅黑" w:eastAsia="仿宋_GB2312" w:cs="仿宋_GB2312"/>
          <w:sz w:val="32"/>
          <w:szCs w:val="32"/>
          <w:lang w:eastAsia="zh-CN"/>
        </w:rPr>
        <w:t>要求</w:t>
      </w:r>
      <w:r>
        <w:rPr>
          <w:rFonts w:hint="eastAsia" w:ascii="仿宋_GB2312" w:hAnsi="微软雅黑" w:eastAsia="仿宋_GB2312" w:cs="仿宋_GB2312"/>
          <w:sz w:val="32"/>
          <w:szCs w:val="32"/>
        </w:rPr>
        <w:t>，主动接受人大、社会监督，推动审计机关依法行政水平持续提升。</w:t>
      </w:r>
    </w:p>
    <w:p w14:paraId="0DF1CAED">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2"/>
          <w:rFonts w:hint="eastAsia" w:ascii="仿宋_GB2312" w:hAnsi="仿宋_GB2312" w:eastAsia="仿宋_GB2312" w:cs="仿宋_GB2312"/>
          <w:bCs/>
          <w:i w:val="0"/>
          <w:iCs w:val="0"/>
          <w:caps w:val="0"/>
          <w:color w:val="0F1115"/>
          <w:spacing w:val="0"/>
          <w:kern w:val="2"/>
          <w:sz w:val="32"/>
          <w:szCs w:val="32"/>
          <w:shd w:val="clear" w:color="auto" w:fill="FFFFFF"/>
          <w:lang w:val="en-US" w:eastAsia="zh-CN" w:bidi="ar-SA"/>
        </w:rPr>
        <w:t xml:space="preserve">    </w:t>
      </w:r>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四、2026年度推进法治政府建设的主要安排</w:t>
      </w:r>
    </w:p>
    <w:p w14:paraId="24915279">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 w:hAnsi="仿宋" w:eastAsia="仿宋" w:cs="仿宋"/>
          <w:b/>
          <w:bCs/>
          <w:i w:val="0"/>
          <w:iCs w:val="0"/>
          <w:caps w:val="0"/>
          <w:color w:val="0F1115"/>
          <w:spacing w:val="0"/>
          <w:sz w:val="32"/>
          <w:szCs w:val="32"/>
          <w:shd w:val="clear" w:color="auto" w:fill="FFFFFF"/>
          <w:lang w:val="en-US" w:eastAsia="zh-CN"/>
        </w:rPr>
        <w:t xml:space="preserve">   </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（一）</w:t>
      </w:r>
      <w:r>
        <w:rPr>
          <w:rFonts w:hint="eastAsia" w:ascii="楷体_GB2312" w:hAnsi="楷体_GB2312" w:eastAsia="楷体_GB2312" w:cs="楷体_GB2312"/>
          <w:b w:val="0"/>
          <w:bCs w:val="0"/>
          <w:i w:val="0"/>
          <w:iCs w:val="0"/>
          <w:caps w:val="0"/>
          <w:color w:val="0F1115"/>
          <w:spacing w:val="0"/>
          <w:sz w:val="32"/>
          <w:szCs w:val="32"/>
          <w:shd w:val="clear" w:color="auto" w:fill="auto"/>
          <w:lang w:eastAsia="zh-CN"/>
        </w:rPr>
        <w:t>深入学习贯彻习近平法治思想。</w:t>
      </w:r>
      <w:r>
        <w:rPr>
          <w:rFonts w:hint="eastAsia" w:ascii="仿宋_GB2312" w:hAnsi="仿宋_GB2312" w:eastAsia="仿宋_GB2312" w:cs="仿宋_GB2312"/>
          <w:i w:val="0"/>
          <w:caps w:val="0"/>
          <w:color w:val="000000"/>
          <w:spacing w:val="0"/>
          <w:sz w:val="32"/>
          <w:szCs w:val="32"/>
          <w:shd w:val="clear" w:color="auto" w:fill="FFFFFF"/>
          <w:lang w:eastAsia="zh-CN"/>
        </w:rPr>
        <w:t>坚持以习近平法治思想为指导，扎实开展干部学法用法尊法守法各项活动。通过党组会、局办会会前学法、理论中心组集中学习、干部集中学习、法治讲座等多种形式，使法律知识、法治意识、法治精神融入身心,内化为干部的自觉意识和精神修养，外化为依法执政和依法行政的能力。</w:t>
      </w:r>
    </w:p>
    <w:p w14:paraId="2A82A064">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宋体" w:eastAsia="仿宋_GB2312" w:cs="Courier New"/>
          <w:kern w:val="2"/>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000000"/>
          <w:spacing w:val="0"/>
          <w:sz w:val="32"/>
          <w:szCs w:val="32"/>
          <w:shd w:val="clear" w:color="auto" w:fill="auto"/>
          <w:lang w:val="en-US" w:eastAsia="zh-CN"/>
        </w:rPr>
        <w:t xml:space="preserve"> （</w:t>
      </w:r>
      <w:r>
        <w:rPr>
          <w:rFonts w:hint="eastAsia" w:ascii="楷体_GB2312" w:hAnsi="楷体_GB2312" w:eastAsia="楷体_GB2312" w:cs="楷体_GB2312"/>
          <w:b w:val="0"/>
          <w:bCs w:val="0"/>
          <w:i w:val="0"/>
          <w:iCs w:val="0"/>
          <w:caps w:val="0"/>
          <w:color w:val="0F1115"/>
          <w:spacing w:val="0"/>
          <w:sz w:val="32"/>
          <w:szCs w:val="32"/>
          <w:shd w:val="clear" w:color="auto" w:fill="auto"/>
          <w:lang w:eastAsia="zh-CN"/>
        </w:rPr>
        <w:t>二）</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创新开展法治宣传教育</w:t>
      </w:r>
      <w:r>
        <w:rPr>
          <w:rFonts w:hint="eastAsia" w:ascii="楷体_GB2312" w:hAnsi="楷体_GB2312" w:eastAsia="楷体_GB2312" w:cs="楷体_GB2312"/>
          <w:kern w:val="2"/>
          <w:sz w:val="32"/>
          <w:szCs w:val="32"/>
          <w:lang w:val="en-US" w:eastAsia="zh-CN"/>
        </w:rPr>
        <w:t>。</w:t>
      </w:r>
      <w:r>
        <w:rPr>
          <w:rFonts w:hint="eastAsia" w:ascii="仿宋_GB2312" w:hAnsi="宋体" w:eastAsia="仿宋_GB2312" w:cs="Courier New"/>
          <w:kern w:val="2"/>
          <w:sz w:val="32"/>
          <w:szCs w:val="32"/>
          <w:lang w:val="en-US" w:eastAsia="zh-CN"/>
        </w:rPr>
        <w:t>整合各类普法资源，依托民法典宣传月、国家宪法日等重要普法宣传结点，不断创新法治宣传教育形式，营造良好的法治文化氛围，让普法更加深入人心，增强普法工作的精细化、深入化和多样化。</w:t>
      </w:r>
    </w:p>
    <w:p w14:paraId="6E93A459">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宋体" w:eastAsia="仿宋_GB2312" w:cs="Courier New"/>
          <w:kern w:val="2"/>
          <w:sz w:val="32"/>
          <w:szCs w:val="32"/>
          <w:highlight w:val="none"/>
          <w:lang w:val="en-US" w:eastAsia="zh-CN"/>
        </w:rPr>
      </w:pPr>
      <w:r>
        <w:rPr>
          <w:rFonts w:hint="eastAsia" w:ascii="仿宋_GB2312" w:hAnsi="宋体" w:eastAsia="仿宋_GB2312" w:cs="Courier New"/>
          <w:kern w:val="2"/>
          <w:sz w:val="32"/>
          <w:szCs w:val="32"/>
          <w:lang w:val="en-US" w:eastAsia="zh-CN"/>
        </w:rPr>
        <w:t xml:space="preserve">   </w:t>
      </w:r>
      <w:r>
        <w:rPr>
          <w:rFonts w:hint="eastAsia" w:ascii="楷体_GB2312" w:hAnsi="楷体_GB2312" w:eastAsia="楷体_GB2312" w:cs="楷体_GB2312"/>
          <w:kern w:val="2"/>
          <w:sz w:val="32"/>
          <w:szCs w:val="32"/>
          <w:lang w:val="en-US" w:eastAsia="zh-CN"/>
        </w:rPr>
        <w:t>（</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三）着力打造专业法治队伍</w:t>
      </w:r>
      <w:r>
        <w:rPr>
          <w:rFonts w:hint="eastAsia" w:ascii="楷体_GB2312" w:hAnsi="楷体_GB2312" w:eastAsia="楷体_GB2312" w:cs="楷体_GB2312"/>
          <w:kern w:val="2"/>
          <w:sz w:val="32"/>
          <w:szCs w:val="32"/>
          <w:lang w:val="en-US" w:eastAsia="zh-CN"/>
        </w:rPr>
        <w:t>。</w:t>
      </w:r>
      <w:r>
        <w:rPr>
          <w:rFonts w:hint="eastAsia" w:ascii="仿宋_GB2312" w:hAnsi="宋体" w:eastAsia="仿宋_GB2312" w:cs="Courier New"/>
          <w:kern w:val="2"/>
          <w:sz w:val="32"/>
          <w:szCs w:val="32"/>
          <w:lang w:val="en-US" w:eastAsia="zh-CN"/>
        </w:rPr>
        <w:t>领导干部带头尊崇法治、敬畏法律，了解法律、掌握法律，不断提高运用法治思维和法治方式推动发展、化解矛盾、维护稳定的能力。开展业务培训、法律知识学习以及专业</w:t>
      </w:r>
      <w:r>
        <w:rPr>
          <w:rFonts w:hint="eastAsia" w:ascii="仿宋_GB2312" w:hAnsi="宋体" w:eastAsia="仿宋_GB2312" w:cs="Courier New"/>
          <w:kern w:val="2"/>
          <w:sz w:val="32"/>
          <w:szCs w:val="32"/>
          <w:highlight w:val="none"/>
          <w:lang w:val="en-US" w:eastAsia="zh-CN"/>
        </w:rPr>
        <w:t xml:space="preserve">技能提升课程，确保执法人员具备必要的法律知识和专业技能。 </w:t>
      </w:r>
    </w:p>
    <w:p w14:paraId="14C8583B">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2"/>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五、其他需要报告的情况</w:t>
      </w:r>
    </w:p>
    <w:p w14:paraId="7B496D4D">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Fonts w:hint="default"/>
          <w:lang w:val="en-US" w:eastAsia="zh-CN"/>
        </w:rPr>
      </w:pPr>
      <w:r>
        <w:rPr>
          <w:rFonts w:hint="eastAsia" w:ascii="仿宋_GB2312" w:hAnsi="宋体" w:eastAsia="仿宋_GB2312" w:cs="Courier New"/>
          <w:kern w:val="2"/>
          <w:sz w:val="32"/>
          <w:szCs w:val="32"/>
          <w:highlight w:val="none"/>
          <w:lang w:val="en-US" w:eastAsia="zh-CN"/>
        </w:rPr>
        <w:t>无</w:t>
      </w:r>
    </w:p>
    <w:sectPr>
      <w:footerReference r:id="rId3" w:type="default"/>
      <w:footerReference r:id="rId4" w:type="even"/>
      <w:pgSz w:w="11906" w:h="16838"/>
      <w:pgMar w:top="1701"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46DE">
    <w:pPr>
      <w:pStyle w:val="6"/>
      <w:jc w:val="center"/>
    </w:pPr>
    <w:r>
      <w:fldChar w:fldCharType="begin"/>
    </w:r>
    <w:r>
      <w:instrText xml:space="preserve">PAGE   \* MERGEFORMAT</w:instrText>
    </w:r>
    <w:r>
      <w:fldChar w:fldCharType="separate"/>
    </w:r>
    <w:r>
      <w:t>1</w:t>
    </w:r>
    <w:r>
      <w:rPr>
        <w:lang w:val="zh-CN"/>
      </w:rPr>
      <w:fldChar w:fldCharType="end"/>
    </w:r>
  </w:p>
  <w:p w14:paraId="0CA8BCA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BE95">
    <w:pPr>
      <w:pStyle w:val="6"/>
      <w:ind w:firstLine="560" w:firstLineChars="200"/>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p w14:paraId="003EDBF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56"/>
    <w:rsid w:val="00016AA7"/>
    <w:rsid w:val="000329C2"/>
    <w:rsid w:val="00087F74"/>
    <w:rsid w:val="000D5F5C"/>
    <w:rsid w:val="000D7A9B"/>
    <w:rsid w:val="000E4D45"/>
    <w:rsid w:val="001024D9"/>
    <w:rsid w:val="00115287"/>
    <w:rsid w:val="00151A6D"/>
    <w:rsid w:val="001923D6"/>
    <w:rsid w:val="001959FD"/>
    <w:rsid w:val="001C1AB3"/>
    <w:rsid w:val="001D0B56"/>
    <w:rsid w:val="001E4FE8"/>
    <w:rsid w:val="00235B8D"/>
    <w:rsid w:val="002401E8"/>
    <w:rsid w:val="00252AD2"/>
    <w:rsid w:val="00277158"/>
    <w:rsid w:val="002B2AD6"/>
    <w:rsid w:val="002B385C"/>
    <w:rsid w:val="002F3A8A"/>
    <w:rsid w:val="003173C4"/>
    <w:rsid w:val="00327B02"/>
    <w:rsid w:val="0033706F"/>
    <w:rsid w:val="00352519"/>
    <w:rsid w:val="00353C43"/>
    <w:rsid w:val="0036008B"/>
    <w:rsid w:val="0037278D"/>
    <w:rsid w:val="003B0BD8"/>
    <w:rsid w:val="003C4075"/>
    <w:rsid w:val="003C7ACE"/>
    <w:rsid w:val="003E65A7"/>
    <w:rsid w:val="00403405"/>
    <w:rsid w:val="0041707F"/>
    <w:rsid w:val="00417084"/>
    <w:rsid w:val="00421272"/>
    <w:rsid w:val="00442686"/>
    <w:rsid w:val="00444613"/>
    <w:rsid w:val="00467107"/>
    <w:rsid w:val="004B51D6"/>
    <w:rsid w:val="004C4944"/>
    <w:rsid w:val="004E73CF"/>
    <w:rsid w:val="005050AE"/>
    <w:rsid w:val="0050724B"/>
    <w:rsid w:val="00535902"/>
    <w:rsid w:val="005A3A55"/>
    <w:rsid w:val="005B1566"/>
    <w:rsid w:val="005B6371"/>
    <w:rsid w:val="005D25E9"/>
    <w:rsid w:val="005E2BCE"/>
    <w:rsid w:val="005E4879"/>
    <w:rsid w:val="00617CAC"/>
    <w:rsid w:val="0062091C"/>
    <w:rsid w:val="00620BF1"/>
    <w:rsid w:val="00625739"/>
    <w:rsid w:val="00651C0F"/>
    <w:rsid w:val="00677A05"/>
    <w:rsid w:val="00691BDB"/>
    <w:rsid w:val="006B4396"/>
    <w:rsid w:val="006B5B6C"/>
    <w:rsid w:val="006B6300"/>
    <w:rsid w:val="006C6366"/>
    <w:rsid w:val="006D094B"/>
    <w:rsid w:val="006D58AE"/>
    <w:rsid w:val="006E1186"/>
    <w:rsid w:val="006E5F5B"/>
    <w:rsid w:val="006F5111"/>
    <w:rsid w:val="00705983"/>
    <w:rsid w:val="007253A2"/>
    <w:rsid w:val="007475A2"/>
    <w:rsid w:val="007508A7"/>
    <w:rsid w:val="007726AE"/>
    <w:rsid w:val="00787695"/>
    <w:rsid w:val="007A1341"/>
    <w:rsid w:val="007A307A"/>
    <w:rsid w:val="007B32EC"/>
    <w:rsid w:val="007C0A21"/>
    <w:rsid w:val="008121A1"/>
    <w:rsid w:val="008357F7"/>
    <w:rsid w:val="0084085F"/>
    <w:rsid w:val="0085463E"/>
    <w:rsid w:val="00874FE8"/>
    <w:rsid w:val="0089072C"/>
    <w:rsid w:val="008931EA"/>
    <w:rsid w:val="008A02E4"/>
    <w:rsid w:val="008B6ACD"/>
    <w:rsid w:val="008C4ACD"/>
    <w:rsid w:val="008E5EEE"/>
    <w:rsid w:val="009112E2"/>
    <w:rsid w:val="00927271"/>
    <w:rsid w:val="0094602A"/>
    <w:rsid w:val="009801B7"/>
    <w:rsid w:val="009F7598"/>
    <w:rsid w:val="00A00DAA"/>
    <w:rsid w:val="00A3045B"/>
    <w:rsid w:val="00A320A9"/>
    <w:rsid w:val="00A558FC"/>
    <w:rsid w:val="00A63CA6"/>
    <w:rsid w:val="00A96AE3"/>
    <w:rsid w:val="00AA0FB6"/>
    <w:rsid w:val="00AA2788"/>
    <w:rsid w:val="00AA301C"/>
    <w:rsid w:val="00AE1E1C"/>
    <w:rsid w:val="00AF35CE"/>
    <w:rsid w:val="00AF6FDE"/>
    <w:rsid w:val="00B10775"/>
    <w:rsid w:val="00B70E28"/>
    <w:rsid w:val="00B9021E"/>
    <w:rsid w:val="00B953A2"/>
    <w:rsid w:val="00B95F9E"/>
    <w:rsid w:val="00BC3586"/>
    <w:rsid w:val="00C33DDC"/>
    <w:rsid w:val="00C34CC1"/>
    <w:rsid w:val="00C3564E"/>
    <w:rsid w:val="00C6449A"/>
    <w:rsid w:val="00C7220C"/>
    <w:rsid w:val="00C9099B"/>
    <w:rsid w:val="00CC26A5"/>
    <w:rsid w:val="00D763C5"/>
    <w:rsid w:val="00D8085D"/>
    <w:rsid w:val="00D9458A"/>
    <w:rsid w:val="00D967EF"/>
    <w:rsid w:val="00DB225E"/>
    <w:rsid w:val="00E432B1"/>
    <w:rsid w:val="00E61668"/>
    <w:rsid w:val="00E76F50"/>
    <w:rsid w:val="00E77505"/>
    <w:rsid w:val="00E9075C"/>
    <w:rsid w:val="00E942BB"/>
    <w:rsid w:val="00EC6FBE"/>
    <w:rsid w:val="00ED38E4"/>
    <w:rsid w:val="00F02E81"/>
    <w:rsid w:val="00F36C51"/>
    <w:rsid w:val="00F53521"/>
    <w:rsid w:val="00F67B60"/>
    <w:rsid w:val="00F73A26"/>
    <w:rsid w:val="00FB3F9A"/>
    <w:rsid w:val="00FC01E4"/>
    <w:rsid w:val="00FC5A03"/>
    <w:rsid w:val="00FF1FE3"/>
    <w:rsid w:val="00FF601A"/>
    <w:rsid w:val="01D47F8D"/>
    <w:rsid w:val="03FD6699"/>
    <w:rsid w:val="045528B6"/>
    <w:rsid w:val="049E6222"/>
    <w:rsid w:val="04A348A8"/>
    <w:rsid w:val="04CB7FEB"/>
    <w:rsid w:val="0531798F"/>
    <w:rsid w:val="079429FD"/>
    <w:rsid w:val="082B63F3"/>
    <w:rsid w:val="0A9358E8"/>
    <w:rsid w:val="0B5E04B4"/>
    <w:rsid w:val="0BE53C10"/>
    <w:rsid w:val="0DAD4881"/>
    <w:rsid w:val="0E3B74B4"/>
    <w:rsid w:val="0E715E49"/>
    <w:rsid w:val="103C05DB"/>
    <w:rsid w:val="10B358FD"/>
    <w:rsid w:val="1118101A"/>
    <w:rsid w:val="112160A6"/>
    <w:rsid w:val="151F30B3"/>
    <w:rsid w:val="158C3609"/>
    <w:rsid w:val="15ED0A04"/>
    <w:rsid w:val="17BF2D18"/>
    <w:rsid w:val="18392E68"/>
    <w:rsid w:val="195B59A7"/>
    <w:rsid w:val="199D1C93"/>
    <w:rsid w:val="1A84670E"/>
    <w:rsid w:val="1AEB2C3A"/>
    <w:rsid w:val="1B5279DB"/>
    <w:rsid w:val="1BD16179"/>
    <w:rsid w:val="1C3A5DDF"/>
    <w:rsid w:val="1DBB4FD6"/>
    <w:rsid w:val="1F3E2492"/>
    <w:rsid w:val="20022912"/>
    <w:rsid w:val="2126105B"/>
    <w:rsid w:val="213E4898"/>
    <w:rsid w:val="23682C23"/>
    <w:rsid w:val="238D7381"/>
    <w:rsid w:val="25862F9E"/>
    <w:rsid w:val="25BC3478"/>
    <w:rsid w:val="28FE22D0"/>
    <w:rsid w:val="29470146"/>
    <w:rsid w:val="295E35EE"/>
    <w:rsid w:val="2A53737E"/>
    <w:rsid w:val="2B806AEC"/>
    <w:rsid w:val="2BCF4177"/>
    <w:rsid w:val="2C5348C6"/>
    <w:rsid w:val="2CC056E2"/>
    <w:rsid w:val="2D7D51EC"/>
    <w:rsid w:val="2D8471B8"/>
    <w:rsid w:val="2E8E7EF9"/>
    <w:rsid w:val="2EEA6B08"/>
    <w:rsid w:val="30B360F4"/>
    <w:rsid w:val="31673619"/>
    <w:rsid w:val="31CD20C4"/>
    <w:rsid w:val="321E0BC9"/>
    <w:rsid w:val="322F0E63"/>
    <w:rsid w:val="32D02BEB"/>
    <w:rsid w:val="332A3510"/>
    <w:rsid w:val="34853536"/>
    <w:rsid w:val="3580297C"/>
    <w:rsid w:val="36956799"/>
    <w:rsid w:val="36992AC5"/>
    <w:rsid w:val="37A96661"/>
    <w:rsid w:val="38CC1C3C"/>
    <w:rsid w:val="39037B98"/>
    <w:rsid w:val="3B0E0EF1"/>
    <w:rsid w:val="3B692505"/>
    <w:rsid w:val="3E422FB2"/>
    <w:rsid w:val="3E9F7AC9"/>
    <w:rsid w:val="404F3A2E"/>
    <w:rsid w:val="415A31C5"/>
    <w:rsid w:val="41C75D77"/>
    <w:rsid w:val="422B389D"/>
    <w:rsid w:val="425D1AEE"/>
    <w:rsid w:val="43970571"/>
    <w:rsid w:val="43DB5DF8"/>
    <w:rsid w:val="43E378E8"/>
    <w:rsid w:val="454C2E7E"/>
    <w:rsid w:val="45AB7FDC"/>
    <w:rsid w:val="481A57D7"/>
    <w:rsid w:val="4A7459B6"/>
    <w:rsid w:val="4B3C1B7C"/>
    <w:rsid w:val="4B5E7B32"/>
    <w:rsid w:val="4C7E6F38"/>
    <w:rsid w:val="4DF16F83"/>
    <w:rsid w:val="4E233B3D"/>
    <w:rsid w:val="4E5B174E"/>
    <w:rsid w:val="4E8812E3"/>
    <w:rsid w:val="4EC741BD"/>
    <w:rsid w:val="4F4D2EE4"/>
    <w:rsid w:val="4FA44262"/>
    <w:rsid w:val="509D67D0"/>
    <w:rsid w:val="50D4472B"/>
    <w:rsid w:val="50E23A41"/>
    <w:rsid w:val="51A14D79"/>
    <w:rsid w:val="51B5729C"/>
    <w:rsid w:val="528D4C0C"/>
    <w:rsid w:val="52F30EA2"/>
    <w:rsid w:val="53B87967"/>
    <w:rsid w:val="540A1C91"/>
    <w:rsid w:val="549B37DD"/>
    <w:rsid w:val="552C52CA"/>
    <w:rsid w:val="56874282"/>
    <w:rsid w:val="56B21E76"/>
    <w:rsid w:val="56E15C15"/>
    <w:rsid w:val="571324FB"/>
    <w:rsid w:val="588C555B"/>
    <w:rsid w:val="5939706E"/>
    <w:rsid w:val="59CB43DE"/>
    <w:rsid w:val="5A6E4EEC"/>
    <w:rsid w:val="5B752BA3"/>
    <w:rsid w:val="5CAB64D0"/>
    <w:rsid w:val="5E7F8DE3"/>
    <w:rsid w:val="5FEA48E9"/>
    <w:rsid w:val="600E3824"/>
    <w:rsid w:val="60503394"/>
    <w:rsid w:val="60E2745D"/>
    <w:rsid w:val="61146955"/>
    <w:rsid w:val="6260681F"/>
    <w:rsid w:val="62B750E5"/>
    <w:rsid w:val="62EC477D"/>
    <w:rsid w:val="638650D4"/>
    <w:rsid w:val="63BF856F"/>
    <w:rsid w:val="644D709C"/>
    <w:rsid w:val="66697040"/>
    <w:rsid w:val="6780324D"/>
    <w:rsid w:val="69196011"/>
    <w:rsid w:val="69F134E0"/>
    <w:rsid w:val="6CA55F4C"/>
    <w:rsid w:val="6CB94BEC"/>
    <w:rsid w:val="70352925"/>
    <w:rsid w:val="71D67E52"/>
    <w:rsid w:val="72BA3948"/>
    <w:rsid w:val="73473FFD"/>
    <w:rsid w:val="74880222"/>
    <w:rsid w:val="75DF40BB"/>
    <w:rsid w:val="764C452A"/>
    <w:rsid w:val="765353AD"/>
    <w:rsid w:val="769156CC"/>
    <w:rsid w:val="779437BB"/>
    <w:rsid w:val="788F6EF7"/>
    <w:rsid w:val="792718FA"/>
    <w:rsid w:val="7B2C55A1"/>
    <w:rsid w:val="7B3152AC"/>
    <w:rsid w:val="7BA26864"/>
    <w:rsid w:val="7BFEC216"/>
    <w:rsid w:val="7C0A4C95"/>
    <w:rsid w:val="7CC0743B"/>
    <w:rsid w:val="7D1701B0"/>
    <w:rsid w:val="7DFFC4D7"/>
    <w:rsid w:val="7E29590C"/>
    <w:rsid w:val="7EE24A07"/>
    <w:rsid w:val="7FBF24E4"/>
    <w:rsid w:val="7FD17077"/>
    <w:rsid w:val="CFA77049"/>
    <w:rsid w:val="DACF3334"/>
    <w:rsid w:val="ED53A494"/>
    <w:rsid w:val="ED6BB52D"/>
    <w:rsid w:val="EDF3FF22"/>
    <w:rsid w:val="F7F3775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annotation text"/>
    <w:basedOn w:val="1"/>
    <w:unhideWhenUsed/>
    <w:qFormat/>
    <w:uiPriority w:val="99"/>
    <w:pPr>
      <w:jc w:val="left"/>
    </w:pPr>
  </w:style>
  <w:style w:type="paragraph" w:styleId="4">
    <w:name w:val="Body Text"/>
    <w:basedOn w:val="1"/>
    <w:unhideWhenUsed/>
    <w:qFormat/>
    <w:uiPriority w:val="99"/>
    <w:pPr>
      <w:spacing w:before="100" w:beforeAutospacing="1" w:after="120"/>
    </w:pPr>
  </w:style>
  <w:style w:type="paragraph" w:styleId="5">
    <w:name w:val="Plain Text"/>
    <w:basedOn w:val="1"/>
    <w:next w:val="6"/>
    <w:unhideWhenUsed/>
    <w:qFormat/>
    <w:uiPriority w:val="99"/>
    <w:rPr>
      <w:rFonts w:ascii="宋体" w:hAnsi="Courier New" w:eastAsia="宋体" w:cs="Times New Roman"/>
      <w:kern w:val="0"/>
      <w:sz w:val="20"/>
      <w:szCs w:val="20"/>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paragraph" w:styleId="9">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2">
    <w:name w:val="Strong"/>
    <w:basedOn w:val="11"/>
    <w:qFormat/>
    <w:locked/>
    <w:uiPriority w:val="0"/>
    <w:rPr>
      <w:b/>
    </w:rPr>
  </w:style>
  <w:style w:type="character" w:styleId="13">
    <w:name w:val="Hyperlink"/>
    <w:basedOn w:val="11"/>
    <w:qFormat/>
    <w:uiPriority w:val="99"/>
    <w:rPr>
      <w:rFonts w:cs="Times New Roman"/>
      <w:color w:val="0000FF"/>
      <w:u w:val="single"/>
    </w:rPr>
  </w:style>
  <w:style w:type="character" w:customStyle="1" w:styleId="14">
    <w:name w:val="页脚 Char"/>
    <w:basedOn w:val="11"/>
    <w:link w:val="6"/>
    <w:qFormat/>
    <w:locked/>
    <w:uiPriority w:val="99"/>
    <w:rPr>
      <w:rFonts w:cs="Times New Roman"/>
      <w:sz w:val="18"/>
      <w:szCs w:val="18"/>
    </w:rPr>
  </w:style>
  <w:style w:type="character" w:customStyle="1" w:styleId="15">
    <w:name w:val="页眉 Char"/>
    <w:basedOn w:val="11"/>
    <w:link w:val="7"/>
    <w:qFormat/>
    <w:locked/>
    <w:uiPriority w:val="99"/>
    <w:rPr>
      <w:rFonts w:cs="Times New Roman"/>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DB907CAF-0711-4C76-BF9E-44AEA2621F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2608</Words>
  <Characters>2637</Characters>
  <Lines>8</Lines>
  <Paragraphs>2</Paragraphs>
  <TotalTime>1</TotalTime>
  <ScaleCrop>false</ScaleCrop>
  <LinksUpToDate>false</LinksUpToDate>
  <CharactersWithSpaces>2664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2020-03-16T11:17:00Z</dcterms:created>
  <dc:creator>司法局办文人员</dc:creator>
  <cp:lastModifiedBy>庄佳璐</cp:lastModifiedBy>
  <cp:lastPrinted>2019-11-21T14:29:00Z</cp:lastPrinted>
  <dcterms:modified xsi:type="dcterms:W3CDTF">2025-12-30T02:56:51Z</dcterms:modified>
  <dc:title>北京市西城区审计局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eyJoZGlkIjoiMWMwODA2MjcyOWQxZDgwYmZiMTM5OTk2MjZhZmMyMzAiLCJ1c2VySWQiOiIyNDI0NzEzODYifQ==</vt:lpwstr>
  </property>
  <property fmtid="{D5CDD505-2E9C-101B-9397-08002B2CF9AE}" pid="4" name="ICV">
    <vt:lpwstr>B94CA08394B0456A8E026654F235350C_13</vt:lpwstr>
  </property>
</Properties>
</file>