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bookmarkStart w:id="0" w:name="OLE_LINK4"/>
      <w:r>
        <w:rPr>
          <w:rStyle w:val="8"/>
          <w:rFonts w:hint="eastAsia" w:ascii="宋体" w:hAnsi="宋体" w:eastAsia="宋体" w:cs="宋体"/>
          <w:sz w:val="43"/>
          <w:szCs w:val="43"/>
        </w:rPr>
        <w:t>北京市西城区广安门外街道办事处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8"/>
          <w:rFonts w:hint="eastAsia" w:ascii="宋体" w:hAnsi="宋体" w:eastAsia="宋体" w:cs="宋体"/>
          <w:sz w:val="43"/>
          <w:szCs w:val="43"/>
        </w:rPr>
        <w:t> 202</w:t>
      </w:r>
      <w:r>
        <w:rPr>
          <w:rStyle w:val="8"/>
          <w:rFonts w:hint="eastAsia" w:ascii="宋体" w:hAnsi="宋体" w:eastAsia="宋体" w:cs="宋体"/>
          <w:sz w:val="43"/>
          <w:szCs w:val="43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sz w:val="43"/>
          <w:szCs w:val="43"/>
        </w:rPr>
        <w:t>年</w:t>
      </w:r>
      <w:r>
        <w:rPr>
          <w:rStyle w:val="8"/>
          <w:rFonts w:hint="eastAsia" w:ascii="宋体" w:hAnsi="宋体" w:eastAsia="宋体" w:cs="宋体"/>
          <w:color w:val="333333"/>
          <w:sz w:val="43"/>
          <w:szCs w:val="43"/>
        </w:rPr>
        <w:t>行政执法统计年报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8"/>
          <w:rFonts w:hint="eastAsia" w:ascii="宋体" w:hAnsi="宋体" w:eastAsia="宋体" w:cs="宋体"/>
          <w:sz w:val="43"/>
          <w:szCs w:val="43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区委区政府的坚强领导下，广外街道办事处深入推进规范公正文明执法，全面推进执法改革任务落实，完善行政执法运行机制，加强综合行政执法工作力度，高质量完成各项工作任务。为进一步做好行政执法公示工作，提高行政执法的透明度，主动接受社会监督，现按照《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北京市行政执法公示办法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》第十七条的规定要求，将广外街道办事处202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年行政执法工作情况报告如下：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</w:pPr>
      <w:r>
        <w:rPr>
          <w:rStyle w:val="8"/>
          <w:rFonts w:hint="eastAsia" w:ascii="仿宋" w:hAnsi="仿宋" w:eastAsia="仿宋" w:cs="仿宋"/>
          <w:sz w:val="31"/>
          <w:szCs w:val="31"/>
        </w:rPr>
        <w:t>一、执法主体情况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本机关现有行政执法主体1个，为北京市西城区广安门外街道办事处。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</w:pPr>
      <w:r>
        <w:rPr>
          <w:rStyle w:val="8"/>
          <w:rFonts w:hint="eastAsia" w:ascii="仿宋" w:hAnsi="仿宋" w:eastAsia="仿宋" w:cs="仿宋"/>
          <w:sz w:val="31"/>
          <w:szCs w:val="31"/>
        </w:rPr>
        <w:t>二、执法岗位设置、执法人员在岗和执法力量投入情况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" w:name="OLE_LINK5"/>
      <w:bookmarkStart w:id="6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共设置A类街乡综合执法岗位2个，核定人数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人，执法人员在岗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无未取得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执法资格人员。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全年参与执法人员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5654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余人次。</w:t>
      </w:r>
      <w:bookmarkEnd w:id="6"/>
    </w:p>
    <w:bookmarkEnd w:id="0"/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Style w:val="8"/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1"/>
          <w:szCs w:val="31"/>
          <w:lang w:val="en-US" w:eastAsia="zh-CN"/>
        </w:rPr>
        <w:t>三、政务服务事项的办理情况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外街道政务服务中心共有11个综合窗口，受理业务主要涵盖社会保障、医疗卫生、住房保障、养老助残、退役军人事务等122项政务服务事项。2025年平均日接待量250余人次，累计接待6万余人次。线下共受理8万余件（含电话咨询），线上受理近3000件。西城区政务服务一体化平台录入办件量达35919件，在全区排名前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就业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体系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高校毕业就业率99.71%，困难高校毕业生就业率100%；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登记失业人员就业率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98%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（全年指标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65%）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、累计就业人数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人（完成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157.1%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），其中：就业困难人员就业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人（完成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231.4%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）；招聘单位建档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户（完成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），招聘单位回访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次（完成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100 %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）；空岗信息采集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个；就业困难人员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进行摸查；个人求职服务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131.6 %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）；“三个清单”企业服务摸查率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；充分就业社区创建达标率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办理失业登记1891人；就业登记 833人；失业新增领金人员人2261人，本市户籍1750人，外地户籍511人；灵活就业在库2568人，新申请488人，停止1091人，减员1109 人；档案装订41份，阅档879份，档案摘抄1768份，开具证明1516份；电话通知约3500通，接待现场咨询3020人次，接听电话咨询 5600余次，群发短信12800余条上报自采暖补贴1191人，金额1028415.59元；水库移民补贴34人，金额19040元。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（二）社保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体系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药费报销1281人次，累计报销金额4212516.21元；管理社会化退休人员32837人，办理退休402人，办理遗属待遇623人、迁往外区45人、退休审档99人；社保卡补换3581张、领卡3752张；修改定点医院260人；城乡居民医疗保险新参保1364人，信息变更189人；无档案参保共219人，其中新参保93人；参加城乡居民养老保险145人；无保障人员办理丧葬费28人，城乡居民养老待遇领取公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养老待遇公示共计722人；业务下沉工作：养老增员199人，减员1082人，信息变更234人；医疗增员826人，减员851人，在职转退休398人，信息变更48人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医疗工龄一次性趸交180人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（三）社会救助: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享受低保待遇家庭651户,1069人，低收入家庭18户35人，生活困难补助18户19人；发放低保金20534840.19元；临时救助205户401人次1561643.14元；新申请低保55户83人；年复核650户；冬季采暖补助659户，1156200元。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退役军人服务：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共接待退役军人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2400余人次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；建档立卡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325人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，目前建档立卡率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93.00%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；申请优待证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303张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；补换领优待证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；发放优待证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303张，发放率99.50%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；发放光荣牌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59人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）养老服务：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养老服务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机构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家，其中：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敬老院1家，共设床位56张；老年公寓1家，共设有床位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280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张；养老照料中心1家，共设有床位50张；康养中心1家，共设有床位41张；社区养老驿站10家；养老助餐点40个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，2025年累计助餐量525390人次；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基本养老服务对象签约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139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基本养老服务对象签约率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辖区内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306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名老人申请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西城区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居家适老化改造补贴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“一键呼”智能终端，累计安装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6742部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目前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97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人享受异地康养床位补贴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新增21张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养老家庭照护床位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，累计建设1049张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目前在床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四、执法检查执行情况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全年按照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23项检查任务开展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行政执法检查。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对同一企业实施现场检查年度频次上限为每年6次。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涉企检查中，对燃气供应企业开展专项现场检查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次；对供热单位现场检查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次</w:t>
      </w:r>
      <w:bookmarkStart w:id="3" w:name="OLE_LINK2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bookmarkEnd w:id="3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对燃气非居民用户现场检查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次；对一般经营主体检查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非涉企检查中，对园林绿化类现场检查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次；对施工现场类现场检查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；对停车场类现场检查8次；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垃圾收集运输企业现场检查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7次;对物业小区类现场检查250次；对街面场景综合类检查478次；对破坏水工、水环境现场检查2次。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联合西城区市场监管局对燃气非居用户开展2项双随机抽查任务，共检查160次。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通过多途径非现场手段，实施非现场检查，其中燃气供应企业检查1次；供热单位检查3次；垃圾收集运输企业检查3次；对园林绿化情况检查12次；施工现场情况检查273次；停车场情况检查1次；物业小区检查217次；街面场景检查1001次；破坏水工、水环境情况检查2次；用水、排水单位检查6次。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综上，全年共实施行政执法检查2827次，其中非现场检查1519次，非现场占比53.73%。问题总数1058，占比37.42%。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五、行政处罚、行政强制等案件的办理情况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4" w:name="OLE_LINK6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全年共实施行政处罚216件，罚款额78.5456万元；行政强制案件0件。</w:t>
      </w:r>
    </w:p>
    <w:bookmarkEnd w:id="4"/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六、投诉、举报案件的受理和分类办理情况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bookmarkStart w:id="5" w:name="OLE_LINK7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全年共受理各类信访、举报案件1622件，办结率100%。其中，“12345”市民热线投诉1581件，占总数的97.47%；市城管局大数据平台案件38件，占总数2.34%;信访投诉件3件，占总数的0.19%。 </w:t>
      </w:r>
    </w:p>
    <w:bookmarkEnd w:id="5"/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rPr>
          <w:highlight w:val="none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highlight w:val="none"/>
        </w:rPr>
      </w:pPr>
      <w:r>
        <w:rPr>
          <w:rFonts w:hint="eastAsia" w:ascii="仿宋" w:hAnsi="仿宋" w:eastAsia="仿宋" w:cs="仿宋"/>
          <w:sz w:val="31"/>
          <w:szCs w:val="31"/>
          <w:highlight w:val="none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jc w:val="right"/>
        <w:rPr>
          <w:highlight w:val="none"/>
        </w:rPr>
      </w:pPr>
      <w:r>
        <w:rPr>
          <w:rFonts w:hint="eastAsia" w:ascii="仿宋" w:hAnsi="仿宋" w:eastAsia="仿宋" w:cs="仿宋"/>
          <w:sz w:val="31"/>
          <w:szCs w:val="31"/>
          <w:highlight w:val="none"/>
        </w:rPr>
        <w:t>二〇二</w:t>
      </w:r>
      <w:r>
        <w:rPr>
          <w:rFonts w:hint="eastAsia" w:ascii="仿宋" w:hAnsi="仿宋" w:eastAsia="仿宋" w:cs="仿宋"/>
          <w:sz w:val="31"/>
          <w:szCs w:val="31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年一月</w:t>
      </w:r>
      <w:r>
        <w:rPr>
          <w:rFonts w:hint="eastAsia" w:ascii="仿宋" w:hAnsi="仿宋" w:eastAsia="仿宋" w:cs="仿宋"/>
          <w:sz w:val="31"/>
          <w:szCs w:val="31"/>
          <w:highlight w:val="none"/>
          <w:lang w:eastAsia="zh-CN"/>
        </w:rPr>
        <w:t>七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日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A02E8"/>
    <w:rsid w:val="08593464"/>
    <w:rsid w:val="0D440C88"/>
    <w:rsid w:val="103029E9"/>
    <w:rsid w:val="11181282"/>
    <w:rsid w:val="13406AE4"/>
    <w:rsid w:val="15E4260C"/>
    <w:rsid w:val="184F635D"/>
    <w:rsid w:val="1C6609E9"/>
    <w:rsid w:val="1C7A13D5"/>
    <w:rsid w:val="1E234E34"/>
    <w:rsid w:val="1F5338A8"/>
    <w:rsid w:val="21931045"/>
    <w:rsid w:val="21B076D3"/>
    <w:rsid w:val="22B77355"/>
    <w:rsid w:val="25B05F91"/>
    <w:rsid w:val="26452D52"/>
    <w:rsid w:val="2AE17881"/>
    <w:rsid w:val="2F424109"/>
    <w:rsid w:val="2FB63ADF"/>
    <w:rsid w:val="301F06E8"/>
    <w:rsid w:val="37230C14"/>
    <w:rsid w:val="3B1238DB"/>
    <w:rsid w:val="3C4D0D88"/>
    <w:rsid w:val="40C160F9"/>
    <w:rsid w:val="441143CD"/>
    <w:rsid w:val="44357C85"/>
    <w:rsid w:val="45D3009C"/>
    <w:rsid w:val="464A02E8"/>
    <w:rsid w:val="4A7855D5"/>
    <w:rsid w:val="4EF23DA6"/>
    <w:rsid w:val="4F09062D"/>
    <w:rsid w:val="50C20D10"/>
    <w:rsid w:val="570121DA"/>
    <w:rsid w:val="584964E5"/>
    <w:rsid w:val="669333DB"/>
    <w:rsid w:val="6AC96F48"/>
    <w:rsid w:val="6B3606C6"/>
    <w:rsid w:val="72862DBD"/>
    <w:rsid w:val="7E8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  <w:kern w:val="0"/>
    </w:rPr>
  </w:style>
  <w:style w:type="paragraph" w:styleId="4">
    <w:name w:val="Plain Text"/>
    <w:basedOn w:val="1"/>
    <w:qFormat/>
    <w:uiPriority w:val="0"/>
    <w:pPr>
      <w:suppressAutoHyphens/>
      <w:overflowPunct w:val="0"/>
      <w:spacing w:line="560" w:lineRule="exact"/>
      <w:ind w:firstLine="880" w:firstLineChars="200"/>
    </w:pPr>
    <w:rPr>
      <w:rFonts w:ascii="宋体" w:hAnsi="宋体" w:eastAsia="仿宋_GB2312" w:cs="Times New Roman"/>
      <w:sz w:val="32"/>
      <w:szCs w:val="20"/>
      <w:lang w:val="zh-CN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Normal Indent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2024-01-03T00:38:00Z</dcterms:created>
  <dc:creator>Administrator</dc:creator>
  <cp:lastModifiedBy>Administrator</cp:lastModifiedBy>
  <dcterms:modified xsi:type="dcterms:W3CDTF">2026-01-07T01:26:09Z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