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8BF6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highlight w:val="none"/>
        </w:rPr>
      </w:pPr>
      <w:bookmarkStart w:id="0" w:name="_GoBack"/>
      <w:bookmarkEnd w:id="0"/>
      <w:r>
        <w:rPr>
          <w:rFonts w:hint="eastAsia" w:ascii="方正小标宋简体" w:hAnsi="方正小标宋简体" w:eastAsia="方正小标宋简体" w:cs="方正小标宋简体"/>
          <w:sz w:val="44"/>
          <w:szCs w:val="44"/>
          <w:highlight w:val="none"/>
        </w:rPr>
        <w:t>西城区房屋管理局202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年政府信息公开</w:t>
      </w:r>
    </w:p>
    <w:p w14:paraId="5F0F4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工作年度报告</w:t>
      </w:r>
    </w:p>
    <w:p w14:paraId="384CC98B">
      <w:pPr>
        <w:spacing w:line="560" w:lineRule="exact"/>
        <w:jc w:val="center"/>
        <w:rPr>
          <w:sz w:val="44"/>
          <w:szCs w:val="44"/>
          <w:highlight w:val="none"/>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14:paraId="0EAC4E5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仿宋-GB2312" w:hAnsi="CESI仿宋-GB2312" w:eastAsia="CESI仿宋-GB2312" w:cs="CESI仿宋-GB2312"/>
          <w:i w:val="0"/>
          <w:caps w:val="0"/>
          <w:color w:val="000000"/>
          <w:spacing w:val="15"/>
          <w:sz w:val="32"/>
          <w:szCs w:val="32"/>
          <w:highlight w:val="none"/>
          <w:lang w:eastAsia="zh-CN"/>
        </w:rPr>
      </w:pPr>
      <w:r>
        <w:rPr>
          <w:rFonts w:hint="eastAsia" w:ascii="CESI仿宋-GB2312" w:hAnsi="CESI仿宋-GB2312" w:eastAsia="CESI仿宋-GB2312" w:cs="CESI仿宋-GB2312"/>
          <w:i w:val="0"/>
          <w:caps w:val="0"/>
          <w:color w:val="000000"/>
          <w:spacing w:val="15"/>
          <w:sz w:val="32"/>
          <w:szCs w:val="32"/>
          <w:highlight w:val="none"/>
        </w:rPr>
        <w:t>依据《中华人民共和国政府信息公开条例》(以下简称《政府信息公开条例》)第五十条规定，编制本报告</w:t>
      </w:r>
      <w:r>
        <w:rPr>
          <w:rFonts w:hint="eastAsia" w:ascii="CESI仿宋-GB2312" w:hAnsi="CESI仿宋-GB2312" w:eastAsia="CESI仿宋-GB2312" w:cs="CESI仿宋-GB2312"/>
          <w:i w:val="0"/>
          <w:caps w:val="0"/>
          <w:color w:val="000000"/>
          <w:spacing w:val="15"/>
          <w:sz w:val="32"/>
          <w:szCs w:val="32"/>
          <w:highlight w:val="none"/>
          <w:lang w:eastAsia="zh-CN"/>
        </w:rPr>
        <w:t>。</w:t>
      </w:r>
    </w:p>
    <w:p w14:paraId="52C0A02D">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highlight w:val="none"/>
        </w:rPr>
      </w:pPr>
      <w:r>
        <w:rPr>
          <w:rFonts w:ascii="黑体" w:hAnsi="黑体" w:eastAsia="黑体" w:cs="宋体"/>
          <w:spacing w:val="8"/>
          <w:kern w:val="0"/>
          <w:sz w:val="32"/>
          <w:szCs w:val="32"/>
          <w:highlight w:val="none"/>
        </w:rPr>
        <w:t>一、总体情况</w:t>
      </w:r>
    </w:p>
    <w:p w14:paraId="3D4554E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仿宋-GB2312" w:hAnsi="CESI仿宋-GB2312" w:eastAsia="CESI仿宋-GB2312" w:cs="CESI仿宋-GB2312"/>
          <w:i w:val="0"/>
          <w:caps w:val="0"/>
          <w:color w:val="000000"/>
          <w:spacing w:val="0"/>
          <w:sz w:val="32"/>
          <w:szCs w:val="32"/>
          <w:highlight w:val="none"/>
        </w:rPr>
      </w:pPr>
      <w:r>
        <w:rPr>
          <w:rFonts w:hint="eastAsia" w:ascii="CESI仿宋-GB2312" w:hAnsi="CESI仿宋-GB2312" w:eastAsia="CESI仿宋-GB2312" w:cs="CESI仿宋-GB2312"/>
          <w:i w:val="0"/>
          <w:caps w:val="0"/>
          <w:color w:val="000000"/>
          <w:spacing w:val="15"/>
          <w:sz w:val="32"/>
          <w:szCs w:val="32"/>
          <w:highlight w:val="none"/>
        </w:rPr>
        <w:t>202</w:t>
      </w:r>
      <w:r>
        <w:rPr>
          <w:rFonts w:hint="eastAsia" w:ascii="CESI仿宋-GB2312" w:hAnsi="CESI仿宋-GB2312" w:eastAsia="CESI仿宋-GB2312" w:cs="CESI仿宋-GB2312"/>
          <w:i w:val="0"/>
          <w:caps w:val="0"/>
          <w:color w:val="000000"/>
          <w:spacing w:val="15"/>
          <w:sz w:val="32"/>
          <w:szCs w:val="32"/>
          <w:highlight w:val="none"/>
          <w:lang w:val="en-US" w:eastAsia="zh-CN"/>
        </w:rPr>
        <w:t>5</w:t>
      </w:r>
      <w:r>
        <w:rPr>
          <w:rFonts w:hint="eastAsia" w:ascii="CESI仿宋-GB2312" w:hAnsi="CESI仿宋-GB2312" w:eastAsia="CESI仿宋-GB2312" w:cs="CESI仿宋-GB2312"/>
          <w:i w:val="0"/>
          <w:caps w:val="0"/>
          <w:color w:val="000000"/>
          <w:spacing w:val="15"/>
          <w:sz w:val="32"/>
          <w:szCs w:val="32"/>
          <w:highlight w:val="none"/>
        </w:rPr>
        <w:t>年，</w:t>
      </w:r>
      <w:r>
        <w:rPr>
          <w:rFonts w:hint="eastAsia" w:ascii="CESI仿宋-GB2312" w:hAnsi="CESI仿宋-GB2312" w:eastAsia="CESI仿宋-GB2312" w:cs="CESI仿宋-GB2312"/>
          <w:i w:val="0"/>
          <w:caps w:val="0"/>
          <w:color w:val="000000"/>
          <w:spacing w:val="15"/>
          <w:sz w:val="32"/>
          <w:szCs w:val="32"/>
          <w:highlight w:val="none"/>
          <w:lang w:eastAsia="zh-CN"/>
        </w:rPr>
        <w:t>北京市西城区房屋管理局（以下简称区房管局）坚持以习近平新时代中国特色社会主义思想为指导，全面贯彻党的二十大和二十届历次全会精神，严格</w:t>
      </w:r>
      <w:r>
        <w:rPr>
          <w:rFonts w:hint="eastAsia" w:ascii="CESI仿宋-GB2312" w:hAnsi="CESI仿宋-GB2312" w:eastAsia="CESI仿宋-GB2312" w:cs="CESI仿宋-GB2312"/>
          <w:i w:val="0"/>
          <w:caps w:val="0"/>
          <w:color w:val="000000"/>
          <w:spacing w:val="15"/>
          <w:sz w:val="32"/>
          <w:szCs w:val="32"/>
          <w:highlight w:val="none"/>
        </w:rPr>
        <w:t>落实</w:t>
      </w:r>
      <w:r>
        <w:rPr>
          <w:rFonts w:hint="eastAsia" w:ascii="CESI仿宋-GB2312" w:hAnsi="CESI仿宋-GB2312" w:eastAsia="CESI仿宋-GB2312" w:cs="CESI仿宋-GB2312"/>
          <w:i w:val="0"/>
          <w:caps w:val="0"/>
          <w:color w:val="000000"/>
          <w:spacing w:val="15"/>
          <w:sz w:val="32"/>
          <w:szCs w:val="32"/>
          <w:highlight w:val="none"/>
          <w:lang w:eastAsia="zh-CN"/>
        </w:rPr>
        <w:t>《政府信息公开条例》及</w:t>
      </w:r>
      <w:r>
        <w:rPr>
          <w:rFonts w:hint="eastAsia" w:ascii="CESI仿宋-GB2312" w:hAnsi="CESI仿宋-GB2312" w:eastAsia="CESI仿宋-GB2312" w:cs="CESI仿宋-GB2312"/>
          <w:i w:val="0"/>
          <w:caps w:val="0"/>
          <w:color w:val="000000"/>
          <w:spacing w:val="15"/>
          <w:sz w:val="32"/>
          <w:szCs w:val="32"/>
          <w:highlight w:val="none"/>
        </w:rPr>
        <w:t>市</w:t>
      </w:r>
      <w:r>
        <w:rPr>
          <w:rFonts w:hint="eastAsia" w:ascii="CESI仿宋-GB2312" w:hAnsi="CESI仿宋-GB2312" w:eastAsia="CESI仿宋-GB2312" w:cs="CESI仿宋-GB2312"/>
          <w:i w:val="0"/>
          <w:caps w:val="0"/>
          <w:color w:val="000000"/>
          <w:spacing w:val="15"/>
          <w:sz w:val="32"/>
          <w:szCs w:val="32"/>
          <w:highlight w:val="none"/>
          <w:lang w:eastAsia="zh-CN"/>
        </w:rPr>
        <w:t>、</w:t>
      </w:r>
      <w:r>
        <w:rPr>
          <w:rFonts w:hint="eastAsia" w:ascii="CESI仿宋-GB2312" w:hAnsi="CESI仿宋-GB2312" w:eastAsia="CESI仿宋-GB2312" w:cs="CESI仿宋-GB2312"/>
          <w:i w:val="0"/>
          <w:caps w:val="0"/>
          <w:color w:val="000000"/>
          <w:spacing w:val="15"/>
          <w:sz w:val="32"/>
          <w:szCs w:val="32"/>
          <w:highlight w:val="none"/>
        </w:rPr>
        <w:t>区</w:t>
      </w:r>
      <w:r>
        <w:rPr>
          <w:rFonts w:hint="eastAsia" w:ascii="CESI仿宋-GB2312" w:hAnsi="CESI仿宋-GB2312" w:eastAsia="CESI仿宋-GB2312" w:cs="CESI仿宋-GB2312"/>
          <w:i w:val="0"/>
          <w:caps w:val="0"/>
          <w:color w:val="000000"/>
          <w:spacing w:val="15"/>
          <w:sz w:val="32"/>
          <w:szCs w:val="32"/>
          <w:highlight w:val="none"/>
          <w:lang w:eastAsia="zh-CN"/>
        </w:rPr>
        <w:t>对政府</w:t>
      </w:r>
      <w:r>
        <w:rPr>
          <w:rFonts w:hint="eastAsia" w:ascii="CESI仿宋-GB2312" w:hAnsi="CESI仿宋-GB2312" w:eastAsia="CESI仿宋-GB2312" w:cs="CESI仿宋-GB2312"/>
          <w:i w:val="0"/>
          <w:caps w:val="0"/>
          <w:color w:val="000000"/>
          <w:spacing w:val="15"/>
          <w:sz w:val="32"/>
          <w:szCs w:val="32"/>
          <w:highlight w:val="none"/>
        </w:rPr>
        <w:t>信息公开工作的要求，</w:t>
      </w:r>
      <w:r>
        <w:rPr>
          <w:rFonts w:hint="eastAsia" w:ascii="CESI仿宋-GB2312" w:hAnsi="CESI仿宋-GB2312" w:eastAsia="CESI仿宋-GB2312" w:cs="CESI仿宋-GB2312"/>
          <w:i w:val="0"/>
          <w:caps w:val="0"/>
          <w:color w:val="000000"/>
          <w:spacing w:val="15"/>
          <w:sz w:val="32"/>
          <w:szCs w:val="32"/>
          <w:highlight w:val="none"/>
          <w:lang w:eastAsia="zh-CN"/>
        </w:rPr>
        <w:t>不断提高政务服务和政府信息服务质量</w:t>
      </w:r>
      <w:r>
        <w:rPr>
          <w:rFonts w:hint="eastAsia" w:ascii="CESI仿宋-GB2312" w:hAnsi="CESI仿宋-GB2312" w:eastAsia="CESI仿宋-GB2312" w:cs="CESI仿宋-GB2312"/>
          <w:i w:val="0"/>
          <w:caps w:val="0"/>
          <w:color w:val="000000"/>
          <w:spacing w:val="15"/>
          <w:sz w:val="32"/>
          <w:szCs w:val="32"/>
          <w:highlight w:val="none"/>
        </w:rPr>
        <w:t>。</w:t>
      </w:r>
    </w:p>
    <w:p w14:paraId="349D9922">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楷体-GB2312" w:hAnsi="CESI楷体-GB2312" w:eastAsia="CESI楷体-GB2312" w:cs="CESI楷体-GB2312"/>
          <w:i w:val="0"/>
          <w:caps w:val="0"/>
          <w:color w:val="auto"/>
          <w:spacing w:val="15"/>
          <w:sz w:val="32"/>
          <w:szCs w:val="32"/>
          <w:highlight w:val="none"/>
          <w:lang w:eastAsia="zh-CN"/>
        </w:rPr>
      </w:pPr>
      <w:r>
        <w:rPr>
          <w:rFonts w:hint="eastAsia" w:ascii="CESI楷体-GB2312" w:hAnsi="CESI楷体-GB2312" w:eastAsia="CESI楷体-GB2312" w:cs="CESI楷体-GB2312"/>
          <w:i w:val="0"/>
          <w:caps w:val="0"/>
          <w:color w:val="auto"/>
          <w:spacing w:val="15"/>
          <w:sz w:val="32"/>
          <w:szCs w:val="32"/>
          <w:highlight w:val="none"/>
          <w:lang w:eastAsia="zh-CN"/>
        </w:rPr>
        <w:t>主动公开情况</w:t>
      </w:r>
    </w:p>
    <w:p w14:paraId="05912CE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仿宋-GB2312" w:hAnsi="CESI仿宋-GB2312" w:eastAsia="CESI仿宋-GB2312" w:cs="CESI仿宋-GB2312"/>
          <w:i w:val="0"/>
          <w:caps w:val="0"/>
          <w:color w:val="auto"/>
          <w:spacing w:val="15"/>
          <w:sz w:val="32"/>
          <w:szCs w:val="32"/>
          <w:highlight w:val="none"/>
        </w:rPr>
      </w:pPr>
      <w:r>
        <w:rPr>
          <w:rFonts w:hint="eastAsia" w:ascii="CESI仿宋-GB2312" w:hAnsi="CESI仿宋-GB2312" w:eastAsia="CESI仿宋-GB2312" w:cs="CESI仿宋-GB2312"/>
          <w:i w:val="0"/>
          <w:caps w:val="0"/>
          <w:color w:val="auto"/>
          <w:spacing w:val="15"/>
          <w:sz w:val="32"/>
          <w:szCs w:val="32"/>
          <w:highlight w:val="none"/>
        </w:rPr>
        <w:t>2025年区房管局主动公开政府信息152条。其中，主动公开房屋管理类政府信息85条；主动公开保障性住房的分配和退出等信息57条；主动公开房屋征收决定、房屋征收补偿方案等信息10条。</w:t>
      </w:r>
    </w:p>
    <w:p w14:paraId="596BDC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楷体-GB2312" w:hAnsi="CESI楷体-GB2312" w:eastAsia="CESI楷体-GB2312" w:cs="CESI楷体-GB2312"/>
          <w:i w:val="0"/>
          <w:caps w:val="0"/>
          <w:color w:val="000000"/>
          <w:spacing w:val="15"/>
          <w:sz w:val="32"/>
          <w:szCs w:val="32"/>
          <w:highlight w:val="none"/>
          <w:lang w:eastAsia="zh-CN"/>
        </w:rPr>
      </w:pPr>
      <w:r>
        <w:rPr>
          <w:rFonts w:hint="eastAsia" w:ascii="CESI楷体-GB2312" w:hAnsi="CESI楷体-GB2312" w:eastAsia="CESI楷体-GB2312" w:cs="CESI楷体-GB2312"/>
          <w:i w:val="0"/>
          <w:caps w:val="0"/>
          <w:color w:val="000000"/>
          <w:spacing w:val="15"/>
          <w:sz w:val="32"/>
          <w:szCs w:val="32"/>
          <w:highlight w:val="none"/>
          <w:lang w:eastAsia="zh-CN"/>
        </w:rPr>
        <w:t>（二）依申请公开办理情况</w:t>
      </w:r>
    </w:p>
    <w:p w14:paraId="4BB47AD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仿宋-GB2312" w:hAnsi="CESI仿宋-GB2312" w:eastAsia="CESI仿宋-GB2312" w:cs="CESI仿宋-GB2312"/>
          <w:i w:val="0"/>
          <w:caps w:val="0"/>
          <w:color w:val="000000"/>
          <w:spacing w:val="0"/>
          <w:sz w:val="32"/>
          <w:szCs w:val="32"/>
          <w:highlight w:val="none"/>
        </w:rPr>
      </w:pPr>
      <w:r>
        <w:rPr>
          <w:rFonts w:hint="eastAsia" w:ascii="CESI仿宋-GB2312" w:hAnsi="CESI仿宋-GB2312" w:eastAsia="CESI仿宋-GB2312" w:cs="CESI仿宋-GB2312"/>
          <w:i w:val="0"/>
          <w:caps w:val="0"/>
          <w:color w:val="000000"/>
          <w:spacing w:val="15"/>
          <w:sz w:val="32"/>
          <w:szCs w:val="32"/>
          <w:highlight w:val="none"/>
        </w:rPr>
        <w:t>2025年度，区房管局坚持以提升服务效能为导向，进一步优化政府信息公开申请办理机制，通过细化工作流程、加强申请前沟通、严格办理时限管理等措施，切实提升信息公开答复的规范性与时效性。全年共受理政府信息公开申请825件，结转上年申请</w:t>
      </w:r>
      <w:r>
        <w:rPr>
          <w:rFonts w:hint="eastAsia" w:ascii="CESI仿宋-GB2312" w:hAnsi="CESI仿宋-GB2312" w:eastAsia="CESI仿宋-GB2312" w:cs="CESI仿宋-GB2312"/>
          <w:i w:val="0"/>
          <w:caps w:val="0"/>
          <w:color w:val="000000"/>
          <w:spacing w:val="15"/>
          <w:sz w:val="32"/>
          <w:szCs w:val="32"/>
          <w:highlight w:val="none"/>
          <w:lang w:val="en-US" w:eastAsia="zh-CN"/>
        </w:rPr>
        <w:t>45</w:t>
      </w:r>
      <w:r>
        <w:rPr>
          <w:rFonts w:hint="eastAsia" w:ascii="CESI仿宋-GB2312" w:hAnsi="CESI仿宋-GB2312" w:eastAsia="CESI仿宋-GB2312" w:cs="CESI仿宋-GB2312"/>
          <w:i w:val="0"/>
          <w:caps w:val="0"/>
          <w:color w:val="000000"/>
          <w:spacing w:val="15"/>
          <w:sz w:val="32"/>
          <w:szCs w:val="32"/>
          <w:highlight w:val="none"/>
        </w:rPr>
        <w:t>件，累计处理申请8</w:t>
      </w:r>
      <w:r>
        <w:rPr>
          <w:rFonts w:hint="eastAsia" w:ascii="CESI仿宋-GB2312" w:hAnsi="CESI仿宋-GB2312" w:eastAsia="CESI仿宋-GB2312" w:cs="CESI仿宋-GB2312"/>
          <w:i w:val="0"/>
          <w:caps w:val="0"/>
          <w:color w:val="000000"/>
          <w:spacing w:val="15"/>
          <w:sz w:val="32"/>
          <w:szCs w:val="32"/>
          <w:highlight w:val="none"/>
          <w:lang w:val="en-US" w:eastAsia="zh-CN"/>
        </w:rPr>
        <w:t>70</w:t>
      </w:r>
      <w:r>
        <w:rPr>
          <w:rFonts w:hint="eastAsia" w:ascii="CESI仿宋-GB2312" w:hAnsi="CESI仿宋-GB2312" w:eastAsia="CESI仿宋-GB2312" w:cs="CESI仿宋-GB2312"/>
          <w:i w:val="0"/>
          <w:caps w:val="0"/>
          <w:color w:val="000000"/>
          <w:spacing w:val="15"/>
          <w:sz w:val="32"/>
          <w:szCs w:val="32"/>
          <w:highlight w:val="none"/>
        </w:rPr>
        <w:t>件；截至年度统计时点，已办结</w:t>
      </w:r>
      <w:r>
        <w:rPr>
          <w:rFonts w:hint="eastAsia" w:ascii="CESI仿宋-GB2312" w:hAnsi="CESI仿宋-GB2312" w:eastAsia="CESI仿宋-GB2312" w:cs="CESI仿宋-GB2312"/>
          <w:i w:val="0"/>
          <w:caps w:val="0"/>
          <w:color w:val="000000"/>
          <w:spacing w:val="15"/>
          <w:sz w:val="32"/>
          <w:szCs w:val="32"/>
          <w:highlight w:val="none"/>
          <w:lang w:val="en-US" w:eastAsia="zh-CN"/>
        </w:rPr>
        <w:t>834</w:t>
      </w:r>
      <w:r>
        <w:rPr>
          <w:rFonts w:hint="eastAsia" w:ascii="CESI仿宋-GB2312" w:hAnsi="CESI仿宋-GB2312" w:eastAsia="CESI仿宋-GB2312" w:cs="CESI仿宋-GB2312"/>
          <w:i w:val="0"/>
          <w:caps w:val="0"/>
          <w:color w:val="000000"/>
          <w:spacing w:val="15"/>
          <w:sz w:val="32"/>
          <w:szCs w:val="32"/>
          <w:highlight w:val="none"/>
        </w:rPr>
        <w:t>件（含上年结转），所有答复均严格依据《政府信息公开条例》及相关规定执行，申请总量较上年呈增长态势。</w:t>
      </w:r>
      <w:r>
        <w:rPr>
          <w:rFonts w:hint="eastAsia" w:ascii="CESI仿宋-GB2312" w:hAnsi="CESI仿宋-GB2312" w:eastAsia="CESI仿宋-GB2312" w:cs="CESI仿宋-GB2312"/>
          <w:i w:val="0"/>
          <w:caps w:val="0"/>
          <w:color w:val="000000"/>
          <w:spacing w:val="15"/>
          <w:sz w:val="32"/>
          <w:szCs w:val="32"/>
          <w:highlight w:val="none"/>
          <w:lang w:eastAsia="zh-CN"/>
        </w:rPr>
        <w:t>从申请方式来看，以当面申请为主，共</w:t>
      </w:r>
      <w:r>
        <w:rPr>
          <w:rFonts w:hint="eastAsia" w:ascii="CESI仿宋-GB2312" w:hAnsi="CESI仿宋-GB2312" w:eastAsia="CESI仿宋-GB2312" w:cs="CESI仿宋-GB2312"/>
          <w:i w:val="0"/>
          <w:caps w:val="0"/>
          <w:color w:val="000000"/>
          <w:spacing w:val="15"/>
          <w:sz w:val="32"/>
          <w:szCs w:val="32"/>
          <w:highlight w:val="none"/>
          <w:lang w:val="en-US" w:eastAsia="zh-CN"/>
        </w:rPr>
        <w:t>646</w:t>
      </w:r>
      <w:r>
        <w:rPr>
          <w:rFonts w:hint="eastAsia" w:ascii="CESI仿宋-GB2312" w:hAnsi="CESI仿宋-GB2312" w:eastAsia="CESI仿宋-GB2312" w:cs="CESI仿宋-GB2312"/>
          <w:i w:val="0"/>
          <w:caps w:val="0"/>
          <w:color w:val="000000"/>
          <w:spacing w:val="15"/>
          <w:sz w:val="32"/>
          <w:szCs w:val="32"/>
          <w:highlight w:val="none"/>
        </w:rPr>
        <w:t>件，占总数的</w:t>
      </w:r>
      <w:r>
        <w:rPr>
          <w:rFonts w:hint="eastAsia" w:ascii="CESI仿宋-GB2312" w:hAnsi="CESI仿宋-GB2312" w:eastAsia="CESI仿宋-GB2312" w:cs="CESI仿宋-GB2312"/>
          <w:i w:val="0"/>
          <w:caps w:val="0"/>
          <w:color w:val="000000"/>
          <w:spacing w:val="15"/>
          <w:sz w:val="32"/>
          <w:szCs w:val="32"/>
          <w:highlight w:val="none"/>
          <w:lang w:val="en-US" w:eastAsia="zh-CN"/>
        </w:rPr>
        <w:t>78.30%</w:t>
      </w:r>
      <w:r>
        <w:rPr>
          <w:rFonts w:hint="eastAsia" w:ascii="CESI仿宋-GB2312" w:hAnsi="CESI仿宋-GB2312" w:eastAsia="CESI仿宋-GB2312" w:cs="CESI仿宋-GB2312"/>
          <w:i w:val="0"/>
          <w:caps w:val="0"/>
          <w:color w:val="000000"/>
          <w:spacing w:val="15"/>
          <w:sz w:val="32"/>
          <w:szCs w:val="32"/>
          <w:highlight w:val="none"/>
        </w:rPr>
        <w:t>；信函申请</w:t>
      </w:r>
      <w:r>
        <w:rPr>
          <w:rFonts w:hint="eastAsia" w:ascii="CESI仿宋-GB2312" w:hAnsi="CESI仿宋-GB2312" w:eastAsia="CESI仿宋-GB2312" w:cs="CESI仿宋-GB2312"/>
          <w:i w:val="0"/>
          <w:caps w:val="0"/>
          <w:color w:val="000000"/>
          <w:spacing w:val="15"/>
          <w:sz w:val="32"/>
          <w:szCs w:val="32"/>
          <w:highlight w:val="none"/>
          <w:lang w:val="en-US" w:eastAsia="zh-CN"/>
        </w:rPr>
        <w:t>111</w:t>
      </w:r>
      <w:r>
        <w:rPr>
          <w:rFonts w:hint="eastAsia" w:ascii="CESI仿宋-GB2312" w:hAnsi="CESI仿宋-GB2312" w:eastAsia="CESI仿宋-GB2312" w:cs="CESI仿宋-GB2312"/>
          <w:i w:val="0"/>
          <w:caps w:val="0"/>
          <w:color w:val="000000"/>
          <w:spacing w:val="15"/>
          <w:sz w:val="32"/>
          <w:szCs w:val="32"/>
          <w:highlight w:val="none"/>
        </w:rPr>
        <w:t>件，占总数的</w:t>
      </w:r>
      <w:r>
        <w:rPr>
          <w:rFonts w:hint="eastAsia" w:ascii="CESI仿宋-GB2312" w:hAnsi="CESI仿宋-GB2312" w:eastAsia="CESI仿宋-GB2312" w:cs="CESI仿宋-GB2312"/>
          <w:i w:val="0"/>
          <w:caps w:val="0"/>
          <w:color w:val="000000"/>
          <w:spacing w:val="15"/>
          <w:sz w:val="32"/>
          <w:szCs w:val="32"/>
          <w:highlight w:val="none"/>
          <w:lang w:val="en-US" w:eastAsia="zh-CN"/>
        </w:rPr>
        <w:t>13.45%</w:t>
      </w:r>
      <w:r>
        <w:rPr>
          <w:rFonts w:hint="eastAsia" w:ascii="CESI仿宋-GB2312" w:hAnsi="CESI仿宋-GB2312" w:eastAsia="CESI仿宋-GB2312" w:cs="CESI仿宋-GB2312"/>
          <w:i w:val="0"/>
          <w:caps w:val="0"/>
          <w:color w:val="000000"/>
          <w:spacing w:val="15"/>
          <w:sz w:val="32"/>
          <w:szCs w:val="32"/>
          <w:highlight w:val="none"/>
        </w:rPr>
        <w:t>；电子邮件</w:t>
      </w:r>
      <w:r>
        <w:rPr>
          <w:rFonts w:hint="eastAsia" w:ascii="CESI仿宋-GB2312" w:hAnsi="CESI仿宋-GB2312" w:eastAsia="CESI仿宋-GB2312" w:cs="CESI仿宋-GB2312"/>
          <w:i w:val="0"/>
          <w:caps w:val="0"/>
          <w:color w:val="000000"/>
          <w:spacing w:val="15"/>
          <w:sz w:val="32"/>
          <w:szCs w:val="32"/>
          <w:highlight w:val="none"/>
          <w:lang w:eastAsia="zh-CN"/>
        </w:rPr>
        <w:t>等其他方式</w:t>
      </w:r>
      <w:r>
        <w:rPr>
          <w:rFonts w:hint="eastAsia" w:ascii="CESI仿宋-GB2312" w:hAnsi="CESI仿宋-GB2312" w:eastAsia="CESI仿宋-GB2312" w:cs="CESI仿宋-GB2312"/>
          <w:i w:val="0"/>
          <w:caps w:val="0"/>
          <w:color w:val="000000"/>
          <w:spacing w:val="15"/>
          <w:sz w:val="32"/>
          <w:szCs w:val="32"/>
          <w:highlight w:val="none"/>
        </w:rPr>
        <w:t>申请</w:t>
      </w:r>
      <w:r>
        <w:rPr>
          <w:rFonts w:hint="eastAsia" w:ascii="CESI仿宋-GB2312" w:hAnsi="CESI仿宋-GB2312" w:eastAsia="CESI仿宋-GB2312" w:cs="CESI仿宋-GB2312"/>
          <w:i w:val="0"/>
          <w:caps w:val="0"/>
          <w:color w:val="000000"/>
          <w:spacing w:val="15"/>
          <w:sz w:val="32"/>
          <w:szCs w:val="32"/>
          <w:highlight w:val="none"/>
          <w:lang w:val="en-US" w:eastAsia="zh-CN"/>
        </w:rPr>
        <w:t>68</w:t>
      </w:r>
      <w:r>
        <w:rPr>
          <w:rFonts w:hint="eastAsia" w:ascii="CESI仿宋-GB2312" w:hAnsi="CESI仿宋-GB2312" w:eastAsia="CESI仿宋-GB2312" w:cs="CESI仿宋-GB2312"/>
          <w:i w:val="0"/>
          <w:caps w:val="0"/>
          <w:color w:val="000000"/>
          <w:spacing w:val="15"/>
          <w:sz w:val="32"/>
          <w:szCs w:val="32"/>
          <w:highlight w:val="none"/>
        </w:rPr>
        <w:t>件，占总数的</w:t>
      </w:r>
      <w:r>
        <w:rPr>
          <w:rFonts w:hint="eastAsia" w:ascii="CESI仿宋-GB2312" w:hAnsi="CESI仿宋-GB2312" w:eastAsia="CESI仿宋-GB2312" w:cs="CESI仿宋-GB2312"/>
          <w:i w:val="0"/>
          <w:caps w:val="0"/>
          <w:color w:val="000000"/>
          <w:spacing w:val="15"/>
          <w:sz w:val="32"/>
          <w:szCs w:val="32"/>
          <w:highlight w:val="none"/>
          <w:lang w:val="en-US" w:eastAsia="zh-CN"/>
        </w:rPr>
        <w:t>8.24%</w:t>
      </w:r>
      <w:r>
        <w:rPr>
          <w:rFonts w:hint="eastAsia" w:ascii="CESI仿宋-GB2312" w:hAnsi="CESI仿宋-GB2312" w:eastAsia="CESI仿宋-GB2312" w:cs="CESI仿宋-GB2312"/>
          <w:i w:val="0"/>
          <w:caps w:val="0"/>
          <w:color w:val="000000"/>
          <w:spacing w:val="15"/>
          <w:sz w:val="32"/>
          <w:szCs w:val="32"/>
          <w:highlight w:val="none"/>
        </w:rPr>
        <w:t>。</w:t>
      </w:r>
    </w:p>
    <w:p w14:paraId="696EE65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仿宋-GB2312" w:hAnsi="CESI仿宋-GB2312" w:eastAsia="CESI仿宋-GB2312" w:cs="CESI仿宋-GB2312"/>
          <w:i w:val="0"/>
          <w:caps w:val="0"/>
          <w:color w:val="000000"/>
          <w:spacing w:val="0"/>
          <w:sz w:val="32"/>
          <w:szCs w:val="32"/>
          <w:highlight w:val="none"/>
        </w:rPr>
      </w:pPr>
      <w:r>
        <w:rPr>
          <w:rFonts w:hint="eastAsia" w:ascii="CESI仿宋-GB2312" w:hAnsi="CESI仿宋-GB2312" w:eastAsia="CESI仿宋-GB2312" w:cs="CESI仿宋-GB2312"/>
          <w:i w:val="0"/>
          <w:caps w:val="0"/>
          <w:color w:val="000000"/>
          <w:spacing w:val="15"/>
          <w:sz w:val="32"/>
          <w:szCs w:val="32"/>
          <w:highlight w:val="none"/>
          <w:lang w:eastAsia="zh-CN"/>
        </w:rPr>
        <w:t>从申请</w:t>
      </w:r>
      <w:r>
        <w:rPr>
          <w:rFonts w:hint="eastAsia" w:ascii="CESI仿宋-GB2312" w:hAnsi="CESI仿宋-GB2312" w:eastAsia="CESI仿宋-GB2312" w:cs="CESI仿宋-GB2312"/>
          <w:i w:val="0"/>
          <w:caps w:val="0"/>
          <w:color w:val="000000"/>
          <w:spacing w:val="15"/>
          <w:sz w:val="32"/>
          <w:szCs w:val="32"/>
          <w:highlight w:val="none"/>
        </w:rPr>
        <w:t>内容</w:t>
      </w:r>
      <w:r>
        <w:rPr>
          <w:rFonts w:hint="eastAsia" w:ascii="CESI仿宋-GB2312" w:hAnsi="CESI仿宋-GB2312" w:eastAsia="CESI仿宋-GB2312" w:cs="CESI仿宋-GB2312"/>
          <w:i w:val="0"/>
          <w:caps w:val="0"/>
          <w:color w:val="000000"/>
          <w:spacing w:val="15"/>
          <w:sz w:val="32"/>
          <w:szCs w:val="32"/>
          <w:highlight w:val="none"/>
          <w:lang w:eastAsia="zh-CN"/>
        </w:rPr>
        <w:t>来看，</w:t>
      </w:r>
      <w:r>
        <w:rPr>
          <w:rFonts w:hint="eastAsia" w:ascii="CESI仿宋-GB2312" w:hAnsi="CESI仿宋-GB2312" w:eastAsia="CESI仿宋-GB2312" w:cs="CESI仿宋-GB2312"/>
          <w:i w:val="0"/>
          <w:caps w:val="0"/>
          <w:color w:val="000000"/>
          <w:spacing w:val="15"/>
          <w:sz w:val="32"/>
          <w:szCs w:val="32"/>
          <w:highlight w:val="none"/>
        </w:rPr>
        <w:t>涉及领域持续集中，主要包括房屋征收与拆迁、落实私房政策、直管公房管理、物业管理、房屋市场管理、房屋测绘成果审核等方面。这一分布态势与往年基本一致，反映出房屋管理领域信息公开需求具有较强的政策关联性、业务专业性和历史延续性。</w:t>
      </w:r>
    </w:p>
    <w:p w14:paraId="4C1151C5">
      <w:pPr>
        <w:keepNext w:val="0"/>
        <w:keepLines w:val="0"/>
        <w:pageBreakBefore w:val="0"/>
        <w:widowControl/>
        <w:suppressLineNumbers w:val="0"/>
        <w:kinsoku/>
        <w:wordWrap/>
        <w:overflowPunct/>
        <w:topLinePunct w:val="0"/>
        <w:autoSpaceDE/>
        <w:autoSpaceDN/>
        <w:bidi w:val="0"/>
        <w:adjustRightInd/>
        <w:snapToGrid/>
        <w:spacing w:line="540" w:lineRule="exact"/>
        <w:ind w:firstLine="700" w:firstLineChars="200"/>
        <w:jc w:val="left"/>
        <w:textAlignment w:val="auto"/>
        <w:rPr>
          <w:rFonts w:hint="eastAsia" w:ascii="CESI仿宋-GB2312" w:hAnsi="CESI仿宋-GB2312" w:eastAsia="CESI仿宋-GB2312" w:cs="CESI仿宋-GB2312"/>
          <w:i w:val="0"/>
          <w:caps w:val="0"/>
          <w:color w:val="000000"/>
          <w:spacing w:val="15"/>
          <w:sz w:val="32"/>
          <w:szCs w:val="32"/>
          <w:highlight w:val="none"/>
          <w:lang w:val="en-US" w:eastAsia="zh-CN"/>
        </w:rPr>
      </w:pPr>
      <w:r>
        <w:rPr>
          <w:rFonts w:hint="eastAsia" w:ascii="CESI仿宋-GB2312" w:hAnsi="CESI仿宋-GB2312" w:eastAsia="CESI仿宋-GB2312" w:cs="CESI仿宋-GB2312"/>
          <w:i w:val="0"/>
          <w:caps w:val="0"/>
          <w:color w:val="000000"/>
          <w:spacing w:val="15"/>
          <w:sz w:val="32"/>
          <w:szCs w:val="32"/>
          <w:highlight w:val="none"/>
          <w:lang w:val="en-US" w:eastAsia="zh-CN"/>
        </w:rPr>
        <w:t>全年因政府信息公开工作引发的行政复议申请共46件，行政诉讼案件12件，争议事由主要集中在房屋征收拆迁、直管公房管理及落实私房政策等高频申请领域。具体办理结果及相关争议案件详情，请参见本报告第三、四部分内容。</w:t>
      </w:r>
    </w:p>
    <w:p w14:paraId="55C6E3C6">
      <w:pPr>
        <w:keepNext w:val="0"/>
        <w:keepLines w:val="0"/>
        <w:pageBreakBefore w:val="0"/>
        <w:widowControl/>
        <w:suppressLineNumbers w:val="0"/>
        <w:kinsoku/>
        <w:wordWrap/>
        <w:overflowPunct/>
        <w:topLinePunct w:val="0"/>
        <w:autoSpaceDE/>
        <w:autoSpaceDN/>
        <w:bidi w:val="0"/>
        <w:adjustRightInd/>
        <w:snapToGrid/>
        <w:spacing w:line="540" w:lineRule="exact"/>
        <w:ind w:firstLine="700" w:firstLineChars="200"/>
        <w:jc w:val="left"/>
        <w:textAlignment w:val="auto"/>
        <w:rPr>
          <w:rFonts w:hint="eastAsia" w:ascii="CESI楷体-GB2312" w:hAnsi="CESI楷体-GB2312" w:eastAsia="CESI楷体-GB2312" w:cs="CESI楷体-GB2312"/>
          <w:i w:val="0"/>
          <w:caps w:val="0"/>
          <w:color w:val="000000"/>
          <w:spacing w:val="15"/>
          <w:sz w:val="32"/>
          <w:szCs w:val="32"/>
          <w:highlight w:val="none"/>
          <w:lang w:val="en-US" w:eastAsia="zh-CN"/>
        </w:rPr>
      </w:pPr>
      <w:r>
        <w:rPr>
          <w:rFonts w:hint="eastAsia" w:ascii="CESI楷体-GB2312" w:hAnsi="CESI楷体-GB2312" w:eastAsia="CESI楷体-GB2312" w:cs="CESI楷体-GB2312"/>
          <w:i w:val="0"/>
          <w:caps w:val="0"/>
          <w:color w:val="000000"/>
          <w:spacing w:val="15"/>
          <w:sz w:val="32"/>
          <w:szCs w:val="32"/>
          <w:highlight w:val="none"/>
          <w:lang w:val="en-US" w:eastAsia="zh-CN"/>
        </w:rPr>
        <w:t>（三）政府信息管理、监督保障及教育培训情况</w:t>
      </w:r>
    </w:p>
    <w:p w14:paraId="7818CA8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仿宋-GB2312" w:hAnsi="CESI仿宋-GB2312" w:eastAsia="CESI仿宋-GB2312" w:cs="CESI仿宋-GB2312"/>
          <w:i w:val="0"/>
          <w:caps w:val="0"/>
          <w:color w:val="000000"/>
          <w:spacing w:val="15"/>
          <w:sz w:val="32"/>
          <w:szCs w:val="32"/>
          <w:highlight w:val="none"/>
          <w:u w:val="none"/>
        </w:rPr>
      </w:pPr>
      <w:r>
        <w:rPr>
          <w:rFonts w:hint="eastAsia" w:ascii="CESI仿宋-GB2312" w:hAnsi="CESI仿宋-GB2312" w:eastAsia="CESI仿宋-GB2312" w:cs="CESI仿宋-GB2312"/>
          <w:i w:val="0"/>
          <w:caps w:val="0"/>
          <w:color w:val="000000"/>
          <w:spacing w:val="15"/>
          <w:sz w:val="32"/>
          <w:szCs w:val="32"/>
          <w:highlight w:val="none"/>
          <w:lang w:val="en-US" w:eastAsia="zh-CN"/>
        </w:rPr>
        <w:t>2025年通过新媒体“西城房管”公众号发布消息138条，累计阅读数25500次。设置政府信息公开查阅点数2个，发放政务服务事项办事指南。</w:t>
      </w:r>
      <w:r>
        <w:rPr>
          <w:rFonts w:hint="eastAsia" w:ascii="CESI仿宋-GB2312" w:hAnsi="CESI仿宋-GB2312" w:eastAsia="CESI仿宋-GB2312" w:cs="CESI仿宋-GB2312"/>
          <w:i w:val="0"/>
          <w:caps w:val="0"/>
          <w:color w:val="000000"/>
          <w:spacing w:val="15"/>
          <w:sz w:val="32"/>
          <w:szCs w:val="32"/>
          <w:highlight w:val="none"/>
          <w:u w:val="none"/>
          <w:lang w:val="en-US" w:eastAsia="zh-CN"/>
        </w:rPr>
        <w:t>2025</w:t>
      </w:r>
      <w:r>
        <w:rPr>
          <w:rFonts w:hint="eastAsia" w:ascii="CESI仿宋-GB2312" w:hAnsi="CESI仿宋-GB2312" w:eastAsia="CESI仿宋-GB2312" w:cs="CESI仿宋-GB2312"/>
          <w:i w:val="0"/>
          <w:caps w:val="0"/>
          <w:color w:val="000000"/>
          <w:spacing w:val="15"/>
          <w:sz w:val="32"/>
          <w:szCs w:val="32"/>
          <w:highlight w:val="none"/>
          <w:u w:val="none"/>
        </w:rPr>
        <w:t>年参加</w:t>
      </w:r>
      <w:r>
        <w:rPr>
          <w:rFonts w:hint="eastAsia" w:ascii="CESI仿宋-GB2312" w:hAnsi="CESI仿宋-GB2312" w:eastAsia="CESI仿宋-GB2312" w:cs="CESI仿宋-GB2312"/>
          <w:i w:val="0"/>
          <w:caps w:val="0"/>
          <w:color w:val="000000"/>
          <w:spacing w:val="15"/>
          <w:sz w:val="32"/>
          <w:szCs w:val="32"/>
          <w:highlight w:val="none"/>
          <w:u w:val="none"/>
          <w:lang w:eastAsia="zh-CN"/>
        </w:rPr>
        <w:t>区</w:t>
      </w:r>
      <w:r>
        <w:rPr>
          <w:rFonts w:hint="eastAsia" w:ascii="CESI仿宋-GB2312" w:hAnsi="CESI仿宋-GB2312" w:eastAsia="CESI仿宋-GB2312" w:cs="CESI仿宋-GB2312"/>
          <w:i w:val="0"/>
          <w:caps w:val="0"/>
          <w:color w:val="000000"/>
          <w:spacing w:val="15"/>
          <w:sz w:val="32"/>
          <w:szCs w:val="32"/>
          <w:highlight w:val="none"/>
          <w:u w:val="none"/>
        </w:rPr>
        <w:t>政府依申请</w:t>
      </w:r>
      <w:r>
        <w:rPr>
          <w:rFonts w:hint="eastAsia" w:ascii="CESI仿宋-GB2312" w:hAnsi="CESI仿宋-GB2312" w:eastAsia="CESI仿宋-GB2312" w:cs="CESI仿宋-GB2312"/>
          <w:i w:val="0"/>
          <w:caps w:val="0"/>
          <w:color w:val="000000"/>
          <w:spacing w:val="15"/>
          <w:sz w:val="32"/>
          <w:szCs w:val="32"/>
          <w:highlight w:val="none"/>
          <w:u w:val="none"/>
          <w:lang w:eastAsia="zh-CN"/>
        </w:rPr>
        <w:t>信息</w:t>
      </w:r>
      <w:r>
        <w:rPr>
          <w:rFonts w:hint="eastAsia" w:ascii="CESI仿宋-GB2312" w:hAnsi="CESI仿宋-GB2312" w:eastAsia="CESI仿宋-GB2312" w:cs="CESI仿宋-GB2312"/>
          <w:i w:val="0"/>
          <w:caps w:val="0"/>
          <w:color w:val="000000"/>
          <w:spacing w:val="15"/>
          <w:sz w:val="32"/>
          <w:szCs w:val="32"/>
          <w:highlight w:val="none"/>
          <w:u w:val="none"/>
        </w:rPr>
        <w:t>公开研讨会</w:t>
      </w:r>
      <w:r>
        <w:rPr>
          <w:rFonts w:hint="eastAsia" w:ascii="CESI仿宋-GB2312" w:hAnsi="CESI仿宋-GB2312" w:eastAsia="CESI仿宋-GB2312" w:cs="CESI仿宋-GB2312"/>
          <w:i w:val="0"/>
          <w:caps w:val="0"/>
          <w:color w:val="000000"/>
          <w:spacing w:val="15"/>
          <w:sz w:val="32"/>
          <w:szCs w:val="32"/>
          <w:highlight w:val="none"/>
          <w:u w:val="none"/>
          <w:lang w:val="en-US" w:eastAsia="zh-CN"/>
        </w:rPr>
        <w:t>12</w:t>
      </w:r>
      <w:r>
        <w:rPr>
          <w:rFonts w:hint="eastAsia" w:ascii="CESI仿宋-GB2312" w:hAnsi="CESI仿宋-GB2312" w:eastAsia="CESI仿宋-GB2312" w:cs="CESI仿宋-GB2312"/>
          <w:i w:val="0"/>
          <w:caps w:val="0"/>
          <w:color w:val="000000"/>
          <w:spacing w:val="15"/>
          <w:sz w:val="32"/>
          <w:szCs w:val="32"/>
          <w:highlight w:val="none"/>
          <w:u w:val="none"/>
        </w:rPr>
        <w:t>次</w:t>
      </w:r>
      <w:r>
        <w:rPr>
          <w:rFonts w:hint="eastAsia" w:ascii="CESI仿宋-GB2312" w:hAnsi="CESI仿宋-GB2312" w:eastAsia="CESI仿宋-GB2312" w:cs="CESI仿宋-GB2312"/>
          <w:i w:val="0"/>
          <w:caps w:val="0"/>
          <w:color w:val="000000"/>
          <w:spacing w:val="15"/>
          <w:sz w:val="32"/>
          <w:szCs w:val="32"/>
          <w:highlight w:val="none"/>
          <w:u w:val="none"/>
          <w:lang w:eastAsia="zh-CN"/>
        </w:rPr>
        <w:t>。通过参加信息公开案卷评查、案例分析及全员法治培训等多种形式</w:t>
      </w:r>
      <w:r>
        <w:rPr>
          <w:rFonts w:hint="eastAsia" w:ascii="CESI仿宋-GB2312" w:hAnsi="CESI仿宋-GB2312" w:eastAsia="CESI仿宋-GB2312" w:cs="CESI仿宋-GB2312"/>
          <w:i w:val="0"/>
          <w:caps w:val="0"/>
          <w:color w:val="000000"/>
          <w:spacing w:val="15"/>
          <w:sz w:val="32"/>
          <w:szCs w:val="32"/>
          <w:highlight w:val="none"/>
          <w:u w:val="none"/>
        </w:rPr>
        <w:t>，</w:t>
      </w:r>
      <w:r>
        <w:rPr>
          <w:rFonts w:hint="eastAsia" w:ascii="CESI仿宋-GB2312" w:hAnsi="CESI仿宋-GB2312" w:eastAsia="CESI仿宋-GB2312" w:cs="CESI仿宋-GB2312"/>
          <w:i w:val="0"/>
          <w:caps w:val="0"/>
          <w:color w:val="000000"/>
          <w:spacing w:val="15"/>
          <w:sz w:val="32"/>
          <w:szCs w:val="32"/>
          <w:highlight w:val="none"/>
          <w:u w:val="none"/>
          <w:lang w:eastAsia="zh-CN"/>
        </w:rPr>
        <w:t>深化我局干部队伍对信息公开规范办理和有关法律问题的掌握和应用，着力提升我局信息公开办理质效</w:t>
      </w:r>
      <w:r>
        <w:rPr>
          <w:rFonts w:hint="eastAsia" w:ascii="CESI仿宋-GB2312" w:hAnsi="CESI仿宋-GB2312" w:eastAsia="CESI仿宋-GB2312" w:cs="CESI仿宋-GB2312"/>
          <w:i w:val="0"/>
          <w:caps w:val="0"/>
          <w:color w:val="000000"/>
          <w:spacing w:val="15"/>
          <w:sz w:val="32"/>
          <w:szCs w:val="32"/>
          <w:highlight w:val="none"/>
          <w:u w:val="none"/>
        </w:rPr>
        <w:t>。</w:t>
      </w:r>
    </w:p>
    <w:p w14:paraId="6FF5170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仿宋-GB2312" w:hAnsi="CESI仿宋-GB2312" w:eastAsia="CESI仿宋-GB2312" w:cs="CESI仿宋-GB2312"/>
          <w:i w:val="0"/>
          <w:caps w:val="0"/>
          <w:color w:val="000000"/>
          <w:spacing w:val="15"/>
          <w:sz w:val="32"/>
          <w:szCs w:val="32"/>
          <w:highlight w:val="none"/>
          <w:u w:val="none"/>
        </w:rPr>
      </w:pPr>
    </w:p>
    <w:p w14:paraId="7DE8A57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仿宋-GB2312" w:hAnsi="CESI仿宋-GB2312" w:eastAsia="CESI仿宋-GB2312" w:cs="CESI仿宋-GB2312"/>
          <w:i w:val="0"/>
          <w:caps w:val="0"/>
          <w:color w:val="000000"/>
          <w:spacing w:val="15"/>
          <w:sz w:val="32"/>
          <w:szCs w:val="32"/>
          <w:highlight w:val="none"/>
          <w:u w:val="none"/>
        </w:rPr>
      </w:pPr>
    </w:p>
    <w:p w14:paraId="4FD5CCCF">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主动公开政府信息情况</w:t>
      </w:r>
    </w:p>
    <w:tbl>
      <w:tblPr>
        <w:tblStyle w:val="4"/>
        <w:tblW w:w="9740" w:type="dxa"/>
        <w:jc w:val="center"/>
        <w:tblLayout w:type="fixed"/>
        <w:tblCellMar>
          <w:top w:w="0" w:type="dxa"/>
          <w:left w:w="0" w:type="dxa"/>
          <w:bottom w:w="0" w:type="dxa"/>
          <w:right w:w="0" w:type="dxa"/>
        </w:tblCellMar>
      </w:tblPr>
      <w:tblGrid>
        <w:gridCol w:w="2435"/>
        <w:gridCol w:w="2435"/>
        <w:gridCol w:w="2435"/>
        <w:gridCol w:w="2435"/>
      </w:tblGrid>
      <w:tr w14:paraId="0DFBAE6C">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04112C2">
            <w:pPr>
              <w:widowControl/>
              <w:spacing w:line="560" w:lineRule="exact"/>
              <w:jc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第二十条第（一）项</w:t>
            </w:r>
          </w:p>
        </w:tc>
      </w:tr>
      <w:tr w14:paraId="44FADFB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80C05E6">
            <w:pPr>
              <w:widowControl/>
              <w:spacing w:line="560" w:lineRule="exact"/>
              <w:jc w:val="center"/>
              <w:rPr>
                <w:highlight w:val="none"/>
              </w:rPr>
            </w:pPr>
            <w:r>
              <w:rPr>
                <w:rFonts w:hint="eastAsia" w:ascii="宋体" w:hAnsi="宋体" w:cs="宋体"/>
                <w:color w:val="000000"/>
                <w:kern w:val="0"/>
                <w:sz w:val="20"/>
                <w:szCs w:val="20"/>
                <w:highlight w:val="none"/>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14A50946">
            <w:pPr>
              <w:widowControl/>
              <w:spacing w:line="560" w:lineRule="exact"/>
              <w:jc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552F5674">
            <w:pPr>
              <w:widowControl/>
              <w:spacing w:line="560" w:lineRule="exact"/>
              <w:jc w:val="center"/>
              <w:rPr>
                <w:highlight w:val="none"/>
              </w:rPr>
            </w:pPr>
            <w:r>
              <w:rPr>
                <w:rFonts w:hint="eastAsia" w:ascii="宋体" w:hAnsi="宋体" w:cs="宋体"/>
                <w:color w:val="000000"/>
                <w:kern w:val="0"/>
                <w:sz w:val="20"/>
                <w:szCs w:val="20"/>
                <w:highlight w:val="none"/>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5D3B7333">
            <w:pPr>
              <w:widowControl/>
              <w:spacing w:line="560" w:lineRule="exact"/>
              <w:jc w:val="center"/>
              <w:rPr>
                <w:highlight w:val="none"/>
              </w:rPr>
            </w:pPr>
            <w:r>
              <w:rPr>
                <w:rFonts w:hint="eastAsia" w:ascii="宋体" w:hAnsi="宋体" w:cs="宋体"/>
                <w:color w:val="000000"/>
                <w:kern w:val="0"/>
                <w:sz w:val="20"/>
                <w:szCs w:val="20"/>
                <w:highlight w:val="none"/>
                <w:lang w:bidi="ar"/>
              </w:rPr>
              <w:t>现行有效件</w:t>
            </w:r>
            <w:r>
              <w:rPr>
                <w:rFonts w:hint="eastAsia" w:ascii="宋体" w:hAnsi="宋体" w:cs="宋体"/>
                <w:kern w:val="0"/>
                <w:sz w:val="20"/>
                <w:szCs w:val="20"/>
                <w:highlight w:val="none"/>
                <w:lang w:bidi="ar"/>
              </w:rPr>
              <w:t>数</w:t>
            </w:r>
          </w:p>
        </w:tc>
      </w:tr>
      <w:tr w14:paraId="34683AE9">
        <w:tblPrEx>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8DE126E">
            <w:pPr>
              <w:widowControl/>
              <w:spacing w:line="560" w:lineRule="exact"/>
              <w:jc w:val="left"/>
              <w:rPr>
                <w:highlight w:val="none"/>
              </w:rPr>
            </w:pPr>
            <w:r>
              <w:rPr>
                <w:rFonts w:hint="eastAsia" w:ascii="宋体" w:hAnsi="宋体" w:cs="宋体"/>
                <w:color w:val="000000"/>
                <w:kern w:val="0"/>
                <w:sz w:val="20"/>
                <w:szCs w:val="20"/>
                <w:highlight w:val="none"/>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2A7DFE8">
            <w:pPr>
              <w:widowControl/>
              <w:spacing w:line="560" w:lineRule="exact"/>
              <w:jc w:val="left"/>
              <w:rPr>
                <w:rFonts w:hint="eastAsia" w:eastAsia="宋体"/>
                <w:highlight w:val="none"/>
                <w:lang w:val="en-US" w:eastAsia="zh-CN"/>
              </w:rPr>
            </w:pPr>
            <w:r>
              <w:rPr>
                <w:rFonts w:hint="eastAsia" w:ascii="宋体" w:hAnsi="宋体" w:cs="宋体"/>
                <w:color w:val="000000"/>
                <w:kern w:val="0"/>
                <w:sz w:val="20"/>
                <w:szCs w:val="20"/>
                <w:highlight w:val="none"/>
                <w:lang w:bidi="ar"/>
              </w:rPr>
              <w:t>　　</w:t>
            </w:r>
            <w:r>
              <w:rPr>
                <w:rFonts w:hint="eastAsia" w:ascii="宋体" w:hAnsi="宋体" w:cs="宋体"/>
                <w:color w:val="000000"/>
                <w:kern w:val="0"/>
                <w:sz w:val="20"/>
                <w:szCs w:val="20"/>
                <w:highlight w:val="none"/>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9855820">
            <w:pPr>
              <w:widowControl/>
              <w:spacing w:line="560" w:lineRule="exact"/>
              <w:jc w:val="left"/>
              <w:rPr>
                <w:rFonts w:hint="eastAsia" w:eastAsia="宋体"/>
                <w:highlight w:val="none"/>
                <w:lang w:val="en-US" w:eastAsia="zh-CN"/>
              </w:rPr>
            </w:pPr>
            <w:r>
              <w:rPr>
                <w:rFonts w:hint="eastAsia" w:ascii="宋体" w:hAnsi="宋体" w:cs="宋体"/>
                <w:color w:val="000000"/>
                <w:kern w:val="0"/>
                <w:sz w:val="20"/>
                <w:szCs w:val="20"/>
                <w:highlight w:val="none"/>
                <w:lang w:bidi="ar"/>
              </w:rPr>
              <w:t> 　</w:t>
            </w:r>
            <w:r>
              <w:rPr>
                <w:rFonts w:hint="eastAsia" w:ascii="宋体" w:hAnsi="宋体" w:cs="宋体"/>
                <w:color w:val="000000"/>
                <w:kern w:val="0"/>
                <w:sz w:val="20"/>
                <w:szCs w:val="20"/>
                <w:highlight w:val="none"/>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8A563C0">
            <w:pPr>
              <w:widowControl/>
              <w:spacing w:line="560" w:lineRule="exact"/>
              <w:jc w:val="left"/>
              <w:rPr>
                <w:rFonts w:hint="eastAsia" w:eastAsia="宋体"/>
                <w:highlight w:val="none"/>
                <w:lang w:val="en-US" w:eastAsia="zh-CN"/>
              </w:rPr>
            </w:pPr>
            <w:r>
              <w:rPr>
                <w:rFonts w:ascii="Calibri" w:hAnsi="Calibri" w:cs="Calibri"/>
                <w:kern w:val="0"/>
                <w:szCs w:val="21"/>
                <w:highlight w:val="none"/>
                <w:lang w:bidi="ar"/>
              </w:rPr>
              <w:t> </w:t>
            </w:r>
            <w:r>
              <w:rPr>
                <w:rFonts w:hint="eastAsia" w:ascii="Calibri" w:hAnsi="Calibri" w:cs="Calibri"/>
                <w:kern w:val="0"/>
                <w:szCs w:val="21"/>
                <w:highlight w:val="none"/>
                <w:lang w:val="en-US" w:eastAsia="zh-CN" w:bidi="ar"/>
              </w:rPr>
              <w:t>0</w:t>
            </w:r>
          </w:p>
        </w:tc>
      </w:tr>
      <w:tr w14:paraId="7E7FC59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739A2CA">
            <w:pPr>
              <w:widowControl/>
              <w:spacing w:line="560" w:lineRule="exact"/>
              <w:jc w:val="left"/>
              <w:rPr>
                <w:highlight w:val="none"/>
              </w:rPr>
            </w:pPr>
            <w:r>
              <w:rPr>
                <w:rFonts w:hint="eastAsia" w:ascii="宋体" w:hAnsi="宋体" w:cs="宋体"/>
                <w:color w:val="000000"/>
                <w:kern w:val="0"/>
                <w:sz w:val="20"/>
                <w:szCs w:val="20"/>
                <w:highlight w:val="none"/>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D3F3001">
            <w:pPr>
              <w:widowControl/>
              <w:spacing w:line="560" w:lineRule="exact"/>
              <w:jc w:val="left"/>
              <w:rPr>
                <w:rFonts w:hint="eastAsia" w:eastAsia="宋体"/>
                <w:highlight w:val="none"/>
                <w:lang w:val="en-US" w:eastAsia="zh-CN"/>
              </w:rPr>
            </w:pPr>
            <w:r>
              <w:rPr>
                <w:rFonts w:hint="eastAsia" w:ascii="宋体" w:hAnsi="宋体" w:cs="宋体"/>
                <w:color w:val="000000"/>
                <w:kern w:val="0"/>
                <w:sz w:val="20"/>
                <w:szCs w:val="20"/>
                <w:highlight w:val="none"/>
                <w:lang w:bidi="ar"/>
              </w:rPr>
              <w:t>　　</w:t>
            </w:r>
            <w:r>
              <w:rPr>
                <w:rFonts w:hint="eastAsia" w:ascii="宋体" w:hAnsi="宋体" w:cs="宋体"/>
                <w:color w:val="000000"/>
                <w:kern w:val="0"/>
                <w:sz w:val="20"/>
                <w:szCs w:val="20"/>
                <w:highlight w:val="none"/>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5429EB6">
            <w:pPr>
              <w:widowControl/>
              <w:spacing w:line="560" w:lineRule="exact"/>
              <w:jc w:val="left"/>
              <w:rPr>
                <w:rFonts w:hint="eastAsia" w:eastAsia="宋体"/>
                <w:highlight w:val="none"/>
                <w:lang w:val="en-US" w:eastAsia="zh-CN"/>
              </w:rPr>
            </w:pPr>
            <w:r>
              <w:rPr>
                <w:rFonts w:hint="eastAsia" w:ascii="宋体" w:hAnsi="宋体" w:cs="宋体"/>
                <w:color w:val="000000"/>
                <w:kern w:val="0"/>
                <w:sz w:val="20"/>
                <w:szCs w:val="20"/>
                <w:highlight w:val="none"/>
                <w:lang w:bidi="ar"/>
              </w:rPr>
              <w:t> 　</w:t>
            </w:r>
            <w:r>
              <w:rPr>
                <w:rFonts w:hint="eastAsia" w:ascii="宋体" w:hAnsi="宋体" w:cs="宋体"/>
                <w:color w:val="000000"/>
                <w:kern w:val="0"/>
                <w:sz w:val="20"/>
                <w:szCs w:val="20"/>
                <w:highlight w:val="none"/>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B855006">
            <w:pPr>
              <w:widowControl/>
              <w:spacing w:line="560" w:lineRule="exact"/>
              <w:jc w:val="left"/>
              <w:rPr>
                <w:rFonts w:hint="eastAsia" w:eastAsia="宋体"/>
                <w:highlight w:val="none"/>
                <w:lang w:val="en-US" w:eastAsia="zh-CN"/>
              </w:rPr>
            </w:pPr>
            <w:r>
              <w:rPr>
                <w:rFonts w:ascii="Calibri" w:hAnsi="Calibri" w:cs="Calibri"/>
                <w:kern w:val="0"/>
                <w:szCs w:val="21"/>
                <w:highlight w:val="none"/>
                <w:lang w:bidi="ar"/>
              </w:rPr>
              <w:t> </w:t>
            </w:r>
            <w:r>
              <w:rPr>
                <w:rFonts w:hint="eastAsia" w:ascii="Calibri" w:hAnsi="Calibri" w:cs="Calibri"/>
                <w:kern w:val="0"/>
                <w:szCs w:val="21"/>
                <w:highlight w:val="none"/>
                <w:lang w:val="en-US" w:eastAsia="zh-CN" w:bidi="ar"/>
              </w:rPr>
              <w:t>1</w:t>
            </w:r>
          </w:p>
        </w:tc>
      </w:tr>
      <w:tr w14:paraId="7DF3D158">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0D6DBDFD">
            <w:pPr>
              <w:widowControl/>
              <w:spacing w:line="560" w:lineRule="exact"/>
              <w:jc w:val="center"/>
              <w:rPr>
                <w:highlight w:val="none"/>
              </w:rPr>
            </w:pPr>
            <w:r>
              <w:rPr>
                <w:rFonts w:hint="eastAsia" w:ascii="宋体" w:hAnsi="宋体" w:cs="宋体"/>
                <w:color w:val="000000"/>
                <w:kern w:val="0"/>
                <w:sz w:val="20"/>
                <w:szCs w:val="20"/>
                <w:highlight w:val="none"/>
                <w:lang w:bidi="ar"/>
              </w:rPr>
              <w:t>第二十条第（五）项</w:t>
            </w:r>
          </w:p>
        </w:tc>
      </w:tr>
      <w:tr w14:paraId="62D1E0E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010F8BB">
            <w:pPr>
              <w:widowControl/>
              <w:spacing w:line="560" w:lineRule="exact"/>
              <w:jc w:val="center"/>
              <w:rPr>
                <w:highlight w:val="none"/>
              </w:rPr>
            </w:pPr>
            <w:r>
              <w:rPr>
                <w:rFonts w:hint="eastAsia" w:ascii="宋体" w:hAnsi="宋体" w:cs="宋体"/>
                <w:color w:val="000000"/>
                <w:kern w:val="0"/>
                <w:sz w:val="20"/>
                <w:szCs w:val="20"/>
                <w:highlight w:val="none"/>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33A94BC1">
            <w:pPr>
              <w:widowControl/>
              <w:spacing w:line="560" w:lineRule="exact"/>
              <w:jc w:val="center"/>
              <w:rPr>
                <w:highlight w:val="none"/>
              </w:rPr>
            </w:pPr>
            <w:r>
              <w:rPr>
                <w:rFonts w:hint="eastAsia" w:ascii="宋体" w:hAnsi="宋体" w:cs="宋体"/>
                <w:color w:val="000000"/>
                <w:kern w:val="0"/>
                <w:sz w:val="20"/>
                <w:szCs w:val="20"/>
                <w:highlight w:val="none"/>
                <w:lang w:bidi="ar"/>
              </w:rPr>
              <w:t>本年处理决定数量</w:t>
            </w:r>
          </w:p>
        </w:tc>
      </w:tr>
      <w:tr w14:paraId="4A9BEEA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8634646">
            <w:pPr>
              <w:widowControl/>
              <w:spacing w:line="560" w:lineRule="exact"/>
              <w:jc w:val="left"/>
              <w:rPr>
                <w:highlight w:val="none"/>
              </w:rPr>
            </w:pPr>
            <w:r>
              <w:rPr>
                <w:rFonts w:hint="eastAsia" w:ascii="宋体" w:hAnsi="宋体" w:cs="宋体"/>
                <w:color w:val="000000"/>
                <w:kern w:val="0"/>
                <w:sz w:val="20"/>
                <w:szCs w:val="20"/>
                <w:highlight w:val="none"/>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9B7EF15">
            <w:pPr>
              <w:widowControl/>
              <w:spacing w:line="560" w:lineRule="exact"/>
              <w:jc w:val="left"/>
              <w:rPr>
                <w:rFonts w:hint="eastAsia" w:eastAsia="宋体"/>
                <w:highlight w:val="none"/>
                <w:lang w:val="en-US" w:eastAsia="zh-CN"/>
              </w:rPr>
            </w:pPr>
            <w:r>
              <w:rPr>
                <w:rFonts w:ascii="Calibri" w:hAnsi="Calibri" w:cs="Calibri"/>
                <w:kern w:val="0"/>
                <w:szCs w:val="21"/>
                <w:highlight w:val="none"/>
                <w:lang w:bidi="ar"/>
              </w:rPr>
              <w:t> </w:t>
            </w:r>
            <w:r>
              <w:rPr>
                <w:rFonts w:hint="eastAsia" w:ascii="Calibri" w:hAnsi="Calibri" w:cs="Calibri"/>
                <w:kern w:val="0"/>
                <w:szCs w:val="21"/>
                <w:highlight w:val="none"/>
                <w:lang w:val="en-US" w:eastAsia="zh-CN" w:bidi="ar"/>
              </w:rPr>
              <w:t>0</w:t>
            </w:r>
          </w:p>
        </w:tc>
      </w:tr>
      <w:tr w14:paraId="4DA1C728">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6CBF57AA">
            <w:pPr>
              <w:widowControl/>
              <w:spacing w:line="560" w:lineRule="exact"/>
              <w:jc w:val="center"/>
              <w:rPr>
                <w:highlight w:val="none"/>
              </w:rPr>
            </w:pPr>
            <w:r>
              <w:rPr>
                <w:rFonts w:hint="eastAsia" w:ascii="宋体" w:hAnsi="宋体" w:cs="宋体"/>
                <w:color w:val="000000"/>
                <w:kern w:val="0"/>
                <w:sz w:val="20"/>
                <w:szCs w:val="20"/>
                <w:highlight w:val="none"/>
                <w:lang w:bidi="ar"/>
              </w:rPr>
              <w:t>第二十条第（六）项</w:t>
            </w:r>
          </w:p>
        </w:tc>
      </w:tr>
      <w:tr w14:paraId="6353FB7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23995C6">
            <w:pPr>
              <w:widowControl/>
              <w:spacing w:line="560" w:lineRule="exact"/>
              <w:jc w:val="center"/>
              <w:rPr>
                <w:highlight w:val="none"/>
              </w:rPr>
            </w:pPr>
            <w:r>
              <w:rPr>
                <w:rFonts w:hint="eastAsia" w:ascii="宋体" w:hAnsi="宋体" w:cs="宋体"/>
                <w:color w:val="000000"/>
                <w:kern w:val="0"/>
                <w:sz w:val="20"/>
                <w:szCs w:val="20"/>
                <w:highlight w:val="none"/>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126434E5">
            <w:pPr>
              <w:widowControl/>
              <w:spacing w:line="560" w:lineRule="exact"/>
              <w:jc w:val="center"/>
              <w:rPr>
                <w:highlight w:val="none"/>
              </w:rPr>
            </w:pPr>
            <w:r>
              <w:rPr>
                <w:rFonts w:hint="eastAsia" w:ascii="宋体" w:hAnsi="宋体" w:cs="宋体"/>
                <w:color w:val="000000"/>
                <w:kern w:val="0"/>
                <w:sz w:val="20"/>
                <w:szCs w:val="20"/>
                <w:highlight w:val="none"/>
                <w:lang w:bidi="ar"/>
              </w:rPr>
              <w:t>本年处理决定数量</w:t>
            </w:r>
          </w:p>
        </w:tc>
      </w:tr>
      <w:tr w14:paraId="10F8E40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A224B05">
            <w:pPr>
              <w:widowControl/>
              <w:spacing w:line="560" w:lineRule="exact"/>
              <w:jc w:val="left"/>
              <w:rPr>
                <w:highlight w:val="none"/>
              </w:rPr>
            </w:pPr>
            <w:r>
              <w:rPr>
                <w:rFonts w:hint="eastAsia" w:ascii="宋体" w:hAnsi="宋体" w:cs="宋体"/>
                <w:color w:val="000000"/>
                <w:kern w:val="0"/>
                <w:sz w:val="20"/>
                <w:szCs w:val="20"/>
                <w:highlight w:val="none"/>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1EE4FAC">
            <w:pPr>
              <w:widowControl/>
              <w:spacing w:line="560" w:lineRule="exact"/>
              <w:jc w:val="left"/>
              <w:rPr>
                <w:rFonts w:hint="eastAsia" w:eastAsia="宋体"/>
                <w:highlight w:val="none"/>
                <w:lang w:val="en-US" w:eastAsia="zh-CN"/>
              </w:rPr>
            </w:pPr>
            <w:r>
              <w:rPr>
                <w:rFonts w:hint="eastAsia" w:ascii="宋体" w:hAnsi="宋体" w:cs="宋体"/>
                <w:color w:val="000000"/>
                <w:kern w:val="0"/>
                <w:sz w:val="20"/>
                <w:szCs w:val="20"/>
                <w:highlight w:val="none"/>
                <w:lang w:bidi="ar"/>
              </w:rPr>
              <w:t>　</w:t>
            </w:r>
            <w:r>
              <w:rPr>
                <w:rFonts w:hint="eastAsia" w:ascii="宋体" w:hAnsi="宋体" w:cs="宋体"/>
                <w:color w:val="000000"/>
                <w:kern w:val="0"/>
                <w:sz w:val="20"/>
                <w:szCs w:val="20"/>
                <w:highlight w:val="none"/>
                <w:lang w:val="en-US" w:eastAsia="zh-CN" w:bidi="ar"/>
              </w:rPr>
              <w:t>3</w:t>
            </w:r>
          </w:p>
        </w:tc>
      </w:tr>
      <w:tr w14:paraId="0526ABD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EC9CDCA">
            <w:pPr>
              <w:widowControl/>
              <w:spacing w:line="560" w:lineRule="exact"/>
              <w:jc w:val="left"/>
              <w:rPr>
                <w:highlight w:val="none"/>
              </w:rPr>
            </w:pPr>
            <w:r>
              <w:rPr>
                <w:rFonts w:hint="eastAsia" w:ascii="宋体" w:hAnsi="宋体" w:cs="宋体"/>
                <w:color w:val="000000"/>
                <w:kern w:val="0"/>
                <w:sz w:val="20"/>
                <w:szCs w:val="20"/>
                <w:highlight w:val="none"/>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2AE19E6">
            <w:pPr>
              <w:widowControl/>
              <w:spacing w:line="560" w:lineRule="exact"/>
              <w:jc w:val="left"/>
              <w:rPr>
                <w:rFonts w:hint="eastAsia" w:eastAsia="宋体"/>
                <w:highlight w:val="none"/>
                <w:lang w:val="en-US" w:eastAsia="zh-CN"/>
              </w:rPr>
            </w:pPr>
            <w:r>
              <w:rPr>
                <w:rFonts w:hint="eastAsia" w:ascii="宋体" w:hAnsi="宋体" w:cs="宋体"/>
                <w:color w:val="000000"/>
                <w:kern w:val="0"/>
                <w:sz w:val="20"/>
                <w:szCs w:val="20"/>
                <w:highlight w:val="none"/>
                <w:lang w:bidi="ar"/>
              </w:rPr>
              <w:t>　</w:t>
            </w:r>
            <w:r>
              <w:rPr>
                <w:rFonts w:hint="eastAsia" w:ascii="宋体" w:hAnsi="宋体" w:cs="宋体"/>
                <w:color w:val="000000"/>
                <w:kern w:val="0"/>
                <w:sz w:val="20"/>
                <w:szCs w:val="20"/>
                <w:highlight w:val="none"/>
                <w:lang w:val="en-US" w:eastAsia="zh-CN" w:bidi="ar"/>
              </w:rPr>
              <w:t>0</w:t>
            </w:r>
          </w:p>
        </w:tc>
      </w:tr>
      <w:tr w14:paraId="012E1B6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4FB8D719">
            <w:pPr>
              <w:widowControl/>
              <w:spacing w:line="560" w:lineRule="exact"/>
              <w:jc w:val="center"/>
              <w:rPr>
                <w:highlight w:val="none"/>
              </w:rPr>
            </w:pPr>
            <w:r>
              <w:rPr>
                <w:rFonts w:hint="eastAsia" w:ascii="宋体" w:hAnsi="宋体" w:cs="宋体"/>
                <w:color w:val="000000"/>
                <w:kern w:val="0"/>
                <w:sz w:val="20"/>
                <w:szCs w:val="20"/>
                <w:highlight w:val="none"/>
                <w:lang w:bidi="ar"/>
              </w:rPr>
              <w:t>第二十条第（八）项</w:t>
            </w:r>
          </w:p>
        </w:tc>
      </w:tr>
      <w:tr w14:paraId="75182D1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4FE8F6B">
            <w:pPr>
              <w:widowControl/>
              <w:spacing w:line="560" w:lineRule="exact"/>
              <w:jc w:val="center"/>
              <w:rPr>
                <w:highlight w:val="none"/>
              </w:rPr>
            </w:pPr>
            <w:r>
              <w:rPr>
                <w:rFonts w:hint="eastAsia" w:ascii="宋体" w:hAnsi="宋体" w:cs="宋体"/>
                <w:color w:val="000000"/>
                <w:kern w:val="0"/>
                <w:sz w:val="20"/>
                <w:szCs w:val="20"/>
                <w:highlight w:val="none"/>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1B95C666">
            <w:pPr>
              <w:widowControl/>
              <w:spacing w:line="560" w:lineRule="exact"/>
              <w:jc w:val="center"/>
              <w:rPr>
                <w:highlight w:val="none"/>
              </w:rPr>
            </w:pPr>
            <w:r>
              <w:rPr>
                <w:rFonts w:hint="eastAsia" w:ascii="宋体" w:hAnsi="宋体" w:cs="宋体"/>
                <w:color w:val="000000"/>
                <w:kern w:val="0"/>
                <w:sz w:val="20"/>
                <w:szCs w:val="20"/>
                <w:highlight w:val="none"/>
                <w:lang w:bidi="ar"/>
              </w:rPr>
              <w:t>本年收费金额（单位：万元）</w:t>
            </w:r>
          </w:p>
        </w:tc>
      </w:tr>
      <w:tr w14:paraId="42FD98E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91B4CEE">
            <w:pPr>
              <w:widowControl/>
              <w:spacing w:line="560" w:lineRule="exact"/>
              <w:jc w:val="left"/>
              <w:rPr>
                <w:highlight w:val="none"/>
              </w:rPr>
            </w:pPr>
            <w:r>
              <w:rPr>
                <w:rFonts w:hint="eastAsia" w:ascii="宋体" w:hAnsi="宋体" w:cs="宋体"/>
                <w:color w:val="000000"/>
                <w:kern w:val="0"/>
                <w:sz w:val="20"/>
                <w:szCs w:val="20"/>
                <w:highlight w:val="none"/>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06BAC52A">
            <w:pPr>
              <w:spacing w:line="560" w:lineRule="exact"/>
              <w:rPr>
                <w:rFonts w:hint="eastAsia" w:ascii="宋体" w:eastAsia="宋体"/>
                <w:sz w:val="24"/>
                <w:highlight w:val="none"/>
                <w:lang w:val="en-US" w:eastAsia="zh-CN"/>
              </w:rPr>
            </w:pPr>
            <w:r>
              <w:rPr>
                <w:rFonts w:hint="eastAsia" w:ascii="宋体"/>
                <w:sz w:val="24"/>
                <w:highlight w:val="none"/>
                <w:lang w:val="en-US" w:eastAsia="zh-CN"/>
              </w:rPr>
              <w:t>0</w:t>
            </w:r>
          </w:p>
        </w:tc>
      </w:tr>
    </w:tbl>
    <w:p w14:paraId="0DFFEA23">
      <w:pPr>
        <w:numPr>
          <w:ilvl w:val="0"/>
          <w:numId w:val="2"/>
        </w:numPr>
        <w:spacing w:line="560" w:lineRule="exact"/>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4BC1EC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0B709122">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ascii="楷体" w:hAnsi="楷体" w:eastAsia="楷体" w:cs="楷体"/>
                <w:kern w:val="0"/>
                <w:sz w:val="20"/>
                <w:szCs w:val="20"/>
                <w:highlight w:val="none"/>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0655C449">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申请人情况</w:t>
            </w:r>
          </w:p>
        </w:tc>
      </w:tr>
      <w:tr w14:paraId="6F1D3F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3BCB67F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4C695846">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D61E135">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14:paraId="4B20CC4D">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总计</w:t>
            </w:r>
          </w:p>
        </w:tc>
      </w:tr>
      <w:tr w14:paraId="29738D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170A522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2853A07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3F646047">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商业</w:t>
            </w:r>
          </w:p>
          <w:p w14:paraId="3E3A1050">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258EF85A">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科研</w:t>
            </w:r>
          </w:p>
          <w:p w14:paraId="0895C29F">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7ED5F40">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688C104B">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4BF8951">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14:paraId="4D036D6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r>
      <w:tr w14:paraId="568E5A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50D5706">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E567C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817</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007E0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383B7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796F8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A4000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CF92A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4</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830510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825</w:t>
            </w:r>
          </w:p>
        </w:tc>
      </w:tr>
      <w:tr w14:paraId="66C41A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20AB752">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F0EA2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44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19404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0ABA9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750EB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B3D8C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EF32F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083D57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45</w:t>
            </w:r>
          </w:p>
        </w:tc>
      </w:tr>
      <w:tr w14:paraId="759D92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2F34EC2">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6F75BF0">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69174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460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03569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00DFB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955B0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0AB73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77CA9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2</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73A632E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464</w:t>
            </w:r>
          </w:p>
        </w:tc>
      </w:tr>
      <w:tr w14:paraId="39B8E1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1B420E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17FE4630">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（二）部分公开</w:t>
            </w:r>
            <w:r>
              <w:rPr>
                <w:rFonts w:ascii="楷体" w:hAnsi="楷体" w:eastAsia="楷体" w:cs="楷体"/>
                <w:kern w:val="0"/>
                <w:sz w:val="20"/>
                <w:szCs w:val="20"/>
                <w:highlight w:val="none"/>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F013E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135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0026B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EA01F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5EDFF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045C1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E6791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2</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65C449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138</w:t>
            </w:r>
          </w:p>
        </w:tc>
      </w:tr>
      <w:tr w14:paraId="16BB13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819A86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3E65F476">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DCD7AAC">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4D863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4A0F1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EFBAA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EF96AC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7E8DF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62D90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254E942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r>
      <w:tr w14:paraId="688310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26511B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0E2E475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27C27F4">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C2B21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4D68A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9B7C8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308CA1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A444ED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E14C93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0532E6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6</w:t>
            </w:r>
          </w:p>
        </w:tc>
      </w:tr>
      <w:tr w14:paraId="009FAC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E5840B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3B0A63A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400E2EC">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E5D6ED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C49060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57546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A9E14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67038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92B91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D6B748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r>
      <w:tr w14:paraId="478B09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D813BC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38A1A6D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C580E67">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C35CE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A1601E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DC291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69059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C1882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DE63E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3A868D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4</w:t>
            </w:r>
          </w:p>
        </w:tc>
      </w:tr>
      <w:tr w14:paraId="774046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EDAEC8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183BE43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FB13476">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1EBEA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66AF7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53686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FE363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0F249B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D1368F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0086E1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r>
      <w:tr w14:paraId="112C80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167F53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2E97567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CEC0E97">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22AE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BE17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A46D0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7A500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6ABD9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09F82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7A7A5A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r>
      <w:tr w14:paraId="79E140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03CCF8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529B9BA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0D9B413">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79345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A96C2A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A88D0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C0718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0CF8A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D1A5B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4EF78B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r>
      <w:tr w14:paraId="45810E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444492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64E01B6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1EF8B7B">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80F22B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2EBB3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46215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0B7D5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1D5CB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76F9A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CB0BA2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5</w:t>
            </w:r>
          </w:p>
        </w:tc>
      </w:tr>
      <w:tr w14:paraId="1F2A8F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73E0F7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473FDC9D">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C234378">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60045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171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E542C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97CB5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469EC8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AE6BD3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3C346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312839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172</w:t>
            </w:r>
          </w:p>
        </w:tc>
      </w:tr>
      <w:tr w14:paraId="5608EE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1AE5FE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0E8E651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EDCDC29">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081A16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5B9251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E604B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66D23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674DC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BD285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8E0CD8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2</w:t>
            </w:r>
          </w:p>
        </w:tc>
      </w:tr>
      <w:tr w14:paraId="67E8B3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D2CC27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63E26F9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B2F1BCA">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AD116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405FA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1201B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EC118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A41DF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32A5D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5FB18B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r>
      <w:tr w14:paraId="1495DF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6227E1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290DD729">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F763E72">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DBF99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21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895D7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004CB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3F73A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25AE9D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6C8C4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E9EDBC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21</w:t>
            </w:r>
          </w:p>
        </w:tc>
      </w:tr>
      <w:tr w14:paraId="4C1A19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D7BDA3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2A5344D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C953E6F">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4B8B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4</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EBD99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DD22E3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8800D9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395DE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CE17FB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68F8DF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4</w:t>
            </w:r>
          </w:p>
        </w:tc>
      </w:tr>
      <w:tr w14:paraId="24D5A0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9F4DAD0">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73775C8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82443A0">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0739E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B0ABA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9FD9B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8BB27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0D9AF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3C563D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738483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r>
      <w:tr w14:paraId="7670EE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4D5C98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6EDE242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3CA9ECA">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23100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7F37D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4BFFDB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FEBBD9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B349E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9725C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3D0775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r>
      <w:tr w14:paraId="4FB267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722E682">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74CBEE8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2D9092AA">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FDFAAC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7DCC6F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C59EDA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3B7DA74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C53646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07ED3C9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2B3041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r>
      <w:tr w14:paraId="591C66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E8FFB3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0AC2E284">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CECA7C4">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A8F78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19</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36F28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4F3BE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E34D0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AEA0C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778C4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56EDB6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19</w:t>
            </w:r>
          </w:p>
        </w:tc>
      </w:tr>
      <w:tr w14:paraId="5AD225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B4BCD5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47C12C0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39AF1BD">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DB91A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60022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FB370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C16B9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49E29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1C5D0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C73C8A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0</w:t>
            </w:r>
          </w:p>
        </w:tc>
      </w:tr>
      <w:tr w14:paraId="6F1A6F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F6F0D4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3E8B12E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61C79C32">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764A6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19</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CC812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88AEC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B9D7F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9B011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345E3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4B8CD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kern w:val="0"/>
                <w:sz w:val="18"/>
                <w:szCs w:val="18"/>
                <w:highlight w:val="none"/>
                <w:lang w:val="en-US" w:eastAsia="zh-CN" w:bidi="ar"/>
              </w:rPr>
              <w:t>19</w:t>
            </w:r>
          </w:p>
        </w:tc>
      </w:tr>
      <w:tr w14:paraId="69CB84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3B48C7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sz w:val="24"/>
                <w:highlight w:val="none"/>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4C0EEC45">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EB6B3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rPr>
            </w:pPr>
            <w:r>
              <w:rPr>
                <w:rFonts w:hint="eastAsia" w:ascii="方正黑体_GBK" w:hAnsi="方正黑体_GBK" w:eastAsia="方正黑体_GBK" w:cs="方正黑体_GBK"/>
                <w:kern w:val="0"/>
                <w:sz w:val="18"/>
                <w:szCs w:val="18"/>
                <w:highlight w:val="none"/>
                <w:lang w:val="en-US" w:eastAsia="zh-CN" w:bidi="ar"/>
              </w:rPr>
              <w:t>826</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93B84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56338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A1065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6D6D8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48475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4</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8078F3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834</w:t>
            </w:r>
          </w:p>
        </w:tc>
      </w:tr>
      <w:tr w14:paraId="61C305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6C9E251">
            <w:pPr>
              <w:keepNext w:val="0"/>
              <w:keepLines w:val="0"/>
              <w:pageBreakBefore w:val="0"/>
              <w:widowControl/>
              <w:kinsoku/>
              <w:wordWrap/>
              <w:overflowPunct/>
              <w:topLinePunct w:val="0"/>
              <w:autoSpaceDE/>
              <w:autoSpaceDN/>
              <w:bidi w:val="0"/>
              <w:adjustRightInd/>
              <w:snapToGrid/>
              <w:spacing w:line="440" w:lineRule="exact"/>
              <w:jc w:val="left"/>
              <w:textAlignment w:val="auto"/>
              <w:rPr>
                <w:highlight w:val="none"/>
              </w:rPr>
            </w:pPr>
            <w:r>
              <w:rPr>
                <w:rFonts w:hint="eastAsia" w:ascii="宋体" w:hAnsi="宋体" w:cs="宋体"/>
                <w:kern w:val="0"/>
                <w:sz w:val="20"/>
                <w:szCs w:val="20"/>
                <w:highlight w:val="none"/>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CC94798">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35</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3A9BE5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1</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AFCFDA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E03D13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C756E7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C79250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sz w:val="18"/>
                <w:szCs w:val="18"/>
                <w:highlight w:val="none"/>
              </w:rPr>
            </w:pPr>
            <w:r>
              <w:rPr>
                <w:rFonts w:hint="eastAsia" w:ascii="方正黑体_GBK" w:hAnsi="方正黑体_GBK" w:eastAsia="方正黑体_GBK" w:cs="方正黑体_GBK"/>
                <w:kern w:val="0"/>
                <w:sz w:val="18"/>
                <w:szCs w:val="18"/>
                <w:highlight w:val="none"/>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795F8B11">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方正黑体_GBK" w:hAnsi="方正黑体_GBK" w:eastAsia="方正黑体_GBK" w:cs="方正黑体_GBK"/>
                <w:sz w:val="18"/>
                <w:szCs w:val="18"/>
                <w:highlight w:val="none"/>
                <w:lang w:val="en-US" w:eastAsia="zh-CN"/>
              </w:rPr>
            </w:pPr>
            <w:r>
              <w:rPr>
                <w:rFonts w:hint="eastAsia" w:ascii="方正黑体_GBK" w:hAnsi="方正黑体_GBK" w:eastAsia="方正黑体_GBK" w:cs="方正黑体_GBK"/>
                <w:sz w:val="18"/>
                <w:szCs w:val="18"/>
                <w:highlight w:val="none"/>
                <w:lang w:val="en-US" w:eastAsia="zh-CN"/>
              </w:rPr>
              <w:t>36</w:t>
            </w:r>
          </w:p>
        </w:tc>
      </w:tr>
    </w:tbl>
    <w:p w14:paraId="7FF7C754">
      <w:pPr>
        <w:pStyle w:val="2"/>
        <w:spacing w:line="560" w:lineRule="exact"/>
        <w:ind w:left="420" w:leftChars="200"/>
        <w:rPr>
          <w:rFonts w:hint="eastAsia"/>
          <w:highlight w:val="none"/>
        </w:rPr>
      </w:pPr>
    </w:p>
    <w:p w14:paraId="0CB8C663">
      <w:pPr>
        <w:spacing w:line="560" w:lineRule="exact"/>
        <w:ind w:firstLine="640" w:firstLineChars="200"/>
        <w:rPr>
          <w:rFonts w:hint="eastAsia" w:ascii="黑体" w:hAnsi="黑体" w:eastAsia="黑体" w:cs="黑体"/>
          <w:sz w:val="32"/>
          <w:szCs w:val="32"/>
          <w:highlight w:val="none"/>
        </w:rPr>
      </w:pPr>
    </w:p>
    <w:p w14:paraId="5AB2896B">
      <w:pPr>
        <w:spacing w:line="560" w:lineRule="exact"/>
        <w:ind w:firstLine="640" w:firstLineChars="200"/>
        <w:rPr>
          <w:rFonts w:hint="eastAsia" w:ascii="黑体" w:hAnsi="黑体" w:eastAsia="黑体" w:cs="黑体"/>
          <w:sz w:val="32"/>
          <w:szCs w:val="32"/>
          <w:highlight w:val="none"/>
        </w:rPr>
      </w:pPr>
    </w:p>
    <w:p w14:paraId="35E3C647">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83FE2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5B1717BC">
            <w:pPr>
              <w:widowControl/>
              <w:spacing w:line="560" w:lineRule="exact"/>
              <w:jc w:val="center"/>
              <w:rPr>
                <w:highlight w:val="none"/>
              </w:rPr>
            </w:pPr>
            <w:r>
              <w:rPr>
                <w:rFonts w:hint="eastAsia" w:ascii="宋体" w:hAnsi="宋体" w:cs="宋体"/>
                <w:kern w:val="0"/>
                <w:sz w:val="20"/>
                <w:szCs w:val="20"/>
                <w:highlight w:val="none"/>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0584B227">
            <w:pPr>
              <w:widowControl/>
              <w:spacing w:line="560" w:lineRule="exact"/>
              <w:jc w:val="center"/>
              <w:rPr>
                <w:highlight w:val="none"/>
              </w:rPr>
            </w:pPr>
            <w:r>
              <w:rPr>
                <w:rFonts w:hint="eastAsia" w:ascii="宋体" w:hAnsi="宋体" w:cs="宋体"/>
                <w:kern w:val="0"/>
                <w:sz w:val="20"/>
                <w:szCs w:val="20"/>
                <w:highlight w:val="none"/>
                <w:lang w:bidi="ar"/>
              </w:rPr>
              <w:t>行政诉讼</w:t>
            </w:r>
          </w:p>
        </w:tc>
      </w:tr>
      <w:tr w14:paraId="053429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093D51F">
            <w:pPr>
              <w:widowControl/>
              <w:spacing w:line="560" w:lineRule="exact"/>
              <w:jc w:val="center"/>
              <w:rPr>
                <w:highlight w:val="none"/>
              </w:rPr>
            </w:pPr>
            <w:r>
              <w:rPr>
                <w:rFonts w:hint="eastAsia" w:ascii="宋体" w:hAnsi="宋体" w:cs="宋体"/>
                <w:kern w:val="0"/>
                <w:sz w:val="20"/>
                <w:szCs w:val="20"/>
                <w:highlight w:val="none"/>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699EB64">
            <w:pPr>
              <w:widowControl/>
              <w:spacing w:line="560" w:lineRule="exact"/>
              <w:jc w:val="center"/>
              <w:rPr>
                <w:highlight w:val="none"/>
              </w:rPr>
            </w:pPr>
            <w:r>
              <w:rPr>
                <w:rFonts w:hint="eastAsia" w:ascii="宋体" w:hAnsi="宋体" w:cs="宋体"/>
                <w:kern w:val="0"/>
                <w:sz w:val="20"/>
                <w:szCs w:val="20"/>
                <w:highlight w:val="none"/>
                <w:lang w:bidi="ar"/>
              </w:rPr>
              <w:t>结果</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037F073">
            <w:pPr>
              <w:widowControl/>
              <w:spacing w:line="560" w:lineRule="exact"/>
              <w:jc w:val="center"/>
              <w:rPr>
                <w:highlight w:val="none"/>
              </w:rPr>
            </w:pPr>
            <w:r>
              <w:rPr>
                <w:rFonts w:hint="eastAsia" w:ascii="宋体" w:hAnsi="宋体" w:cs="宋体"/>
                <w:kern w:val="0"/>
                <w:sz w:val="20"/>
                <w:szCs w:val="20"/>
                <w:highlight w:val="none"/>
                <w:lang w:bidi="ar"/>
              </w:rPr>
              <w:t>其他</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F7EBFCC">
            <w:pPr>
              <w:widowControl/>
              <w:spacing w:line="560" w:lineRule="exact"/>
              <w:jc w:val="center"/>
              <w:rPr>
                <w:highlight w:val="none"/>
              </w:rPr>
            </w:pPr>
            <w:r>
              <w:rPr>
                <w:rFonts w:hint="eastAsia" w:ascii="宋体" w:hAnsi="宋体" w:cs="宋体"/>
                <w:kern w:val="0"/>
                <w:sz w:val="20"/>
                <w:szCs w:val="20"/>
                <w:highlight w:val="none"/>
                <w:lang w:bidi="ar"/>
              </w:rPr>
              <w:t>尚未</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D8FB2C1">
            <w:pPr>
              <w:widowControl/>
              <w:spacing w:line="560" w:lineRule="exact"/>
              <w:jc w:val="center"/>
              <w:rPr>
                <w:highlight w:val="none"/>
              </w:rPr>
            </w:pPr>
            <w:r>
              <w:rPr>
                <w:rFonts w:hint="eastAsia" w:ascii="宋体" w:hAnsi="宋体" w:cs="宋体"/>
                <w:kern w:val="0"/>
                <w:sz w:val="20"/>
                <w:szCs w:val="20"/>
                <w:highlight w:val="none"/>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00CD084E">
            <w:pPr>
              <w:widowControl/>
              <w:spacing w:line="560" w:lineRule="exact"/>
              <w:jc w:val="center"/>
              <w:rPr>
                <w:highlight w:val="none"/>
              </w:rPr>
            </w:pPr>
            <w:r>
              <w:rPr>
                <w:rFonts w:hint="eastAsia" w:ascii="宋体" w:hAnsi="宋体" w:cs="宋体"/>
                <w:kern w:val="0"/>
                <w:sz w:val="20"/>
                <w:szCs w:val="20"/>
                <w:highlight w:val="none"/>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0CD09DE7">
            <w:pPr>
              <w:widowControl/>
              <w:spacing w:line="560" w:lineRule="exact"/>
              <w:jc w:val="center"/>
              <w:rPr>
                <w:highlight w:val="none"/>
              </w:rPr>
            </w:pPr>
            <w:r>
              <w:rPr>
                <w:rFonts w:hint="eastAsia" w:ascii="宋体" w:hAnsi="宋体" w:cs="宋体"/>
                <w:kern w:val="0"/>
                <w:sz w:val="20"/>
                <w:szCs w:val="20"/>
                <w:highlight w:val="none"/>
                <w:lang w:bidi="ar"/>
              </w:rPr>
              <w:t>复议后起诉</w:t>
            </w:r>
          </w:p>
        </w:tc>
      </w:tr>
      <w:tr w14:paraId="0CFA9A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F4917F5">
            <w:pPr>
              <w:spacing w:line="560" w:lineRule="exact"/>
              <w:rPr>
                <w:rFonts w:hint="eastAsia" w:ascii="宋体"/>
                <w:sz w:val="24"/>
                <w:highlight w:val="none"/>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9630B88">
            <w:pPr>
              <w:spacing w:line="560" w:lineRule="exact"/>
              <w:rPr>
                <w:rFonts w:hint="eastAsia" w:ascii="宋体"/>
                <w:sz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516F5C">
            <w:pPr>
              <w:spacing w:line="560" w:lineRule="exact"/>
              <w:rPr>
                <w:rFonts w:hint="eastAsia" w:ascii="宋体"/>
                <w:sz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CE5D64">
            <w:pPr>
              <w:spacing w:line="560" w:lineRule="exact"/>
              <w:rPr>
                <w:rFonts w:hint="eastAsia" w:ascii="宋体"/>
                <w:sz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A3C2F8">
            <w:pPr>
              <w:spacing w:line="560" w:lineRule="exact"/>
              <w:rPr>
                <w:rFonts w:hint="eastAsia" w:ascii="宋体"/>
                <w:sz w:val="24"/>
                <w:highlight w:val="none"/>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7CFD9A">
            <w:pPr>
              <w:widowControl/>
              <w:spacing w:line="560" w:lineRule="exact"/>
              <w:jc w:val="center"/>
              <w:rPr>
                <w:highlight w:val="none"/>
              </w:rPr>
            </w:pPr>
            <w:r>
              <w:rPr>
                <w:rFonts w:hint="eastAsia" w:ascii="宋体" w:hAnsi="宋体" w:cs="宋体"/>
                <w:kern w:val="0"/>
                <w:sz w:val="20"/>
                <w:szCs w:val="20"/>
                <w:highlight w:val="none"/>
                <w:lang w:bidi="ar"/>
              </w:rPr>
              <w:t>结果</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EDA6EB">
            <w:pPr>
              <w:widowControl/>
              <w:spacing w:line="560" w:lineRule="exact"/>
              <w:jc w:val="center"/>
              <w:rPr>
                <w:highlight w:val="none"/>
              </w:rPr>
            </w:pPr>
            <w:r>
              <w:rPr>
                <w:rFonts w:hint="eastAsia" w:ascii="宋体" w:hAnsi="宋体" w:cs="宋体"/>
                <w:kern w:val="0"/>
                <w:sz w:val="20"/>
                <w:szCs w:val="20"/>
                <w:highlight w:val="none"/>
                <w:lang w:bidi="ar"/>
              </w:rPr>
              <w:t>结果</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F5CBC1">
            <w:pPr>
              <w:widowControl/>
              <w:spacing w:line="560" w:lineRule="exact"/>
              <w:jc w:val="center"/>
              <w:rPr>
                <w:highlight w:val="none"/>
              </w:rPr>
            </w:pPr>
            <w:r>
              <w:rPr>
                <w:rFonts w:hint="eastAsia" w:ascii="宋体" w:hAnsi="宋体" w:cs="宋体"/>
                <w:kern w:val="0"/>
                <w:sz w:val="20"/>
                <w:szCs w:val="20"/>
                <w:highlight w:val="none"/>
                <w:lang w:bidi="ar"/>
              </w:rPr>
              <w:t>其他</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C07618">
            <w:pPr>
              <w:widowControl/>
              <w:spacing w:line="560" w:lineRule="exact"/>
              <w:jc w:val="center"/>
              <w:rPr>
                <w:highlight w:val="none"/>
              </w:rPr>
            </w:pPr>
            <w:r>
              <w:rPr>
                <w:rFonts w:hint="eastAsia" w:ascii="宋体" w:hAnsi="宋体" w:cs="宋体"/>
                <w:kern w:val="0"/>
                <w:sz w:val="20"/>
                <w:szCs w:val="20"/>
                <w:highlight w:val="none"/>
                <w:lang w:bidi="ar"/>
              </w:rPr>
              <w:t>尚未</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EB4826">
            <w:pPr>
              <w:widowControl/>
              <w:spacing w:line="560" w:lineRule="exact"/>
              <w:jc w:val="center"/>
              <w:rPr>
                <w:highlight w:val="none"/>
              </w:rPr>
            </w:pPr>
            <w:r>
              <w:rPr>
                <w:rFonts w:hint="eastAsia" w:ascii="宋体" w:hAnsi="宋体" w:cs="宋体"/>
                <w:color w:val="000000"/>
                <w:kern w:val="0"/>
                <w:sz w:val="20"/>
                <w:szCs w:val="20"/>
                <w:highlight w:val="none"/>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D01C97">
            <w:pPr>
              <w:widowControl/>
              <w:spacing w:line="560" w:lineRule="exact"/>
              <w:jc w:val="center"/>
              <w:rPr>
                <w:highlight w:val="none"/>
              </w:rPr>
            </w:pPr>
            <w:r>
              <w:rPr>
                <w:rFonts w:hint="eastAsia" w:ascii="宋体" w:hAnsi="宋体" w:cs="宋体"/>
                <w:kern w:val="0"/>
                <w:sz w:val="20"/>
                <w:szCs w:val="20"/>
                <w:highlight w:val="none"/>
                <w:lang w:bidi="ar"/>
              </w:rPr>
              <w:t>结果</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17450D4">
            <w:pPr>
              <w:widowControl/>
              <w:spacing w:line="560" w:lineRule="exact"/>
              <w:jc w:val="center"/>
              <w:rPr>
                <w:highlight w:val="none"/>
              </w:rPr>
            </w:pPr>
            <w:r>
              <w:rPr>
                <w:rFonts w:hint="eastAsia" w:ascii="宋体" w:hAnsi="宋体" w:cs="宋体"/>
                <w:kern w:val="0"/>
                <w:sz w:val="20"/>
                <w:szCs w:val="20"/>
                <w:highlight w:val="none"/>
                <w:lang w:bidi="ar"/>
              </w:rPr>
              <w:t>结果</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6467B3">
            <w:pPr>
              <w:widowControl/>
              <w:spacing w:line="560" w:lineRule="exact"/>
              <w:jc w:val="center"/>
              <w:rPr>
                <w:highlight w:val="none"/>
              </w:rPr>
            </w:pPr>
            <w:r>
              <w:rPr>
                <w:rFonts w:hint="eastAsia" w:ascii="宋体" w:hAnsi="宋体" w:cs="宋体"/>
                <w:color w:val="000000"/>
                <w:kern w:val="0"/>
                <w:sz w:val="20"/>
                <w:szCs w:val="20"/>
                <w:highlight w:val="none"/>
                <w:lang w:bidi="ar"/>
              </w:rPr>
              <w:t>其他</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133B80">
            <w:pPr>
              <w:widowControl/>
              <w:spacing w:line="560" w:lineRule="exact"/>
              <w:jc w:val="center"/>
              <w:rPr>
                <w:highlight w:val="none"/>
              </w:rPr>
            </w:pPr>
            <w:r>
              <w:rPr>
                <w:rFonts w:hint="eastAsia" w:ascii="宋体" w:hAnsi="宋体" w:cs="宋体"/>
                <w:kern w:val="0"/>
                <w:sz w:val="20"/>
                <w:szCs w:val="20"/>
                <w:highlight w:val="none"/>
                <w:lang w:bidi="ar"/>
              </w:rPr>
              <w:t>尚未</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62BF1C">
            <w:pPr>
              <w:widowControl/>
              <w:spacing w:line="560" w:lineRule="exact"/>
              <w:jc w:val="center"/>
              <w:rPr>
                <w:highlight w:val="none"/>
              </w:rPr>
            </w:pPr>
            <w:r>
              <w:rPr>
                <w:rFonts w:hint="eastAsia" w:ascii="宋体" w:hAnsi="宋体" w:cs="宋体"/>
                <w:color w:val="000000"/>
                <w:kern w:val="0"/>
                <w:sz w:val="20"/>
                <w:szCs w:val="20"/>
                <w:highlight w:val="none"/>
                <w:lang w:bidi="ar"/>
              </w:rPr>
              <w:t>总计</w:t>
            </w:r>
          </w:p>
        </w:tc>
      </w:tr>
      <w:tr w14:paraId="1E340E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FC2922">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kern w:val="0"/>
                <w:sz w:val="20"/>
                <w:szCs w:val="20"/>
                <w:highlight w:val="none"/>
                <w:lang w:val="en-US" w:eastAsia="zh-CN" w:bidi="ar"/>
              </w:rPr>
              <w:t>43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BE27F9">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kern w:val="0"/>
                <w:sz w:val="20"/>
                <w:szCs w:val="20"/>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6A577E6">
            <w:pPr>
              <w:widowControl/>
              <w:spacing w:line="560" w:lineRule="exact"/>
              <w:jc w:val="center"/>
              <w:rPr>
                <w:rFonts w:hint="eastAsia" w:ascii="方正黑体_GBK" w:hAnsi="方正黑体_GBK" w:eastAsia="方正黑体_GBK" w:cs="方正黑体_GBK"/>
                <w:sz w:val="20"/>
                <w:szCs w:val="20"/>
                <w:highlight w:val="none"/>
              </w:rPr>
            </w:pPr>
            <w:r>
              <w:rPr>
                <w:rFonts w:hint="eastAsia" w:ascii="方正黑体_GBK" w:hAnsi="方正黑体_GBK" w:eastAsia="方正黑体_GBK" w:cs="方正黑体_GBK"/>
                <w:kern w:val="0"/>
                <w:sz w:val="20"/>
                <w:szCs w:val="20"/>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3347C3F">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sz w:val="20"/>
                <w:szCs w:val="20"/>
                <w:highlight w:val="none"/>
                <w:lang w:val="en-US" w:eastAsia="zh-CN"/>
              </w:rPr>
              <w:t>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343BF4">
            <w:pPr>
              <w:widowControl/>
              <w:spacing w:line="560" w:lineRule="exact"/>
              <w:jc w:val="center"/>
              <w:rPr>
                <w:rFonts w:hint="eastAsia" w:ascii="方正黑体_GBK" w:hAnsi="方正黑体_GBK" w:eastAsia="方正黑体_GBK" w:cs="方正黑体_GBK"/>
                <w:sz w:val="20"/>
                <w:szCs w:val="20"/>
                <w:highlight w:val="none"/>
              </w:rPr>
            </w:pPr>
            <w:r>
              <w:rPr>
                <w:rFonts w:hint="eastAsia" w:ascii="方正黑体_GBK" w:hAnsi="方正黑体_GBK" w:eastAsia="方正黑体_GBK" w:cs="方正黑体_GBK"/>
                <w:kern w:val="0"/>
                <w:sz w:val="20"/>
                <w:szCs w:val="20"/>
                <w:highlight w:val="none"/>
                <w:lang w:val="en-US" w:eastAsia="zh-CN" w:bidi="ar"/>
              </w:rPr>
              <w:t>46</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3D9E64">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kern w:val="0"/>
                <w:sz w:val="20"/>
                <w:szCs w:val="20"/>
                <w:highlight w:val="none"/>
                <w:lang w:val="en-US" w:eastAsia="zh-CN" w:bidi="ar"/>
              </w:rPr>
              <w:t>4</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89DF317">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kern w:val="0"/>
                <w:sz w:val="20"/>
                <w:szCs w:val="20"/>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D00E40">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kern w:val="0"/>
                <w:sz w:val="20"/>
                <w:szCs w:val="20"/>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FB1C3D">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kern w:val="0"/>
                <w:sz w:val="20"/>
                <w:szCs w:val="20"/>
                <w:highlight w:val="none"/>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E5D099">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sz w:val="20"/>
                <w:szCs w:val="20"/>
                <w:highlight w:val="none"/>
                <w:lang w:val="en-US" w:eastAsia="zh-CN"/>
              </w:rPr>
              <w:t>5</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906B1B">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kern w:val="0"/>
                <w:sz w:val="20"/>
                <w:szCs w:val="20"/>
                <w:highlight w:val="none"/>
                <w:lang w:val="en-US" w:eastAsia="zh-CN" w:bidi="ar"/>
              </w:rPr>
              <w:t>5</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6E98FC">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0E22F2">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BB1D5C">
            <w:pPr>
              <w:widowControl/>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kern w:val="0"/>
                <w:sz w:val="20"/>
                <w:szCs w:val="20"/>
                <w:highlight w:val="none"/>
                <w:lang w:val="en-US" w:eastAsia="zh-CN" w:bidi="ar"/>
              </w:rPr>
              <w:t>2</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E46113">
            <w:pPr>
              <w:spacing w:line="560" w:lineRule="exact"/>
              <w:jc w:val="center"/>
              <w:rPr>
                <w:rFonts w:hint="eastAsia" w:ascii="方正黑体_GBK" w:hAnsi="方正黑体_GBK" w:eastAsia="方正黑体_GBK" w:cs="方正黑体_GBK"/>
                <w:sz w:val="20"/>
                <w:szCs w:val="20"/>
                <w:highlight w:val="none"/>
                <w:lang w:val="en-US" w:eastAsia="zh-CN"/>
              </w:rPr>
            </w:pPr>
            <w:r>
              <w:rPr>
                <w:rFonts w:hint="eastAsia" w:ascii="方正黑体_GBK" w:hAnsi="方正黑体_GBK" w:eastAsia="方正黑体_GBK" w:cs="方正黑体_GBK"/>
                <w:sz w:val="20"/>
                <w:szCs w:val="20"/>
                <w:highlight w:val="none"/>
                <w:lang w:val="en-US" w:eastAsia="zh-CN"/>
              </w:rPr>
              <w:t>7</w:t>
            </w:r>
          </w:p>
        </w:tc>
      </w:tr>
    </w:tbl>
    <w:p w14:paraId="39BD6CA0">
      <w:pPr>
        <w:widowControl/>
        <w:spacing w:line="560" w:lineRule="exact"/>
        <w:ind w:firstLine="672" w:firstLineChars="200"/>
        <w:jc w:val="left"/>
        <w:rPr>
          <w:rFonts w:ascii="宋体" w:hAnsi="宋体" w:cs="宋体"/>
          <w:spacing w:val="8"/>
          <w:kern w:val="0"/>
          <w:sz w:val="24"/>
          <w:highlight w:val="none"/>
        </w:rPr>
      </w:pPr>
      <w:r>
        <w:rPr>
          <w:rFonts w:ascii="黑体" w:hAnsi="黑体" w:eastAsia="黑体" w:cs="宋体"/>
          <w:spacing w:val="8"/>
          <w:kern w:val="0"/>
          <w:sz w:val="32"/>
          <w:szCs w:val="32"/>
          <w:highlight w:val="none"/>
        </w:rPr>
        <w:t>五、存在的主要问题及改进情况</w:t>
      </w:r>
    </w:p>
    <w:p w14:paraId="5F1E5C6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仿宋-GB2312" w:hAnsi="CESI仿宋-GB2312" w:eastAsia="CESI仿宋-GB2312" w:cs="CESI仿宋-GB2312"/>
          <w:i w:val="0"/>
          <w:caps w:val="0"/>
          <w:color w:val="000000"/>
          <w:spacing w:val="15"/>
          <w:sz w:val="32"/>
          <w:szCs w:val="32"/>
          <w:highlight w:val="none"/>
          <w:lang w:val="en-US" w:eastAsia="zh-CN"/>
        </w:rPr>
      </w:pPr>
      <w:r>
        <w:rPr>
          <w:rFonts w:hint="eastAsia" w:ascii="CESI仿宋-GB2312" w:hAnsi="CESI仿宋-GB2312" w:eastAsia="CESI仿宋-GB2312" w:cs="CESI仿宋-GB2312"/>
          <w:i w:val="0"/>
          <w:caps w:val="0"/>
          <w:color w:val="000000"/>
          <w:spacing w:val="15"/>
          <w:sz w:val="32"/>
          <w:szCs w:val="32"/>
          <w:highlight w:val="none"/>
          <w:lang w:val="en-US" w:eastAsia="zh-CN"/>
        </w:rPr>
        <w:t>2025年，我局始终坚持推动改进和加强政府信息公开工作，各项工作开展有力有序，但也存在一些问题和不足，一是信息公开内容深度和广度有待进一步拓展。二是公开工作的专业能力与新形势新要求还存在一定差距。</w:t>
      </w:r>
    </w:p>
    <w:p w14:paraId="5E30BB9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5"/>
        <w:textAlignment w:val="auto"/>
        <w:rPr>
          <w:rFonts w:hint="eastAsia" w:ascii="CESI仿宋-GB2312" w:hAnsi="CESI仿宋-GB2312" w:eastAsia="CESI仿宋-GB2312" w:cs="CESI仿宋-GB2312"/>
          <w:i w:val="0"/>
          <w:caps w:val="0"/>
          <w:color w:val="000000"/>
          <w:spacing w:val="15"/>
          <w:sz w:val="32"/>
          <w:szCs w:val="32"/>
          <w:highlight w:val="none"/>
          <w:lang w:eastAsia="zh-CN"/>
        </w:rPr>
      </w:pPr>
      <w:r>
        <w:rPr>
          <w:rFonts w:hint="eastAsia" w:ascii="CESI仿宋-GB2312" w:hAnsi="CESI仿宋-GB2312" w:eastAsia="CESI仿宋-GB2312" w:cs="CESI仿宋-GB2312"/>
          <w:i w:val="0"/>
          <w:caps w:val="0"/>
          <w:color w:val="000000"/>
          <w:spacing w:val="15"/>
          <w:sz w:val="32"/>
          <w:szCs w:val="32"/>
          <w:highlight w:val="none"/>
          <w:lang w:eastAsia="zh-CN"/>
        </w:rPr>
        <w:t>下一步我局将始终坚持服务为民的宗旨，紧密结合房管局职责任务，切实提升政府信息公开水平。更好发挥政府信息对人民群众生产、生活和经济社会活动的服务作用。一是提升相关人员对政府信息公开制度重要性的理解和认识，强化主动公开意识，丰富政策解读形式。增强答复办理群众政策咨询的意识和能力。二是抓好教育培训，结合工作实际组织培训内容，推动全体工作人员准确把握政府信息公开工作的新要求、新规范。三是落实主体责任，加强对拟公开信息的审核把关，聚焦重点领域和群众关切，做到依法依规、及时准确。</w:t>
      </w:r>
    </w:p>
    <w:p w14:paraId="2E45EAB2">
      <w:pPr>
        <w:widowControl/>
        <w:spacing w:line="560" w:lineRule="exact"/>
        <w:ind w:firstLine="675"/>
        <w:jc w:val="left"/>
        <w:rPr>
          <w:rFonts w:ascii="宋体" w:hAnsi="宋体" w:cs="宋体"/>
          <w:spacing w:val="8"/>
          <w:kern w:val="0"/>
          <w:sz w:val="32"/>
          <w:szCs w:val="32"/>
          <w:highlight w:val="none"/>
        </w:rPr>
      </w:pPr>
      <w:r>
        <w:rPr>
          <w:rFonts w:ascii="黑体" w:hAnsi="黑体" w:eastAsia="黑体" w:cs="宋体"/>
          <w:spacing w:val="8"/>
          <w:kern w:val="0"/>
          <w:sz w:val="32"/>
          <w:szCs w:val="32"/>
          <w:highlight w:val="none"/>
        </w:rPr>
        <w:t>六、其他需要报告的事项</w:t>
      </w:r>
    </w:p>
    <w:p w14:paraId="5D595E49">
      <w:pPr>
        <w:widowControl/>
        <w:spacing w:line="560" w:lineRule="exact"/>
        <w:jc w:val="left"/>
        <w:rPr>
          <w:rFonts w:hint="eastAsia" w:ascii="仿宋_GB2312" w:hAnsi="宋体" w:eastAsia="宋体" w:cs="宋体"/>
          <w:color w:val="9BC2E6"/>
          <w:spacing w:val="8"/>
          <w:kern w:val="0"/>
          <w:sz w:val="32"/>
          <w:szCs w:val="32"/>
          <w:highlight w:val="none"/>
          <w:lang w:eastAsia="zh-CN"/>
        </w:rPr>
      </w:pPr>
      <w:r>
        <w:rPr>
          <w:rFonts w:ascii="宋体" w:hAnsi="宋体" w:cs="宋体"/>
          <w:spacing w:val="8"/>
          <w:kern w:val="0"/>
          <w:sz w:val="32"/>
          <w:szCs w:val="32"/>
          <w:highlight w:val="none"/>
        </w:rPr>
        <w:t>　　</w:t>
      </w:r>
      <w:r>
        <w:rPr>
          <w:rFonts w:hint="eastAsia" w:ascii="CESI仿宋-GB2312" w:hAnsi="CESI仿宋-GB2312" w:eastAsia="CESI仿宋-GB2312" w:cs="CESI仿宋-GB2312"/>
          <w:i w:val="0"/>
          <w:caps w:val="0"/>
          <w:color w:val="000000"/>
          <w:spacing w:val="15"/>
          <w:kern w:val="0"/>
          <w:sz w:val="32"/>
          <w:szCs w:val="32"/>
          <w:highlight w:val="none"/>
          <w:lang w:val="en-US" w:eastAsia="zh-CN" w:bidi="ar"/>
        </w:rPr>
        <w:t>无。</w:t>
      </w:r>
    </w:p>
    <w:p w14:paraId="030AFDE2">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黑体">
    <w:altName w:val="方正黑体_GBK"/>
    <w:panose1 w:val="02010609060101010101"/>
    <w:charset w:val="00"/>
    <w:family w:val="auto"/>
    <w:pitch w:val="default"/>
    <w:sig w:usb0="800002BF" w:usb1="38CF7CFA" w:usb2="00000016" w:usb3="00000000" w:csb0="00040001" w:csb1="00000000"/>
  </w:font>
  <w:font w:name="CESI楷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D0B95"/>
    <w:multiLevelType w:val="singleLevel"/>
    <w:tmpl w:val="D7DD0B95"/>
    <w:lvl w:ilvl="0" w:tentative="0">
      <w:start w:val="1"/>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YmU0MjU2MGFlYmM5ZTE4NjZkNDBlNTA5ZGRhNmIifQ=="/>
  </w:docVars>
  <w:rsids>
    <w:rsidRoot w:val="F7B8747C"/>
    <w:rsid w:val="4DEEB2B1"/>
    <w:rsid w:val="5F397056"/>
    <w:rsid w:val="61FF4DAF"/>
    <w:rsid w:val="6DEF3267"/>
    <w:rsid w:val="6F0F7828"/>
    <w:rsid w:val="757DF687"/>
    <w:rsid w:val="7CBFB4DD"/>
    <w:rsid w:val="7DB75D82"/>
    <w:rsid w:val="8DED5CE9"/>
    <w:rsid w:val="D4786141"/>
    <w:rsid w:val="E2DF1E2D"/>
    <w:rsid w:val="F7B8747C"/>
    <w:rsid w:val="FFDDEE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71</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2025-01-18T18:54:00Z</dcterms:created>
  <dc:creator>kylin</dc:creator>
  <cp:lastModifiedBy>kylin</cp:lastModifiedBy>
  <cp:lastPrinted>2026-01-10T05:31:31Z</cp:lastPrinted>
  <dcterms:modified xsi:type="dcterms:W3CDTF">2026-01-12T14:53:32Z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7090D076A56AC3CE6C9A6469DD9B3F40_43</vt:lpwstr>
  </property>
</Properties>
</file>