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line="680" w:lineRule="exact"/>
        <w:ind w:left="108" w:right="0"/>
        <w:jc w:val="center"/>
        <w:textAlignment w:val="auto"/>
        <w:rPr>
          <w:rFonts w:hint="eastAsia" w:ascii="方正小标宋简体" w:hAnsi="方正小标宋简体" w:eastAsia="方正小标宋简体" w:cs="方正小标宋简体"/>
          <w:b w:val="0"/>
          <w:bCs w:val="0"/>
          <w:spacing w:val="-10"/>
          <w:w w:val="99"/>
          <w:sz w:val="44"/>
          <w:szCs w:val="44"/>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680" w:lineRule="exact"/>
        <w:ind w:left="108" w:right="0"/>
        <w:jc w:val="center"/>
        <w:textAlignment w:val="auto"/>
        <w:rPr>
          <w:rFonts w:hint="eastAsia" w:ascii="方正小标宋简体" w:hAnsi="方正小标宋简体" w:eastAsia="方正小标宋简体" w:cs="方正小标宋简体"/>
          <w:b w:val="0"/>
          <w:bCs w:val="0"/>
          <w:spacing w:val="-10"/>
          <w:w w:val="99"/>
          <w:sz w:val="44"/>
          <w:szCs w:val="44"/>
          <w:lang w:eastAsia="zh-CN"/>
        </w:rPr>
      </w:pPr>
      <w:r>
        <w:rPr>
          <w:rFonts w:hint="eastAsia" w:ascii="方正小标宋简体" w:hAnsi="方正小标宋简体" w:eastAsia="方正小标宋简体" w:cs="方正小标宋简体"/>
          <w:b w:val="0"/>
          <w:bCs w:val="0"/>
          <w:spacing w:val="-10"/>
          <w:w w:val="99"/>
          <w:sz w:val="44"/>
          <w:szCs w:val="44"/>
          <w:lang w:eastAsia="zh-CN"/>
        </w:rPr>
        <w:t>北京市西城区发展和改革委员会</w:t>
      </w:r>
    </w:p>
    <w:p>
      <w:pPr>
        <w:pStyle w:val="2"/>
        <w:keepNext w:val="0"/>
        <w:keepLines w:val="0"/>
        <w:pageBreakBefore w:val="0"/>
        <w:widowControl w:val="0"/>
        <w:kinsoku/>
        <w:wordWrap/>
        <w:overflowPunct/>
        <w:topLinePunct w:val="0"/>
        <w:autoSpaceDE w:val="0"/>
        <w:autoSpaceDN w:val="0"/>
        <w:bidi w:val="0"/>
        <w:adjustRightInd/>
        <w:snapToGrid/>
        <w:spacing w:before="0" w:line="680" w:lineRule="exact"/>
        <w:ind w:left="108" w:right="0"/>
        <w:jc w:val="center"/>
        <w:textAlignment w:val="auto"/>
        <w:rPr>
          <w:rFonts w:hint="eastAsia" w:ascii="方正小标宋简体" w:hAnsi="方正小标宋简体" w:eastAsia="方正小标宋简体" w:cs="方正小标宋简体"/>
          <w:b w:val="0"/>
          <w:bCs w:val="0"/>
          <w:spacing w:val="-10"/>
          <w:w w:val="99"/>
          <w:sz w:val="44"/>
          <w:szCs w:val="44"/>
          <w:lang w:val="en-US" w:eastAsia="zh-CN"/>
        </w:rPr>
      </w:pPr>
      <w:r>
        <w:rPr>
          <w:rFonts w:hint="eastAsia" w:ascii="方正小标宋简体" w:hAnsi="方正小标宋简体" w:eastAsia="方正小标宋简体" w:cs="方正小标宋简体"/>
          <w:b w:val="0"/>
          <w:bCs w:val="0"/>
          <w:spacing w:val="-10"/>
          <w:w w:val="99"/>
          <w:sz w:val="44"/>
          <w:szCs w:val="44"/>
          <w:lang w:val="en-US" w:eastAsia="zh-CN"/>
        </w:rPr>
        <w:t>2026年度行政执法检查（双随机检查）计划</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92" w:firstLineChars="200"/>
        <w:jc w:val="both"/>
        <w:textAlignment w:val="auto"/>
        <w:rPr>
          <w:rFonts w:hint="eastAsia" w:ascii="仿宋_GB2312" w:hAnsi="仿宋_GB2312" w:eastAsia="仿宋_GB2312" w:cs="仿宋_GB2312"/>
          <w:spacing w:val="-10"/>
          <w:w w:val="99"/>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9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w w:val="99"/>
          <w:sz w:val="32"/>
          <w:szCs w:val="32"/>
        </w:rPr>
        <w:t>根据市发展改革委要求，依据相关法律法规规章规定结合本</w:t>
      </w:r>
      <w:r>
        <w:rPr>
          <w:rFonts w:hint="eastAsia" w:ascii="仿宋_GB2312" w:hAnsi="仿宋_GB2312" w:eastAsia="仿宋_GB2312" w:cs="仿宋_GB2312"/>
          <w:spacing w:val="-2"/>
          <w:w w:val="99"/>
          <w:sz w:val="32"/>
          <w:szCs w:val="32"/>
        </w:rPr>
        <w:t>委执法检查工作实际，制定</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1"/>
          <w:w w:val="99"/>
          <w:sz w:val="32"/>
          <w:szCs w:val="32"/>
        </w:rPr>
        <w:t>20</w:t>
      </w:r>
      <w:r>
        <w:rPr>
          <w:rFonts w:hint="eastAsia" w:ascii="仿宋_GB2312" w:hAnsi="仿宋_GB2312" w:eastAsia="仿宋_GB2312" w:cs="仿宋_GB2312"/>
          <w:spacing w:val="-2"/>
          <w:w w:val="99"/>
          <w:sz w:val="32"/>
          <w:szCs w:val="32"/>
        </w:rPr>
        <w:t>2</w:t>
      </w:r>
      <w:r>
        <w:rPr>
          <w:rFonts w:hint="eastAsia" w:ascii="仿宋_GB2312" w:hAnsi="仿宋_GB2312" w:eastAsia="仿宋_GB2312" w:cs="仿宋_GB2312"/>
          <w:w w:val="99"/>
          <w:sz w:val="32"/>
          <w:szCs w:val="32"/>
          <w:lang w:val="en-US" w:eastAsia="zh-CN"/>
        </w:rPr>
        <w:t>6</w:t>
      </w:r>
      <w:r>
        <w:rPr>
          <w:rFonts w:hint="eastAsia" w:ascii="仿宋_GB2312" w:hAnsi="仿宋_GB2312" w:eastAsia="仿宋_GB2312" w:cs="仿宋_GB2312"/>
          <w:w w:val="99"/>
          <w:sz w:val="32"/>
          <w:szCs w:val="32"/>
        </w:rPr>
        <w:t>年度行政执法检查计划如下：</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08" w:firstLineChars="200"/>
        <w:textAlignment w:val="auto"/>
        <w:rPr>
          <w:rFonts w:hint="eastAsia" w:ascii="黑体" w:hAnsi="黑体" w:eastAsia="黑体" w:cs="黑体"/>
          <w:sz w:val="32"/>
          <w:szCs w:val="32"/>
        </w:rPr>
      </w:pPr>
      <w:r>
        <w:rPr>
          <w:rFonts w:hint="eastAsia" w:ascii="黑体" w:hAnsi="黑体" w:eastAsia="黑体" w:cs="黑体"/>
          <w:w w:val="95"/>
          <w:sz w:val="32"/>
          <w:szCs w:val="32"/>
        </w:rPr>
        <w:t>一、主要执法领</w:t>
      </w:r>
      <w:r>
        <w:rPr>
          <w:rFonts w:hint="eastAsia" w:ascii="黑体" w:hAnsi="黑体" w:eastAsia="黑体" w:cs="黑体"/>
          <w:spacing w:val="-10"/>
          <w:w w:val="95"/>
          <w:sz w:val="32"/>
          <w:szCs w:val="32"/>
        </w:rPr>
        <w:t>域</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11" w:firstLineChars="200"/>
        <w:textAlignment w:val="auto"/>
        <w:rPr>
          <w:rFonts w:hint="eastAsia" w:ascii="仿宋_GB2312" w:hAnsi="仿宋_GB2312" w:eastAsia="仿宋_GB2312" w:cs="仿宋_GB2312"/>
          <w:b/>
          <w:bCs/>
          <w:spacing w:val="-10"/>
          <w:w w:val="95"/>
          <w:sz w:val="32"/>
          <w:szCs w:val="32"/>
        </w:rPr>
      </w:pPr>
      <w:r>
        <w:rPr>
          <w:rFonts w:hint="eastAsia" w:ascii="仿宋_GB2312" w:hAnsi="仿宋_GB2312" w:eastAsia="仿宋_GB2312" w:cs="仿宋_GB2312"/>
          <w:b/>
          <w:bCs/>
          <w:w w:val="95"/>
          <w:sz w:val="32"/>
          <w:szCs w:val="32"/>
        </w:rPr>
        <w:t>（一）投资项目执法领</w:t>
      </w:r>
      <w:r>
        <w:rPr>
          <w:rFonts w:hint="eastAsia" w:ascii="仿宋_GB2312" w:hAnsi="仿宋_GB2312" w:eastAsia="仿宋_GB2312" w:cs="仿宋_GB2312"/>
          <w:b/>
          <w:bCs/>
          <w:spacing w:val="-10"/>
          <w:w w:val="95"/>
          <w:sz w:val="32"/>
          <w:szCs w:val="32"/>
        </w:rPr>
        <w:t>域</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68" w:firstLineChars="200"/>
        <w:textAlignment w:val="auto"/>
        <w:rPr>
          <w:rFonts w:hint="eastAsia" w:ascii="仿宋_GB2312" w:hAnsi="仿宋_GB2312" w:eastAsia="仿宋_GB2312" w:cs="仿宋_GB2312"/>
          <w:spacing w:val="-10"/>
          <w:w w:val="95"/>
          <w:sz w:val="32"/>
          <w:szCs w:val="32"/>
          <w:highlight w:val="none"/>
        </w:rPr>
      </w:pPr>
      <w:r>
        <w:rPr>
          <w:rFonts w:hint="eastAsia" w:ascii="仿宋_GB2312" w:hAnsi="仿宋_GB2312" w:eastAsia="仿宋_GB2312" w:cs="仿宋_GB2312"/>
          <w:spacing w:val="-10"/>
          <w:w w:val="95"/>
          <w:sz w:val="32"/>
          <w:szCs w:val="32"/>
          <w:highlight w:val="none"/>
          <w:lang w:val="en-US" w:eastAsia="zh-CN"/>
        </w:rPr>
        <w:t>1.</w:t>
      </w:r>
      <w:r>
        <w:rPr>
          <w:rFonts w:hint="eastAsia" w:ascii="仿宋_GB2312" w:hAnsi="仿宋_GB2312" w:eastAsia="仿宋_GB2312" w:cs="仿宋_GB2312"/>
          <w:w w:val="95"/>
          <w:sz w:val="32"/>
          <w:szCs w:val="32"/>
          <w:highlight w:val="none"/>
        </w:rPr>
        <w:t>对政府固定资产投资项目的检查</w:t>
      </w:r>
      <w:r>
        <w:rPr>
          <w:rFonts w:hint="eastAsia" w:ascii="仿宋_GB2312" w:hAnsi="仿宋_GB2312" w:eastAsia="仿宋_GB2312" w:cs="仿宋_GB2312"/>
          <w:spacing w:val="-10"/>
          <w:w w:val="95"/>
          <w:sz w:val="32"/>
          <w:szCs w:val="32"/>
          <w:highlight w:val="none"/>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68" w:firstLineChars="200"/>
        <w:textAlignment w:val="auto"/>
        <w:rPr>
          <w:rFonts w:hint="eastAsia" w:ascii="仿宋_GB2312" w:hAnsi="仿宋_GB2312" w:eastAsia="仿宋_GB2312" w:cs="仿宋_GB2312"/>
          <w:spacing w:val="-10"/>
          <w:w w:val="95"/>
          <w:sz w:val="32"/>
          <w:szCs w:val="32"/>
          <w:lang w:val="en-US" w:eastAsia="zh-CN"/>
        </w:rPr>
      </w:pPr>
      <w:r>
        <w:rPr>
          <w:rFonts w:hint="eastAsia" w:ascii="仿宋_GB2312" w:hAnsi="仿宋_GB2312" w:eastAsia="仿宋_GB2312" w:cs="仿宋_GB2312"/>
          <w:spacing w:val="-10"/>
          <w:w w:val="95"/>
          <w:sz w:val="32"/>
          <w:szCs w:val="32"/>
          <w:lang w:val="en-US" w:eastAsia="zh-CN"/>
        </w:rPr>
        <w:t>检查项目（检查事项）：见行政执法检查单。</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68" w:firstLineChars="200"/>
        <w:textAlignment w:val="auto"/>
        <w:rPr>
          <w:rFonts w:hint="eastAsia" w:ascii="仿宋_GB2312" w:hAnsi="仿宋_GB2312" w:eastAsia="仿宋_GB2312" w:cs="仿宋_GB2312"/>
          <w:spacing w:val="-10"/>
          <w:w w:val="95"/>
          <w:sz w:val="32"/>
          <w:szCs w:val="32"/>
          <w:highlight w:val="none"/>
          <w:lang w:val="en-US" w:eastAsia="zh-CN"/>
        </w:rPr>
      </w:pPr>
      <w:r>
        <w:rPr>
          <w:rFonts w:hint="eastAsia" w:ascii="仿宋_GB2312" w:hAnsi="仿宋_GB2312" w:eastAsia="仿宋_GB2312" w:cs="仿宋_GB2312"/>
          <w:spacing w:val="-10"/>
          <w:w w:val="95"/>
          <w:sz w:val="32"/>
          <w:szCs w:val="32"/>
          <w:lang w:val="en-US" w:eastAsia="zh-CN"/>
        </w:rPr>
        <w:t>检查主体、检查对象范围（管理对象基数）、检查方式和检查比例：区发展改革委按照职责权限，</w:t>
      </w:r>
      <w:r>
        <w:rPr>
          <w:rFonts w:hint="default" w:ascii="仿宋_GB2312" w:hAnsi="仿宋_GB2312" w:eastAsia="仿宋_GB2312" w:cs="仿宋_GB2312"/>
          <w:spacing w:val="-10"/>
          <w:w w:val="95"/>
          <w:sz w:val="32"/>
          <w:szCs w:val="32"/>
          <w:highlight w:val="none"/>
          <w:lang w:val="en-US" w:eastAsia="zh-CN"/>
        </w:rPr>
        <w:t>对202</w:t>
      </w:r>
      <w:r>
        <w:rPr>
          <w:rFonts w:hint="eastAsia" w:ascii="仿宋_GB2312" w:hAnsi="仿宋_GB2312" w:eastAsia="仿宋_GB2312" w:cs="仿宋_GB2312"/>
          <w:spacing w:val="-10"/>
          <w:w w:val="95"/>
          <w:sz w:val="32"/>
          <w:szCs w:val="32"/>
          <w:highlight w:val="none"/>
          <w:lang w:val="en-US" w:eastAsia="zh-CN"/>
        </w:rPr>
        <w:t>5</w:t>
      </w:r>
      <w:r>
        <w:rPr>
          <w:rFonts w:hint="default" w:ascii="仿宋_GB2312" w:hAnsi="仿宋_GB2312" w:eastAsia="仿宋_GB2312" w:cs="仿宋_GB2312"/>
          <w:spacing w:val="-10"/>
          <w:w w:val="95"/>
          <w:sz w:val="32"/>
          <w:szCs w:val="32"/>
          <w:highlight w:val="none"/>
          <w:lang w:val="en-US" w:eastAsia="zh-CN"/>
        </w:rPr>
        <w:t>年审批</w:t>
      </w:r>
      <w:r>
        <w:rPr>
          <w:rFonts w:hint="eastAsia" w:ascii="仿宋_GB2312" w:hAnsi="仿宋_GB2312" w:eastAsia="仿宋_GB2312" w:cs="仿宋_GB2312"/>
          <w:spacing w:val="-10"/>
          <w:w w:val="95"/>
          <w:sz w:val="32"/>
          <w:szCs w:val="32"/>
          <w:highlight w:val="none"/>
          <w:lang w:val="en-US" w:eastAsia="zh-CN"/>
        </w:rPr>
        <w:t>的</w:t>
      </w:r>
      <w:r>
        <w:rPr>
          <w:rFonts w:hint="default" w:ascii="仿宋_GB2312" w:hAnsi="仿宋_GB2312" w:eastAsia="仿宋_GB2312" w:cs="仿宋_GB2312"/>
          <w:spacing w:val="-10"/>
          <w:w w:val="95"/>
          <w:sz w:val="32"/>
          <w:szCs w:val="32"/>
          <w:highlight w:val="none"/>
          <w:lang w:val="en-US" w:eastAsia="zh-CN"/>
        </w:rPr>
        <w:t>项目，通过</w:t>
      </w:r>
      <w:r>
        <w:rPr>
          <w:rFonts w:hint="eastAsia" w:ascii="仿宋_GB2312" w:hAnsi="仿宋_GB2312" w:eastAsia="仿宋_GB2312" w:cs="仿宋_GB2312"/>
          <w:spacing w:val="-10"/>
          <w:w w:val="95"/>
          <w:sz w:val="32"/>
          <w:szCs w:val="32"/>
          <w:highlight w:val="none"/>
          <w:lang w:val="en-US" w:eastAsia="zh-CN"/>
        </w:rPr>
        <w:t>非现场</w:t>
      </w:r>
      <w:r>
        <w:rPr>
          <w:rFonts w:hint="default" w:ascii="仿宋_GB2312" w:hAnsi="仿宋_GB2312" w:eastAsia="仿宋_GB2312" w:cs="仿宋_GB2312"/>
          <w:spacing w:val="-10"/>
          <w:w w:val="95"/>
          <w:sz w:val="32"/>
          <w:szCs w:val="32"/>
          <w:highlight w:val="none"/>
          <w:lang w:val="en-US" w:eastAsia="zh-CN"/>
        </w:rPr>
        <w:t>或者现场检查方式实现执法检查对象全覆盖。</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68" w:firstLineChars="200"/>
        <w:textAlignment w:val="auto"/>
        <w:rPr>
          <w:rFonts w:hint="eastAsia" w:ascii="仿宋_GB2312" w:hAnsi="仿宋_GB2312" w:eastAsia="仿宋_GB2312" w:cs="仿宋_GB2312"/>
          <w:spacing w:val="-10"/>
          <w:w w:val="95"/>
          <w:sz w:val="32"/>
          <w:szCs w:val="32"/>
          <w:lang w:val="en-US" w:eastAsia="zh-CN"/>
        </w:rPr>
      </w:pPr>
      <w:r>
        <w:rPr>
          <w:rFonts w:hint="eastAsia" w:ascii="仿宋_GB2312" w:hAnsi="仿宋_GB2312" w:eastAsia="仿宋_GB2312" w:cs="仿宋_GB2312"/>
          <w:spacing w:val="-10"/>
          <w:w w:val="95"/>
          <w:sz w:val="32"/>
          <w:szCs w:val="32"/>
          <w:lang w:val="en-US" w:eastAsia="zh-CN"/>
        </w:rPr>
        <w:t>检查频次：</w:t>
      </w:r>
      <w:r>
        <w:rPr>
          <w:rFonts w:ascii="仿宋_GB2312" w:hAnsi="宋体" w:eastAsia="仿宋_GB2312" w:cs="仿宋_GB2312"/>
          <w:b w:val="0"/>
          <w:color w:val="000000"/>
          <w:sz w:val="31"/>
          <w:szCs w:val="31"/>
        </w:rPr>
        <w:t>一般不超过一次</w:t>
      </w:r>
      <w:r>
        <w:rPr>
          <w:rFonts w:hint="default" w:ascii="Times New Roman" w:hAnsi="Times New Roman" w:eastAsia="宋体" w:cs="Times New Roman"/>
          <w:b w:val="0"/>
          <w:color w:val="000000"/>
          <w:sz w:val="31"/>
          <w:szCs w:val="31"/>
        </w:rPr>
        <w:t>,</w:t>
      </w:r>
      <w:r>
        <w:rPr>
          <w:rFonts w:hint="eastAsia" w:ascii="仿宋_GB2312" w:hAnsi="宋体" w:eastAsia="仿宋_GB2312" w:cs="仿宋_GB2312"/>
          <w:b w:val="0"/>
          <w:color w:val="000000"/>
          <w:sz w:val="31"/>
          <w:szCs w:val="31"/>
        </w:rPr>
        <w:t>有特殊规定或要求的除外。</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pacing w:val="-10"/>
          <w:w w:val="95"/>
          <w:sz w:val="32"/>
          <w:szCs w:val="32"/>
          <w:lang w:val="en-US" w:eastAsia="zh-CN"/>
        </w:rPr>
        <w:t>主要检查内容：</w:t>
      </w:r>
      <w:r>
        <w:rPr>
          <w:rFonts w:hint="default" w:ascii="仿宋_GB2312" w:hAnsi="仿宋_GB2312" w:eastAsia="仿宋_GB2312" w:cs="仿宋_GB2312"/>
          <w:color w:val="auto"/>
          <w:sz w:val="32"/>
          <w:szCs w:val="32"/>
          <w:lang w:val="en-US" w:eastAsia="zh-CN"/>
        </w:rPr>
        <w:t>是否依法取得项目审批文件及是否对建设地点或者对建设规模、建设内容等作较大变更；是否未经批准或者不符合规定的建设条件开工建设政府投资项目；是否弄虚作假骗取政府投资项目审批或者投资补助、贷款贴息等政府投资资金；是否擅自增加投资概算；是否要求施工单位对政府投资项目垫资建设；是否无正当理由不实施或者不按照建设工期实施已批准的政府投资项目；是否按照规定将政府投资项目审批和实施过程中的有关文件、资料存档备查或转移、隐匿、篡改、毁弃项目有关文件、资料；是否通过在线平台如实填报项目基本信息。</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责任科室：固定资产投资科、环境资源科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highlight w:val="none"/>
          <w:lang w:val="en-US" w:eastAsia="zh-CN"/>
        </w:rPr>
        <w:t>对内资企业投资项目核准和备案的检查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8"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pacing w:val="-10"/>
          <w:w w:val="95"/>
          <w:sz w:val="32"/>
          <w:szCs w:val="32"/>
          <w:lang w:val="en-US" w:eastAsia="zh-CN"/>
        </w:rPr>
        <w:t>检查项目（检查事项）：见行政执法检查单。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检查主体、</w:t>
      </w:r>
      <w:r>
        <w:rPr>
          <w:rFonts w:hint="eastAsia" w:ascii="仿宋_GB2312" w:hAnsi="仿宋_GB2312" w:eastAsia="仿宋_GB2312" w:cs="仿宋_GB2312"/>
          <w:spacing w:val="-10"/>
          <w:w w:val="95"/>
          <w:sz w:val="32"/>
          <w:szCs w:val="32"/>
          <w:lang w:val="en-US" w:eastAsia="zh-CN"/>
        </w:rPr>
        <w:t>检查对象范围（管理对象基数）</w:t>
      </w:r>
      <w:r>
        <w:rPr>
          <w:rFonts w:hint="eastAsia" w:ascii="仿宋_GB2312" w:hAnsi="仿宋_GB2312" w:eastAsia="仿宋_GB2312" w:cs="仿宋_GB2312"/>
          <w:color w:val="auto"/>
          <w:sz w:val="32"/>
          <w:szCs w:val="32"/>
          <w:lang w:val="en-US" w:eastAsia="zh-CN"/>
        </w:rPr>
        <w:t>和检查方式：区发展改革委按照职责权限，</w:t>
      </w:r>
      <w:r>
        <w:rPr>
          <w:rFonts w:hint="default" w:ascii="仿宋_GB2312" w:hAnsi="仿宋_GB2312" w:eastAsia="仿宋_GB2312" w:cs="仿宋_GB2312"/>
          <w:color w:val="auto"/>
          <w:sz w:val="32"/>
          <w:szCs w:val="32"/>
          <w:highlight w:val="none"/>
          <w:lang w:val="en-US" w:eastAsia="zh-CN"/>
        </w:rPr>
        <w:t>对202</w:t>
      </w:r>
      <w:r>
        <w:rPr>
          <w:rFonts w:hint="eastAsia" w:ascii="仿宋_GB2312" w:hAnsi="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年核准</w:t>
      </w:r>
      <w:r>
        <w:rPr>
          <w:rFonts w:hint="eastAsia" w:ascii="仿宋_GB2312" w:hAnsi="仿宋_GB2312" w:eastAsia="仿宋_GB2312" w:cs="仿宋_GB2312"/>
          <w:color w:val="auto"/>
          <w:sz w:val="32"/>
          <w:szCs w:val="32"/>
          <w:highlight w:val="none"/>
          <w:lang w:val="en-US" w:eastAsia="zh-CN"/>
        </w:rPr>
        <w:t>和</w:t>
      </w:r>
      <w:r>
        <w:rPr>
          <w:rFonts w:hint="default" w:ascii="仿宋_GB2312" w:hAnsi="仿宋_GB2312" w:eastAsia="仿宋_GB2312" w:cs="仿宋_GB2312"/>
          <w:color w:val="auto"/>
          <w:sz w:val="32"/>
          <w:szCs w:val="32"/>
          <w:highlight w:val="none"/>
          <w:lang w:val="en-US" w:eastAsia="zh-CN"/>
        </w:rPr>
        <w:t>备案</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通过</w:t>
      </w:r>
      <w:r>
        <w:rPr>
          <w:rFonts w:hint="eastAsia" w:ascii="仿宋_GB2312" w:hAnsi="仿宋_GB2312" w:eastAsia="仿宋_GB2312" w:cs="仿宋_GB2312"/>
          <w:color w:val="auto"/>
          <w:sz w:val="32"/>
          <w:szCs w:val="32"/>
          <w:highlight w:val="none"/>
          <w:lang w:val="en-US" w:eastAsia="zh-CN"/>
        </w:rPr>
        <w:t>非现场</w:t>
      </w:r>
      <w:r>
        <w:rPr>
          <w:rFonts w:hint="default" w:ascii="仿宋_GB2312" w:hAnsi="仿宋_GB2312" w:eastAsia="仿宋_GB2312" w:cs="仿宋_GB2312"/>
          <w:color w:val="auto"/>
          <w:sz w:val="32"/>
          <w:szCs w:val="32"/>
          <w:highlight w:val="none"/>
          <w:lang w:val="en-US" w:eastAsia="zh-CN"/>
        </w:rPr>
        <w:t>或者现场检查方式</w:t>
      </w:r>
      <w:r>
        <w:rPr>
          <w:rFonts w:hint="eastAsia" w:ascii="仿宋_GB2312" w:hAnsi="仿宋_GB2312" w:eastAsia="仿宋_GB2312" w:cs="仿宋_GB2312"/>
          <w:color w:val="auto"/>
          <w:sz w:val="32"/>
          <w:szCs w:val="32"/>
          <w:highlight w:val="none"/>
          <w:lang w:val="en-US" w:eastAsia="zh-CN"/>
        </w:rPr>
        <w:t>开展</w:t>
      </w:r>
      <w:r>
        <w:rPr>
          <w:rFonts w:hint="default" w:ascii="仿宋_GB2312" w:hAnsi="仿宋_GB2312" w:eastAsia="仿宋_GB2312" w:cs="仿宋_GB2312"/>
          <w:color w:val="auto"/>
          <w:sz w:val="32"/>
          <w:szCs w:val="32"/>
          <w:highlight w:val="none"/>
          <w:lang w:val="en-US" w:eastAsia="zh-CN"/>
        </w:rPr>
        <w:t>执法检查</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val="0"/>
          <w:color w:val="000000"/>
          <w:sz w:val="31"/>
          <w:szCs w:val="31"/>
        </w:rPr>
      </w:pPr>
      <w:r>
        <w:rPr>
          <w:rFonts w:hint="eastAsia" w:ascii="仿宋_GB2312" w:hAnsi="仿宋_GB2312" w:eastAsia="仿宋_GB2312" w:cs="仿宋_GB2312"/>
          <w:color w:val="auto"/>
          <w:sz w:val="32"/>
          <w:szCs w:val="32"/>
          <w:lang w:val="en-US" w:eastAsia="zh-CN"/>
        </w:rPr>
        <w:t>检查比例频次：</w:t>
      </w:r>
      <w:r>
        <w:rPr>
          <w:rFonts w:ascii="仿宋_GB2312" w:hAnsi="宋体" w:eastAsia="仿宋_GB2312" w:cs="仿宋_GB2312"/>
          <w:b w:val="0"/>
          <w:color w:val="000000"/>
          <w:sz w:val="31"/>
          <w:szCs w:val="31"/>
        </w:rPr>
        <w:t>按照《关于印发北京市发展改革部门企业 投资项目核准和备案领域信用分级分类管理办法（试行）的通知》（京发改规〔</w:t>
      </w:r>
      <w:r>
        <w:rPr>
          <w:rFonts w:hint="default" w:ascii="Times New Roman" w:hAnsi="Times New Roman" w:eastAsia="宋体" w:cs="Times New Roman"/>
          <w:b w:val="0"/>
          <w:color w:val="000000"/>
          <w:sz w:val="31"/>
          <w:szCs w:val="31"/>
        </w:rPr>
        <w:t>2023</w:t>
      </w:r>
      <w:r>
        <w:rPr>
          <w:rFonts w:hint="eastAsia" w:ascii="仿宋_GB2312" w:hAnsi="宋体" w:eastAsia="仿宋_GB2312" w:cs="仿宋_GB2312"/>
          <w:b w:val="0"/>
          <w:color w:val="000000"/>
          <w:sz w:val="31"/>
          <w:szCs w:val="31"/>
        </w:rPr>
        <w:t>〕</w:t>
      </w:r>
      <w:r>
        <w:rPr>
          <w:rFonts w:hint="default" w:ascii="Times New Roman" w:hAnsi="Times New Roman" w:eastAsia="宋体" w:cs="Times New Roman"/>
          <w:b w:val="0"/>
          <w:color w:val="000000"/>
          <w:sz w:val="31"/>
          <w:szCs w:val="31"/>
        </w:rPr>
        <w:t xml:space="preserve">3 </w:t>
      </w:r>
      <w:r>
        <w:rPr>
          <w:rFonts w:hint="eastAsia" w:ascii="仿宋_GB2312" w:hAnsi="宋体" w:eastAsia="仿宋_GB2312" w:cs="仿宋_GB2312"/>
          <w:b w:val="0"/>
          <w:color w:val="000000"/>
          <w:sz w:val="31"/>
          <w:szCs w:val="31"/>
        </w:rPr>
        <w:t xml:space="preserve">号）的相关规定，对信用等级为 </w:t>
      </w:r>
      <w:r>
        <w:rPr>
          <w:rFonts w:hint="default" w:ascii="Times New Roman" w:hAnsi="Times New Roman" w:eastAsia="宋体" w:cs="Times New Roman"/>
          <w:b w:val="0"/>
          <w:color w:val="000000"/>
          <w:sz w:val="31"/>
          <w:szCs w:val="31"/>
        </w:rPr>
        <w:t xml:space="preserve">A </w:t>
      </w:r>
      <w:r>
        <w:rPr>
          <w:rFonts w:hint="eastAsia" w:ascii="仿宋_GB2312" w:hAnsi="宋体" w:eastAsia="仿宋_GB2312" w:cs="仿宋_GB2312"/>
          <w:b w:val="0"/>
          <w:color w:val="000000"/>
          <w:sz w:val="31"/>
          <w:szCs w:val="31"/>
        </w:rPr>
        <w:t>的企业的投资项目，按照</w:t>
      </w:r>
      <w:r>
        <w:rPr>
          <w:rFonts w:hint="eastAsia" w:ascii="Times New Roman" w:hAnsi="Times New Roman" w:cs="Times New Roman"/>
          <w:b w:val="0"/>
          <w:color w:val="000000"/>
          <w:sz w:val="31"/>
          <w:szCs w:val="31"/>
          <w:highlight w:val="none"/>
          <w:lang w:val="en-US" w:eastAsia="zh-CN"/>
        </w:rPr>
        <w:t>5</w:t>
      </w:r>
      <w:r>
        <w:rPr>
          <w:rFonts w:hint="default" w:ascii="Times New Roman" w:hAnsi="Times New Roman" w:eastAsia="宋体" w:cs="Times New Roman"/>
          <w:b w:val="0"/>
          <w:color w:val="000000"/>
          <w:sz w:val="31"/>
          <w:szCs w:val="31"/>
          <w:highlight w:val="none"/>
        </w:rPr>
        <w:t>0%</w:t>
      </w:r>
      <w:r>
        <w:rPr>
          <w:rFonts w:hint="eastAsia" w:ascii="仿宋_GB2312" w:hAnsi="宋体" w:eastAsia="仿宋_GB2312" w:cs="仿宋_GB2312"/>
          <w:b w:val="0"/>
          <w:color w:val="000000"/>
          <w:sz w:val="31"/>
          <w:szCs w:val="31"/>
        </w:rPr>
        <w:t>的比例随机抽取检查对象，开展一次检查；信用等级为B的企业，对其投资项目</w:t>
      </w:r>
      <w:bookmarkStart w:id="0" w:name="OLE_LINK2"/>
      <w:r>
        <w:rPr>
          <w:rFonts w:hint="eastAsia" w:ascii="仿宋_GB2312" w:hAnsi="宋体" w:eastAsia="仿宋_GB2312" w:cs="仿宋_GB2312"/>
          <w:b w:val="0"/>
          <w:color w:val="000000"/>
          <w:sz w:val="31"/>
          <w:szCs w:val="31"/>
        </w:rPr>
        <w:t>开展一次全覆盖检查</w:t>
      </w:r>
      <w:bookmarkEnd w:id="0"/>
      <w:r>
        <w:rPr>
          <w:rFonts w:hint="eastAsia" w:ascii="仿宋_GB2312" w:hAnsi="宋体" w:eastAsia="仿宋_GB2312" w:cs="仿宋_GB2312"/>
          <w:b w:val="0"/>
          <w:color w:val="000000"/>
          <w:sz w:val="31"/>
          <w:szCs w:val="31"/>
        </w:rPr>
        <w:t>；对信用等级为C和D的企业的投资项目开展两次全覆盖检查。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主要检查内容：</w:t>
      </w:r>
      <w:r>
        <w:rPr>
          <w:rFonts w:hint="default" w:ascii="仿宋_GB2312" w:hAnsi="仿宋_GB2312" w:eastAsia="仿宋_GB2312" w:cs="仿宋_GB2312"/>
          <w:color w:val="auto"/>
          <w:sz w:val="32"/>
          <w:szCs w:val="32"/>
          <w:lang w:val="en-US" w:eastAsia="zh-CN"/>
        </w:rPr>
        <w:t>实行核准管理的项目企业是否依法办理核准手续及是否按照核准的建设地点、建设规模、建设内容等进行建设；实行核准管理的项目企业是否以欺骗、贿赂等不正当手段取得项目核准文件；实行备案管理的项目企业是否依法将项目信息或备案变更信息告知备案机关或提供虚假信息；实行核准或备案管理的项目企业是否存在以分拆项目、隐瞒有关情况或者提供虚假申报材料等不正当手段申请核准或备案；实行核准或备案管理的项目企业是否投资建设产业政策禁止投资建设项目；实行核准或备案管理的项目企业是否按规定报送项目开工建设、建设进度、竣工等基本信息或者报送虚假信息等。</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责任科室：固定资产投资科、环境资源科、产业发展科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3.对外资企业投资项目核准和备案的检查。</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68" w:firstLineChars="200"/>
        <w:textAlignment w:val="auto"/>
        <w:rPr>
          <w:rFonts w:hint="eastAsia" w:ascii="仿宋_GB2312" w:hAnsi="仿宋_GB2312" w:eastAsia="仿宋_GB2312" w:cs="仿宋_GB2312"/>
          <w:spacing w:val="-10"/>
          <w:w w:val="95"/>
          <w:sz w:val="32"/>
          <w:szCs w:val="32"/>
          <w:lang w:val="en-US" w:eastAsia="zh-CN"/>
        </w:rPr>
      </w:pPr>
      <w:r>
        <w:rPr>
          <w:rFonts w:hint="eastAsia" w:ascii="仿宋_GB2312" w:hAnsi="仿宋_GB2312" w:eastAsia="仿宋_GB2312" w:cs="仿宋_GB2312"/>
          <w:spacing w:val="-10"/>
          <w:w w:val="95"/>
          <w:sz w:val="32"/>
          <w:szCs w:val="32"/>
          <w:lang w:val="en-US" w:eastAsia="zh-CN"/>
        </w:rPr>
        <w:t>检查项目（检查事项）：见行政执法检查单。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检查主体、</w:t>
      </w:r>
      <w:r>
        <w:rPr>
          <w:rFonts w:hint="eastAsia" w:ascii="仿宋_GB2312" w:hAnsi="仿宋_GB2312" w:eastAsia="仿宋_GB2312" w:cs="仿宋_GB2312"/>
          <w:spacing w:val="-10"/>
          <w:w w:val="95"/>
          <w:sz w:val="32"/>
          <w:szCs w:val="32"/>
          <w:lang w:val="en-US" w:eastAsia="zh-CN"/>
        </w:rPr>
        <w:t>检查对象范围（管理对象基数）</w:t>
      </w:r>
      <w:r>
        <w:rPr>
          <w:rFonts w:hint="eastAsia" w:ascii="仿宋_GB2312" w:hAnsi="仿宋_GB2312" w:eastAsia="仿宋_GB2312" w:cs="仿宋_GB2312"/>
          <w:color w:val="auto"/>
          <w:sz w:val="32"/>
          <w:szCs w:val="32"/>
          <w:lang w:val="en-US" w:eastAsia="zh-CN"/>
        </w:rPr>
        <w:t>、检查方式和检查比例：区发展改革委按照职责权限，</w:t>
      </w:r>
      <w:r>
        <w:rPr>
          <w:rFonts w:hint="default" w:ascii="仿宋_GB2312" w:hAnsi="仿宋_GB2312" w:eastAsia="仿宋_GB2312" w:cs="仿宋_GB2312"/>
          <w:color w:val="auto"/>
          <w:sz w:val="32"/>
          <w:szCs w:val="32"/>
          <w:lang w:val="en-US" w:eastAsia="zh-CN"/>
        </w:rPr>
        <w:t>对202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年核准</w:t>
      </w:r>
      <w:r>
        <w:rPr>
          <w:rFonts w:hint="eastAsia" w:ascii="仿宋_GB2312" w:hAnsi="仿宋_GB2312" w:eastAsia="仿宋_GB2312" w:cs="仿宋_GB2312"/>
          <w:color w:val="auto"/>
          <w:sz w:val="32"/>
          <w:szCs w:val="32"/>
          <w:lang w:val="en-US" w:eastAsia="zh-CN"/>
        </w:rPr>
        <w:t>和</w:t>
      </w:r>
      <w:r>
        <w:rPr>
          <w:rFonts w:hint="default" w:ascii="仿宋_GB2312" w:hAnsi="仿宋_GB2312" w:eastAsia="仿宋_GB2312" w:cs="仿宋_GB2312"/>
          <w:color w:val="auto"/>
          <w:sz w:val="32"/>
          <w:szCs w:val="32"/>
          <w:lang w:val="en-US" w:eastAsia="zh-CN"/>
        </w:rPr>
        <w:t>备案</w:t>
      </w:r>
      <w:r>
        <w:rPr>
          <w:rFonts w:hint="eastAsia" w:ascii="仿宋_GB2312" w:hAnsi="仿宋_GB2312" w:eastAsia="仿宋_GB2312" w:cs="仿宋_GB2312"/>
          <w:color w:val="auto"/>
          <w:sz w:val="32"/>
          <w:szCs w:val="32"/>
          <w:lang w:val="en-US" w:eastAsia="zh-CN"/>
        </w:rPr>
        <w:t>的</w:t>
      </w:r>
      <w:r>
        <w:rPr>
          <w:rFonts w:hint="default"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通过</w:t>
      </w:r>
      <w:r>
        <w:rPr>
          <w:rFonts w:hint="eastAsia" w:ascii="仿宋_GB2312" w:hAnsi="仿宋_GB2312" w:eastAsia="仿宋_GB2312" w:cs="仿宋_GB2312"/>
          <w:color w:val="auto"/>
          <w:sz w:val="32"/>
          <w:szCs w:val="32"/>
          <w:lang w:val="en-US" w:eastAsia="zh-CN"/>
        </w:rPr>
        <w:t>非现场</w:t>
      </w:r>
      <w:r>
        <w:rPr>
          <w:rFonts w:hint="default" w:ascii="仿宋_GB2312" w:hAnsi="仿宋_GB2312" w:eastAsia="仿宋_GB2312" w:cs="仿宋_GB2312"/>
          <w:color w:val="auto"/>
          <w:sz w:val="32"/>
          <w:szCs w:val="32"/>
          <w:lang w:val="en-US" w:eastAsia="zh-CN"/>
        </w:rPr>
        <w:t>或者现场检查方式实现执法检查对象全覆盖</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val="0"/>
          <w:color w:val="000000"/>
          <w:sz w:val="31"/>
          <w:szCs w:val="31"/>
        </w:rPr>
      </w:pPr>
      <w:r>
        <w:rPr>
          <w:rFonts w:hint="eastAsia" w:ascii="仿宋_GB2312" w:hAnsi="仿宋_GB2312" w:eastAsia="仿宋_GB2312" w:cs="仿宋_GB2312"/>
          <w:color w:val="auto"/>
          <w:sz w:val="32"/>
          <w:szCs w:val="32"/>
          <w:lang w:val="en-US" w:eastAsia="zh-CN"/>
        </w:rPr>
        <w:t>检查频次：</w:t>
      </w:r>
      <w:r>
        <w:rPr>
          <w:rFonts w:ascii="仿宋_GB2312" w:hAnsi="宋体" w:eastAsia="仿宋_GB2312" w:cs="仿宋_GB2312"/>
          <w:b w:val="0"/>
          <w:color w:val="000000"/>
          <w:sz w:val="31"/>
          <w:szCs w:val="31"/>
        </w:rPr>
        <w:t>一般不超过一次</w:t>
      </w:r>
      <w:r>
        <w:rPr>
          <w:rFonts w:hint="default" w:ascii="Times New Roman" w:hAnsi="Times New Roman" w:eastAsia="宋体" w:cs="Times New Roman"/>
          <w:b w:val="0"/>
          <w:color w:val="000000"/>
          <w:sz w:val="31"/>
          <w:szCs w:val="31"/>
        </w:rPr>
        <w:t>,</w:t>
      </w:r>
      <w:r>
        <w:rPr>
          <w:rFonts w:hint="eastAsia" w:ascii="仿宋_GB2312" w:hAnsi="宋体" w:eastAsia="仿宋_GB2312" w:cs="仿宋_GB2312"/>
          <w:b w:val="0"/>
          <w:color w:val="000000"/>
          <w:sz w:val="31"/>
          <w:szCs w:val="31"/>
        </w:rPr>
        <w:t>有特殊规定或要求的除外。</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主要检查内容：</w:t>
      </w:r>
      <w:r>
        <w:rPr>
          <w:rFonts w:hint="default" w:ascii="仿宋_GB2312" w:hAnsi="仿宋_GB2312" w:eastAsia="仿宋_GB2312" w:cs="仿宋_GB2312"/>
          <w:color w:val="auto"/>
          <w:sz w:val="32"/>
          <w:szCs w:val="32"/>
          <w:lang w:val="en-US" w:eastAsia="zh-CN"/>
        </w:rPr>
        <w:t>企业是否依法办理核准</w:t>
      </w:r>
      <w:r>
        <w:rPr>
          <w:rFonts w:hint="eastAsia" w:ascii="仿宋_GB2312" w:hAnsi="仿宋_GB2312" w:eastAsia="仿宋_GB2312" w:cs="仿宋_GB2312"/>
          <w:color w:val="auto"/>
          <w:sz w:val="32"/>
          <w:szCs w:val="32"/>
          <w:lang w:val="en-US" w:eastAsia="zh-CN"/>
        </w:rPr>
        <w:t>备案</w:t>
      </w:r>
      <w:r>
        <w:rPr>
          <w:rFonts w:hint="default" w:ascii="仿宋_GB2312" w:hAnsi="仿宋_GB2312" w:eastAsia="仿宋_GB2312" w:cs="仿宋_GB2312"/>
          <w:color w:val="auto"/>
          <w:sz w:val="32"/>
          <w:szCs w:val="32"/>
          <w:lang w:val="en-US" w:eastAsia="zh-CN"/>
        </w:rPr>
        <w:t>手续</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是否存在以分拆项目或者提供虚假申报材料等不正当手段申请核准或备案。</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责任科室：固定资产投资科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（二）招投标执法领域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8" w:firstLineChars="200"/>
        <w:jc w:val="both"/>
        <w:textAlignment w:val="auto"/>
        <w:rPr>
          <w:rFonts w:hint="eastAsia" w:ascii="仿宋_GB2312" w:hAnsi="仿宋_GB2312" w:eastAsia="仿宋_GB2312" w:cs="仿宋_GB2312"/>
          <w:spacing w:val="-10"/>
          <w:w w:val="95"/>
          <w:sz w:val="32"/>
          <w:szCs w:val="32"/>
          <w:lang w:val="en-US" w:eastAsia="zh-CN"/>
        </w:rPr>
      </w:pPr>
      <w:r>
        <w:rPr>
          <w:rFonts w:hint="eastAsia" w:ascii="仿宋_GB2312" w:hAnsi="仿宋_GB2312" w:eastAsia="仿宋_GB2312" w:cs="仿宋_GB2312"/>
          <w:spacing w:val="-10"/>
          <w:w w:val="95"/>
          <w:sz w:val="32"/>
          <w:szCs w:val="32"/>
          <w:lang w:val="en-US" w:eastAsia="zh-CN"/>
        </w:rPr>
        <w:t>检查项目（检查事项）：见行政执法检查单。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检查主体、检查比例、</w:t>
      </w:r>
      <w:r>
        <w:rPr>
          <w:rFonts w:hint="eastAsia" w:ascii="仿宋_GB2312" w:hAnsi="仿宋_GB2312" w:eastAsia="仿宋_GB2312" w:cs="仿宋_GB2312"/>
          <w:spacing w:val="-10"/>
          <w:w w:val="95"/>
          <w:sz w:val="32"/>
          <w:szCs w:val="32"/>
          <w:lang w:val="en-US" w:eastAsia="zh-CN"/>
        </w:rPr>
        <w:t>检查对象范围（管理对象基数）</w:t>
      </w:r>
      <w:r>
        <w:rPr>
          <w:rFonts w:hint="eastAsia" w:ascii="仿宋_GB2312" w:hAnsi="仿宋_GB2312" w:eastAsia="仿宋_GB2312" w:cs="仿宋_GB2312"/>
          <w:color w:val="auto"/>
          <w:sz w:val="32"/>
          <w:szCs w:val="32"/>
          <w:lang w:val="en-US" w:eastAsia="zh-CN"/>
        </w:rPr>
        <w:t>和检查方式：区发展改革委按照职责权限，</w:t>
      </w:r>
      <w:r>
        <w:rPr>
          <w:rFonts w:hint="eastAsia" w:ascii="仿宋_GB2312" w:hAnsi="仿宋_GB2312" w:eastAsia="仿宋_GB2312" w:cs="仿宋_GB2312"/>
          <w:color w:val="auto"/>
          <w:sz w:val="32"/>
          <w:szCs w:val="32"/>
          <w:highlight w:val="none"/>
          <w:lang w:val="en-US" w:eastAsia="zh-CN"/>
        </w:rPr>
        <w:t>按照20%的比例，</w:t>
      </w:r>
      <w:r>
        <w:rPr>
          <w:rFonts w:hint="default" w:ascii="仿宋_GB2312" w:hAnsi="仿宋_GB2312" w:eastAsia="仿宋_GB2312" w:cs="仿宋_GB2312"/>
          <w:color w:val="auto"/>
          <w:sz w:val="32"/>
          <w:szCs w:val="32"/>
          <w:highlight w:val="none"/>
          <w:lang w:val="en-US" w:eastAsia="zh-CN"/>
        </w:rPr>
        <w:t>对202</w:t>
      </w: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val="en-US" w:eastAsia="zh-CN"/>
        </w:rPr>
        <w:t>年核准</w:t>
      </w:r>
      <w:r>
        <w:rPr>
          <w:rFonts w:hint="eastAsia" w:ascii="仿宋_GB2312" w:hAnsi="仿宋_GB2312" w:eastAsia="仿宋_GB2312" w:cs="仿宋_GB2312"/>
          <w:color w:val="auto"/>
          <w:sz w:val="32"/>
          <w:szCs w:val="32"/>
          <w:highlight w:val="none"/>
          <w:lang w:val="en-US" w:eastAsia="zh-CN"/>
        </w:rPr>
        <w:t>招标方案的项目</w:t>
      </w:r>
      <w:r>
        <w:rPr>
          <w:rFonts w:hint="default" w:ascii="仿宋_GB2312" w:hAnsi="仿宋_GB2312" w:eastAsia="仿宋_GB2312" w:cs="仿宋_GB2312"/>
          <w:color w:val="auto"/>
          <w:sz w:val="32"/>
          <w:szCs w:val="32"/>
          <w:highlight w:val="none"/>
          <w:lang w:val="en-US" w:eastAsia="zh-CN"/>
        </w:rPr>
        <w:t>，通过</w:t>
      </w:r>
      <w:r>
        <w:rPr>
          <w:rFonts w:hint="eastAsia" w:ascii="仿宋_GB2312" w:hAnsi="仿宋_GB2312" w:eastAsia="仿宋_GB2312" w:cs="仿宋_GB2312"/>
          <w:color w:val="auto"/>
          <w:sz w:val="32"/>
          <w:szCs w:val="32"/>
          <w:highlight w:val="none"/>
          <w:lang w:val="en-US" w:eastAsia="zh-CN"/>
        </w:rPr>
        <w:t>非现场</w:t>
      </w:r>
      <w:r>
        <w:rPr>
          <w:rFonts w:hint="default" w:ascii="仿宋_GB2312" w:hAnsi="仿宋_GB2312" w:eastAsia="仿宋_GB2312" w:cs="仿宋_GB2312"/>
          <w:color w:val="auto"/>
          <w:sz w:val="32"/>
          <w:szCs w:val="32"/>
          <w:highlight w:val="none"/>
          <w:lang w:val="en-US" w:eastAsia="zh-CN"/>
        </w:rPr>
        <w:t>或者现场检查方式</w:t>
      </w:r>
      <w:r>
        <w:rPr>
          <w:rFonts w:hint="eastAsia" w:ascii="仿宋_GB2312" w:hAnsi="仿宋_GB2312" w:eastAsia="仿宋_GB2312" w:cs="仿宋_GB2312"/>
          <w:color w:val="auto"/>
          <w:sz w:val="32"/>
          <w:szCs w:val="32"/>
          <w:highlight w:val="none"/>
          <w:lang w:val="en-US" w:eastAsia="zh-CN"/>
        </w:rPr>
        <w:t>进行抽查</w:t>
      </w:r>
      <w:r>
        <w:rPr>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检查频次：</w:t>
      </w:r>
      <w:r>
        <w:rPr>
          <w:rFonts w:ascii="仿宋_GB2312" w:hAnsi="宋体" w:eastAsia="仿宋_GB2312" w:cs="仿宋_GB2312"/>
          <w:b w:val="0"/>
          <w:color w:val="000000"/>
          <w:sz w:val="31"/>
          <w:szCs w:val="31"/>
        </w:rPr>
        <w:t>一般不超过一次</w:t>
      </w:r>
      <w:r>
        <w:rPr>
          <w:rFonts w:hint="default" w:ascii="Times New Roman" w:hAnsi="Times New Roman" w:eastAsia="宋体" w:cs="Times New Roman"/>
          <w:b w:val="0"/>
          <w:color w:val="000000"/>
          <w:sz w:val="31"/>
          <w:szCs w:val="31"/>
        </w:rPr>
        <w:t>,</w:t>
      </w:r>
      <w:r>
        <w:rPr>
          <w:rFonts w:hint="eastAsia" w:ascii="仿宋_GB2312" w:hAnsi="宋体" w:eastAsia="仿宋_GB2312" w:cs="仿宋_GB2312"/>
          <w:b w:val="0"/>
          <w:color w:val="000000"/>
          <w:sz w:val="31"/>
          <w:szCs w:val="31"/>
        </w:rPr>
        <w:t>有特殊规定或要求的除外。</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主要检查内容：</w:t>
      </w:r>
      <w:r>
        <w:rPr>
          <w:rFonts w:hint="default" w:ascii="仿宋_GB2312" w:hAnsi="仿宋_GB2312" w:eastAsia="仿宋_GB2312" w:cs="仿宋_GB2312"/>
          <w:color w:val="auto"/>
          <w:sz w:val="32"/>
          <w:szCs w:val="32"/>
          <w:lang w:val="en-US" w:eastAsia="zh-CN"/>
        </w:rPr>
        <w:t>项目招标方案审批核准情况；依法必须招标项目招标公告和公示信息发布情况；依法必须招标的项目执行招标制度的情况。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责任科室：行政审批科（法制科）、固定资产投资科、环境资源科</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节能执法领域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8"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spacing w:val="-10"/>
          <w:w w:val="95"/>
          <w:sz w:val="32"/>
          <w:szCs w:val="32"/>
          <w:lang w:val="en-US" w:eastAsia="zh-CN"/>
        </w:rPr>
        <w:t>检查项目（检查事项）：见行政执法检查单。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检查主体和检查方式：区发展改革委按照职责权限，</w:t>
      </w:r>
      <w:r>
        <w:rPr>
          <w:rFonts w:hint="default" w:ascii="仿宋_GB2312" w:hAnsi="仿宋_GB2312" w:eastAsia="仿宋_GB2312" w:cs="仿宋_GB2312"/>
          <w:color w:val="auto"/>
          <w:sz w:val="32"/>
          <w:szCs w:val="32"/>
          <w:lang w:val="en-US" w:eastAsia="zh-CN"/>
        </w:rPr>
        <w:t>通过</w:t>
      </w:r>
      <w:r>
        <w:rPr>
          <w:rFonts w:hint="eastAsia" w:ascii="仿宋_GB2312" w:hAnsi="仿宋_GB2312" w:eastAsia="仿宋_GB2312" w:cs="仿宋_GB2312"/>
          <w:color w:val="auto"/>
          <w:sz w:val="32"/>
          <w:szCs w:val="32"/>
          <w:lang w:val="en-US" w:eastAsia="zh-CN"/>
        </w:rPr>
        <w:t>非现场</w:t>
      </w:r>
      <w:r>
        <w:rPr>
          <w:rFonts w:hint="default" w:ascii="仿宋_GB2312" w:hAnsi="仿宋_GB2312" w:eastAsia="仿宋_GB2312" w:cs="仿宋_GB2312"/>
          <w:color w:val="auto"/>
          <w:sz w:val="32"/>
          <w:szCs w:val="32"/>
          <w:lang w:val="en-US" w:eastAsia="zh-CN"/>
        </w:rPr>
        <w:t>或者现场检查方式</w:t>
      </w:r>
      <w:r>
        <w:rPr>
          <w:rFonts w:hint="eastAsia" w:ascii="仿宋_GB2312" w:hAnsi="仿宋_GB2312" w:eastAsia="仿宋_GB2312" w:cs="仿宋_GB2312"/>
          <w:color w:val="auto"/>
          <w:sz w:val="32"/>
          <w:szCs w:val="32"/>
          <w:lang w:val="en-US" w:eastAsia="zh-CN"/>
        </w:rPr>
        <w:t>开展检查</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检查频次：</w:t>
      </w:r>
      <w:r>
        <w:rPr>
          <w:rFonts w:ascii="仿宋_GB2312" w:hAnsi="宋体" w:eastAsia="仿宋_GB2312" w:cs="仿宋_GB2312"/>
          <w:b w:val="0"/>
          <w:color w:val="000000"/>
          <w:sz w:val="31"/>
          <w:szCs w:val="31"/>
        </w:rPr>
        <w:t>一般不超过一次</w:t>
      </w:r>
      <w:r>
        <w:rPr>
          <w:rFonts w:hint="default" w:ascii="Times New Roman" w:hAnsi="Times New Roman" w:eastAsia="宋体" w:cs="Times New Roman"/>
          <w:b w:val="0"/>
          <w:color w:val="000000"/>
          <w:sz w:val="31"/>
          <w:szCs w:val="31"/>
        </w:rPr>
        <w:t>,</w:t>
      </w:r>
      <w:r>
        <w:rPr>
          <w:rFonts w:hint="eastAsia" w:ascii="仿宋_GB2312" w:hAnsi="宋体" w:eastAsia="仿宋_GB2312" w:cs="仿宋_GB2312"/>
          <w:b w:val="0"/>
          <w:color w:val="000000"/>
          <w:sz w:val="31"/>
          <w:szCs w:val="31"/>
        </w:rPr>
        <w:t>有特殊规定或要求的除外。</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1.对用能单位节能情况的检查。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8"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pacing w:val="-10"/>
          <w:w w:val="95"/>
          <w:sz w:val="32"/>
          <w:szCs w:val="32"/>
          <w:lang w:val="en-US" w:eastAsia="zh-CN"/>
        </w:rPr>
        <w:t>检查对象范围（管理对象基数）和检查比例</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除市级重点用能单位外，</w:t>
      </w:r>
      <w:r>
        <w:rPr>
          <w:rFonts w:hint="eastAsia" w:ascii="仿宋_GB2312" w:hAnsi="仿宋_GB2312" w:eastAsia="仿宋_GB2312" w:cs="仿宋_GB2312"/>
          <w:color w:val="auto"/>
          <w:sz w:val="32"/>
          <w:szCs w:val="32"/>
          <w:lang w:val="en-US" w:eastAsia="zh-CN"/>
        </w:rPr>
        <w:t>对</w:t>
      </w:r>
      <w:r>
        <w:rPr>
          <w:rFonts w:hint="default" w:ascii="仿宋_GB2312" w:hAnsi="仿宋_GB2312" w:eastAsia="仿宋_GB2312" w:cs="仿宋_GB2312"/>
          <w:color w:val="auto"/>
          <w:sz w:val="32"/>
          <w:szCs w:val="32"/>
          <w:lang w:val="en-US" w:eastAsia="zh-CN"/>
        </w:rPr>
        <w:t>年综合能源消费总量2000吨以上不满1万吨标煤的用能单位及全年电力能源消耗量 500 万千瓦时（ 含） 以上的数据中心</w:t>
      </w:r>
      <w:r>
        <w:rPr>
          <w:rFonts w:hint="eastAsia" w:ascii="仿宋_GB2312" w:eastAsia="仿宋_GB2312" w:cs="仿宋_GB2312"/>
          <w:b w:val="0"/>
          <w:color w:val="000000"/>
          <w:sz w:val="31"/>
          <w:szCs w:val="31"/>
          <w:lang w:eastAsia="zh-CN"/>
        </w:rPr>
        <w:t>，按照不低于</w:t>
      </w:r>
      <w:r>
        <w:rPr>
          <w:rFonts w:hint="eastAsia" w:ascii="仿宋_GB2312" w:eastAsia="仿宋_GB2312" w:cs="仿宋_GB2312"/>
          <w:b w:val="0"/>
          <w:color w:val="000000"/>
          <w:sz w:val="31"/>
          <w:szCs w:val="31"/>
          <w:highlight w:val="none"/>
          <w:lang w:val="en-US" w:eastAsia="zh-CN"/>
        </w:rPr>
        <w:t>30%</w:t>
      </w:r>
      <w:r>
        <w:rPr>
          <w:rFonts w:hint="eastAsia" w:ascii="仿宋_GB2312" w:eastAsia="仿宋_GB2312" w:cs="仿宋_GB2312"/>
          <w:b w:val="0"/>
          <w:color w:val="000000"/>
          <w:sz w:val="31"/>
          <w:szCs w:val="31"/>
          <w:lang w:val="en-US" w:eastAsia="zh-CN"/>
        </w:rPr>
        <w:t>比例进行抽查。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主要检查内容：</w:t>
      </w:r>
      <w:r>
        <w:rPr>
          <w:rFonts w:hint="default" w:ascii="仿宋_GB2312" w:hAnsi="仿宋_GB2312" w:eastAsia="仿宋_GB2312" w:cs="仿宋_GB2312"/>
          <w:color w:val="auto"/>
          <w:sz w:val="32"/>
          <w:szCs w:val="32"/>
          <w:lang w:val="en-US" w:eastAsia="zh-CN"/>
        </w:rPr>
        <w:t>是否按照规定报送能源利用状况报告；</w:t>
      </w:r>
      <w:r>
        <w:rPr>
          <w:rFonts w:hint="eastAsia" w:ascii="仿宋_GB2312" w:hAnsi="仿宋_GB2312" w:eastAsia="仿宋_GB2312" w:cs="仿宋_GB2312"/>
          <w:color w:val="auto"/>
          <w:sz w:val="32"/>
          <w:szCs w:val="32"/>
          <w:lang w:val="en-US" w:eastAsia="zh-CN"/>
        </w:rPr>
        <w:t>能源利用效率是否低；</w:t>
      </w:r>
      <w:r>
        <w:rPr>
          <w:rFonts w:hint="default" w:ascii="仿宋_GB2312" w:hAnsi="仿宋_GB2312" w:eastAsia="仿宋_GB2312" w:cs="仿宋_GB2312"/>
          <w:color w:val="auto"/>
          <w:sz w:val="32"/>
          <w:szCs w:val="32"/>
          <w:lang w:val="en-US" w:eastAsia="zh-CN"/>
        </w:rPr>
        <w:t>是否存在使用国家明令淘汰的用能设备、生产工艺情况；落实国家和北京市单位产品能源消耗限额标准情况；是否无偿向本单位职工提供能源或者对能源消费实行包费制。</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2.对固定资产投资项目节能审查情况的检查。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（1）对固定资产投资项目节能审查意见落实情况的检查。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8"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pacing w:val="-10"/>
          <w:w w:val="95"/>
          <w:sz w:val="32"/>
          <w:szCs w:val="32"/>
          <w:lang w:val="en-US" w:eastAsia="zh-CN"/>
        </w:rPr>
        <w:t>检查对象范围（管理对象基数）</w:t>
      </w:r>
      <w:r>
        <w:rPr>
          <w:rFonts w:hint="default" w:ascii="仿宋_GB2312" w:hAnsi="仿宋_GB2312" w:eastAsia="仿宋_GB2312" w:cs="仿宋_GB2312"/>
          <w:color w:val="auto"/>
          <w:sz w:val="32"/>
          <w:szCs w:val="32"/>
          <w:lang w:val="en-US" w:eastAsia="zh-CN"/>
        </w:rPr>
        <w:t>和检查比例：对202</w:t>
      </w: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年按规定应当开展节能验收的固定资产投资项目开展全覆盖检查。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主要检查内容为：是否存在未按规定在项目投入生产、使用前组织开展节能验收并上传验收报告的行为；是否存在未经节能审查验收和验收不合格投入生产、使用的行为；是否存在以提供虚假材料等不正当手段通过节能验收的行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（2）对固定资产投资项目节能验收情况的检查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8"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pacing w:val="-10"/>
          <w:w w:val="95"/>
          <w:sz w:val="32"/>
          <w:szCs w:val="32"/>
          <w:lang w:val="en-US" w:eastAsia="zh-CN"/>
        </w:rPr>
        <w:t>检查对象范围（管理对象基数）</w:t>
      </w:r>
      <w:r>
        <w:rPr>
          <w:rFonts w:hint="default" w:ascii="仿宋_GB2312" w:hAnsi="仿宋_GB2312" w:eastAsia="仿宋_GB2312" w:cs="仿宋_GB2312"/>
          <w:color w:val="auto"/>
          <w:sz w:val="32"/>
          <w:szCs w:val="32"/>
          <w:lang w:val="en-US" w:eastAsia="zh-CN"/>
        </w:rPr>
        <w:t>和检查比例：对2021年以来通过节能审查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已建成且稳定运行一年以上的固定资产投资项目， 通过非现场或者现场检查方式开展全覆盖检查。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10"/>
          <w:w w:val="95"/>
          <w:sz w:val="32"/>
          <w:szCs w:val="32"/>
          <w:lang w:val="en-US" w:eastAsia="zh-CN"/>
        </w:rPr>
      </w:pPr>
      <w:r>
        <w:rPr>
          <w:rFonts w:hint="default" w:ascii="仿宋_GB2312" w:hAnsi="仿宋_GB2312" w:eastAsia="仿宋_GB2312" w:cs="仿宋_GB2312"/>
          <w:color w:val="auto"/>
          <w:sz w:val="32"/>
          <w:szCs w:val="32"/>
          <w:lang w:val="en-US" w:eastAsia="zh-CN"/>
        </w:rPr>
        <w:t>主要检查内容为：是否执行强制性节能标准；是否按照规定进行并通过节能审查；是否存在以拆分项目、提供虚假材料等不正当手段通过节能审查的行为；是否落实节能审查意见要求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3.对节能服务机构的检查。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检查对象范围（管理对象基数）和检查比例：对2025年开展节能报告编制、清洁生产审核报告编制及其他相关业务的节能服务机构开展全覆盖检查，通过非现场或者现场检查方式开展全覆盖检查。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主要检查内容为：节能服务机构完成的固定资产投资项目节能报告等报告的真实性。</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4.对清洁生产审核实施情况的检查。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检查对象范围（管理对象基数）和检查比例：对2025年因超过单位产品能源消耗限额标准实施强制性清洁生产审核的单位开展全覆盖检查。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主要检查内容为：是否按照规定公布能源消耗情况；是否实施强制性清洁生产审核；在清洁生产审核中是否存在弄虚作假的行为；是否有不报告或者不如实报告审核结果的行为。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责任科室：环境资源科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（四）价格监测领域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8"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spacing w:val="-10"/>
          <w:w w:val="95"/>
          <w:sz w:val="32"/>
          <w:szCs w:val="32"/>
          <w:lang w:val="en-US" w:eastAsia="zh-CN"/>
        </w:rPr>
        <w:t>检查项目（检查事项）：见行政执法检查单。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检查主体、</w:t>
      </w:r>
      <w:r>
        <w:rPr>
          <w:rFonts w:hint="eastAsia" w:ascii="仿宋_GB2312" w:hAnsi="仿宋_GB2312" w:eastAsia="仿宋_GB2312" w:cs="仿宋_GB2312"/>
          <w:spacing w:val="-10"/>
          <w:w w:val="95"/>
          <w:sz w:val="32"/>
          <w:szCs w:val="32"/>
          <w:lang w:val="en-US" w:eastAsia="zh-CN"/>
        </w:rPr>
        <w:t>检查对象范围（管理对象基数）</w:t>
      </w:r>
      <w:r>
        <w:rPr>
          <w:rFonts w:hint="eastAsia" w:ascii="仿宋_GB2312" w:hAnsi="仿宋_GB2312" w:eastAsia="仿宋_GB2312" w:cs="仿宋_GB2312"/>
          <w:color w:val="auto"/>
          <w:sz w:val="32"/>
          <w:szCs w:val="32"/>
          <w:lang w:val="en-US" w:eastAsia="zh-CN"/>
        </w:rPr>
        <w:t>、检查方式和检查比例：区发展改革委按照职责权限，</w:t>
      </w:r>
      <w:r>
        <w:rPr>
          <w:rFonts w:hint="default" w:ascii="仿宋_GB2312" w:hAnsi="仿宋_GB2312" w:eastAsia="仿宋_GB2312" w:cs="仿宋_GB2312"/>
          <w:color w:val="auto"/>
          <w:sz w:val="32"/>
          <w:szCs w:val="32"/>
          <w:lang w:val="en-US" w:eastAsia="zh-CN"/>
        </w:rPr>
        <w:t>对价格定点监测单位通过</w:t>
      </w:r>
      <w:r>
        <w:rPr>
          <w:rFonts w:hint="eastAsia" w:ascii="仿宋_GB2312" w:hAnsi="仿宋_GB2312" w:eastAsia="仿宋_GB2312" w:cs="仿宋_GB2312"/>
          <w:color w:val="auto"/>
          <w:sz w:val="32"/>
          <w:szCs w:val="32"/>
          <w:lang w:val="en-US" w:eastAsia="zh-CN"/>
        </w:rPr>
        <w:t>非现场</w:t>
      </w:r>
      <w:r>
        <w:rPr>
          <w:rFonts w:hint="default" w:ascii="仿宋_GB2312" w:hAnsi="仿宋_GB2312" w:eastAsia="仿宋_GB2312" w:cs="仿宋_GB2312"/>
          <w:color w:val="auto"/>
          <w:sz w:val="32"/>
          <w:szCs w:val="32"/>
          <w:lang w:val="en-US" w:eastAsia="zh-CN"/>
        </w:rPr>
        <w:t>或者现场检查方式实现执法检查对象全覆盖。对价格监测涉及的单位和个人拒绝配合或者拒绝提供信息的，随时发现随时检查。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检查频次：</w:t>
      </w:r>
      <w:r>
        <w:rPr>
          <w:rFonts w:ascii="仿宋_GB2312" w:hAnsi="宋体" w:eastAsia="仿宋_GB2312" w:cs="仿宋_GB2312"/>
          <w:b w:val="0"/>
          <w:color w:val="000000"/>
          <w:sz w:val="31"/>
          <w:szCs w:val="31"/>
        </w:rPr>
        <w:t>一般不超过一次</w:t>
      </w:r>
      <w:r>
        <w:rPr>
          <w:rFonts w:hint="default" w:ascii="Times New Roman" w:hAnsi="Times New Roman" w:eastAsia="宋体" w:cs="Times New Roman"/>
          <w:b w:val="0"/>
          <w:color w:val="000000"/>
          <w:sz w:val="31"/>
          <w:szCs w:val="31"/>
        </w:rPr>
        <w:t>,</w:t>
      </w:r>
      <w:r>
        <w:rPr>
          <w:rFonts w:hint="eastAsia" w:ascii="仿宋_GB2312" w:hAnsi="宋体" w:eastAsia="仿宋_GB2312" w:cs="仿宋_GB2312"/>
          <w:b w:val="0"/>
          <w:color w:val="000000"/>
          <w:sz w:val="31"/>
          <w:szCs w:val="31"/>
        </w:rPr>
        <w:t>有特殊规定或要求的除外。</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主要检查内容：</w:t>
      </w:r>
      <w:r>
        <w:rPr>
          <w:rFonts w:hint="default" w:ascii="仿宋_GB2312" w:hAnsi="仿宋_GB2312" w:eastAsia="仿宋_GB2312" w:cs="仿宋_GB2312"/>
          <w:color w:val="auto"/>
          <w:sz w:val="32"/>
          <w:szCs w:val="32"/>
          <w:lang w:val="en-US" w:eastAsia="zh-CN"/>
        </w:rPr>
        <w:t>定点单位是否存在虚报、瞒报价格监测信息行为；是否存在伪造、篡改价格监测资料行为；是否存在拒报或屡次迟报价格监测信息行为。价格监测涉及的单位和个人是否存在拒绝配合或者拒绝提供信息的行为</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责任科室：价格管理科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（五）粮食流通领域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568"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spacing w:val="-10"/>
          <w:w w:val="95"/>
          <w:sz w:val="32"/>
          <w:szCs w:val="32"/>
          <w:lang w:val="en-US" w:eastAsia="zh-CN"/>
        </w:rPr>
        <w:t>检查项目（检查事项）：见行政执法检查单。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检查主体、</w:t>
      </w:r>
      <w:r>
        <w:rPr>
          <w:rFonts w:hint="eastAsia" w:ascii="仿宋_GB2312" w:hAnsi="仿宋_GB2312" w:eastAsia="仿宋_GB2312" w:cs="仿宋_GB2312"/>
          <w:spacing w:val="-10"/>
          <w:w w:val="95"/>
          <w:sz w:val="32"/>
          <w:szCs w:val="32"/>
          <w:lang w:val="en-US" w:eastAsia="zh-CN"/>
        </w:rPr>
        <w:t>检查对象范围（管理对象基数）</w:t>
      </w:r>
      <w:r>
        <w:rPr>
          <w:rFonts w:hint="eastAsia" w:ascii="仿宋_GB2312" w:hAnsi="仿宋_GB2312" w:eastAsia="仿宋_GB2312" w:cs="仿宋_GB2312"/>
          <w:color w:val="auto"/>
          <w:sz w:val="32"/>
          <w:szCs w:val="32"/>
          <w:lang w:val="en-US" w:eastAsia="zh-CN"/>
        </w:rPr>
        <w:t>、检查方式和检查比例：区发展改革委按照职责权限，对纳统粮食企业通过非现场或现场检查方式实现执法检查对象全覆盖。</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检查频次：2026年开展一次非现场检查，确需开展现场检查的，一般不超过一次，对存在违法违规行为的粮食企业可以视情况开展多次检查。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主要检查内容：粮食企业是否建立粮食经营台账；粮食企业是否按照规定报送粮食基本数据和有关情况。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责任科室：价格管理科</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二、主要做法</w:t>
      </w:r>
    </w:p>
    <w:p>
      <w:pPr>
        <w:keepNext w:val="0"/>
        <w:keepLines w:val="0"/>
        <w:pageBreakBefore w:val="0"/>
        <w:widowControl w:val="0"/>
        <w:suppressAutoHyphens/>
        <w:kinsoku/>
        <w:wordWrap/>
        <w:overflowPunct/>
        <w:topLinePunct w:val="0"/>
        <w:autoSpaceDE/>
        <w:autoSpaceDN/>
        <w:bidi w:val="0"/>
        <w:adjustRightInd/>
        <w:snapToGrid/>
        <w:spacing w:line="560" w:lineRule="exact"/>
        <w:ind w:left="638" w:leftChars="29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（一）从严控制检查总量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全面落实“无事不扰”原则，坚决杜绝随意检查、重复检查等干扰企业正常经营的行为，除有特殊规定外，原则上同一领域年度检查不超过一次，对同一企业的年度现场检查不超过两次。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宋体" w:eastAsia="仿宋_GB2312" w:cs="仿宋_GB2312"/>
          <w:b w:val="0"/>
          <w:color w:val="000000"/>
          <w:sz w:val="32"/>
          <w:szCs w:val="32"/>
        </w:rPr>
        <w:t>全面规范检查程序与行为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b w:val="0"/>
          <w:color w:val="000000"/>
          <w:sz w:val="32"/>
          <w:szCs w:val="32"/>
        </w:rPr>
      </w:pPr>
      <w:r>
        <w:rPr>
          <w:rFonts w:hint="eastAsia" w:ascii="仿宋_GB2312" w:hAnsi="宋体" w:eastAsia="仿宋_GB2312" w:cs="仿宋_GB2312"/>
          <w:b w:val="0"/>
          <w:color w:val="000000"/>
          <w:sz w:val="32"/>
          <w:szCs w:val="32"/>
        </w:rPr>
        <w:t>深化推行“扫码检查”模式，强化计划执行的严肃性，推进行政检查全流程管理</w:t>
      </w:r>
      <w:r>
        <w:rPr>
          <w:rFonts w:hint="eastAsia" w:ascii="仿宋_GB2312" w:eastAsia="仿宋_GB2312" w:cs="仿宋_GB2312"/>
          <w:b w:val="0"/>
          <w:color w:val="000000"/>
          <w:sz w:val="32"/>
          <w:szCs w:val="32"/>
          <w:lang w:eastAsia="zh-CN"/>
        </w:rPr>
        <w:t>，</w:t>
      </w:r>
      <w:bookmarkStart w:id="1" w:name="_GoBack"/>
      <w:bookmarkEnd w:id="1"/>
      <w:r>
        <w:rPr>
          <w:rFonts w:hint="eastAsia" w:ascii="仿宋_GB2312" w:hAnsi="宋体" w:eastAsia="仿宋_GB2312" w:cs="仿宋_GB2312"/>
          <w:b w:val="0"/>
          <w:color w:val="000000"/>
          <w:sz w:val="32"/>
          <w:szCs w:val="32"/>
        </w:rPr>
        <w:t>持续深化以“信用+风险”为基础的分级分类监管机制，切实提升监管效能。</w:t>
      </w:r>
      <w:r>
        <w:rPr>
          <w:rFonts w:hint="default" w:ascii="仿宋_GB2312" w:hAnsi="宋体" w:eastAsia="仿宋_GB2312" w:cs="仿宋_GB2312"/>
          <w:b w:val="0"/>
          <w:color w:val="000000"/>
          <w:sz w:val="32"/>
          <w:szCs w:val="32"/>
        </w:rPr>
        <w:t xml:space="preserve"> </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（三）坚持廉洁公正文明执法</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仿宋_GB2312"/>
          <w:b w:val="0"/>
          <w:color w:val="000000"/>
          <w:sz w:val="32"/>
          <w:szCs w:val="32"/>
        </w:rPr>
        <w:t>严格执行“五个严禁”“八个不得”等纪律规定</w:t>
      </w:r>
      <w:r>
        <w:rPr>
          <w:rFonts w:hint="eastAsia" w:ascii="仿宋_GB2312" w:eastAsia="仿宋_GB2312" w:cs="仿宋_GB2312"/>
          <w:b w:val="0"/>
          <w:color w:val="000000"/>
          <w:sz w:val="32"/>
          <w:szCs w:val="32"/>
          <w:lang w:eastAsia="zh-CN"/>
        </w:rPr>
        <w:t>，</w:t>
      </w:r>
      <w:r>
        <w:rPr>
          <w:rFonts w:hint="eastAsia" w:ascii="仿宋_GB2312" w:hAnsi="宋体" w:eastAsia="仿宋_GB2312" w:cs="仿宋_GB2312"/>
          <w:b w:val="0"/>
          <w:color w:val="000000"/>
          <w:sz w:val="32"/>
          <w:szCs w:val="32"/>
        </w:rPr>
        <w:t>加强监督检查与责任追究，对反映强烈的突出问题“零容忍”严肃查处，不断优化执法环境。</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sectPr>
      <w:footerReference r:id="rId3" w:type="default"/>
      <w:pgSz w:w="11910" w:h="16840"/>
      <w:pgMar w:top="2098" w:right="1474" w:bottom="1984" w:left="1587" w:header="0" w:footer="155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2191"/>
    <w:multiLevelType w:val="singleLevel"/>
    <w:tmpl w:val="0A38219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22E0A"/>
    <w:rsid w:val="00BB4CD2"/>
    <w:rsid w:val="03180D26"/>
    <w:rsid w:val="03325F17"/>
    <w:rsid w:val="04505B1E"/>
    <w:rsid w:val="046A6D90"/>
    <w:rsid w:val="055579EB"/>
    <w:rsid w:val="05FF6058"/>
    <w:rsid w:val="06BA4885"/>
    <w:rsid w:val="06BC4354"/>
    <w:rsid w:val="07927F96"/>
    <w:rsid w:val="08AD5AEE"/>
    <w:rsid w:val="09B179F7"/>
    <w:rsid w:val="09E90FFB"/>
    <w:rsid w:val="0BD2781F"/>
    <w:rsid w:val="0D6B43C7"/>
    <w:rsid w:val="0E5776B7"/>
    <w:rsid w:val="0E643526"/>
    <w:rsid w:val="0E8919DE"/>
    <w:rsid w:val="117B5BDE"/>
    <w:rsid w:val="12760847"/>
    <w:rsid w:val="132B5751"/>
    <w:rsid w:val="15620E05"/>
    <w:rsid w:val="15C64219"/>
    <w:rsid w:val="15DF2993"/>
    <w:rsid w:val="1A7926E2"/>
    <w:rsid w:val="1C60712D"/>
    <w:rsid w:val="1F483035"/>
    <w:rsid w:val="1F837768"/>
    <w:rsid w:val="1F9D6A66"/>
    <w:rsid w:val="20101CD8"/>
    <w:rsid w:val="20CF440E"/>
    <w:rsid w:val="212E73BF"/>
    <w:rsid w:val="225224BA"/>
    <w:rsid w:val="225A4D8F"/>
    <w:rsid w:val="24C501B4"/>
    <w:rsid w:val="2556581F"/>
    <w:rsid w:val="256358CB"/>
    <w:rsid w:val="264D0F45"/>
    <w:rsid w:val="26BC53B1"/>
    <w:rsid w:val="2801641D"/>
    <w:rsid w:val="29442B65"/>
    <w:rsid w:val="2B3C7B77"/>
    <w:rsid w:val="2C96563A"/>
    <w:rsid w:val="2CDC460D"/>
    <w:rsid w:val="2CE824A6"/>
    <w:rsid w:val="2DC33667"/>
    <w:rsid w:val="2E04473C"/>
    <w:rsid w:val="2F3B42FC"/>
    <w:rsid w:val="2F4114DB"/>
    <w:rsid w:val="2F6727DF"/>
    <w:rsid w:val="30322E0A"/>
    <w:rsid w:val="31537AD5"/>
    <w:rsid w:val="31B348BA"/>
    <w:rsid w:val="32760109"/>
    <w:rsid w:val="33C35B33"/>
    <w:rsid w:val="362D414C"/>
    <w:rsid w:val="366B478C"/>
    <w:rsid w:val="36C5683F"/>
    <w:rsid w:val="37027829"/>
    <w:rsid w:val="372B67F3"/>
    <w:rsid w:val="38C562FA"/>
    <w:rsid w:val="3A1E0FA6"/>
    <w:rsid w:val="3A630B3B"/>
    <w:rsid w:val="3C34296C"/>
    <w:rsid w:val="3CDD059B"/>
    <w:rsid w:val="3D0A5A6B"/>
    <w:rsid w:val="3DE71474"/>
    <w:rsid w:val="3E024EDE"/>
    <w:rsid w:val="3E7B2F56"/>
    <w:rsid w:val="3EE733EC"/>
    <w:rsid w:val="3FAB29D9"/>
    <w:rsid w:val="402E78F5"/>
    <w:rsid w:val="4072790A"/>
    <w:rsid w:val="407A056D"/>
    <w:rsid w:val="40CD1CCA"/>
    <w:rsid w:val="40CE438F"/>
    <w:rsid w:val="429305AC"/>
    <w:rsid w:val="42D002AC"/>
    <w:rsid w:val="44E64FEA"/>
    <w:rsid w:val="44F87BAC"/>
    <w:rsid w:val="455709BA"/>
    <w:rsid w:val="463D1242"/>
    <w:rsid w:val="47EA49F9"/>
    <w:rsid w:val="4B9156CC"/>
    <w:rsid w:val="4C247198"/>
    <w:rsid w:val="4C64306D"/>
    <w:rsid w:val="4C952D36"/>
    <w:rsid w:val="4CDD037B"/>
    <w:rsid w:val="4D152348"/>
    <w:rsid w:val="4D71273C"/>
    <w:rsid w:val="4DBE05D7"/>
    <w:rsid w:val="4E8D4BC7"/>
    <w:rsid w:val="4EEB138C"/>
    <w:rsid w:val="50B96BD1"/>
    <w:rsid w:val="53895718"/>
    <w:rsid w:val="546A5A84"/>
    <w:rsid w:val="55053D79"/>
    <w:rsid w:val="554C6DB8"/>
    <w:rsid w:val="58BC6072"/>
    <w:rsid w:val="59EE54C5"/>
    <w:rsid w:val="5B9143DB"/>
    <w:rsid w:val="5C405FEE"/>
    <w:rsid w:val="5D6D3B65"/>
    <w:rsid w:val="5F996CD9"/>
    <w:rsid w:val="60004A3D"/>
    <w:rsid w:val="612A1C14"/>
    <w:rsid w:val="62A46F06"/>
    <w:rsid w:val="66A76767"/>
    <w:rsid w:val="67C220C5"/>
    <w:rsid w:val="67F966C3"/>
    <w:rsid w:val="68884B1B"/>
    <w:rsid w:val="6A4905CB"/>
    <w:rsid w:val="6CAE73DA"/>
    <w:rsid w:val="6D464F9D"/>
    <w:rsid w:val="6ECD56A2"/>
    <w:rsid w:val="6F942D70"/>
    <w:rsid w:val="704771F6"/>
    <w:rsid w:val="71131B11"/>
    <w:rsid w:val="71B50DA2"/>
    <w:rsid w:val="71E8080D"/>
    <w:rsid w:val="721439AA"/>
    <w:rsid w:val="728956D9"/>
    <w:rsid w:val="752877C7"/>
    <w:rsid w:val="757E6A6B"/>
    <w:rsid w:val="75D74B5E"/>
    <w:rsid w:val="77C006DF"/>
    <w:rsid w:val="79CE6D48"/>
    <w:rsid w:val="7A365672"/>
    <w:rsid w:val="7AE0576E"/>
    <w:rsid w:val="7BCE0C22"/>
    <w:rsid w:val="7CB0074A"/>
    <w:rsid w:val="7EA71373"/>
    <w:rsid w:val="7EC4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08"/>
    </w:pPr>
    <w:rPr>
      <w:rFonts w:ascii="宋体" w:hAnsi="宋体" w:eastAsia="宋体" w:cs="宋体"/>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1"/>
    <w:pPr>
      <w:ind w:left="1068" w:hanging="322"/>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2023-10-10T01:52:00Z</dcterms:created>
  <dc:creator>NTKO</dc:creator>
  <cp:lastModifiedBy>草房子</cp:lastModifiedBy>
  <dcterms:modified xsi:type="dcterms:W3CDTF">2025-12-17T02:44:44Z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