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E592">
      <w:pPr>
        <w:keepNext w:val="0"/>
        <w:keepLines w:val="0"/>
        <w:pageBreakBefore w:val="0"/>
        <w:widowControl w:val="0"/>
        <w:overflowPunct w:val="0"/>
        <w:bidi w:val="0"/>
        <w:snapToGrid/>
        <w:spacing w:line="680" w:lineRule="exact"/>
        <w:jc w:val="center"/>
        <w:textAlignment w:val="auto"/>
        <w:rPr>
          <w:rFonts w:ascii="Times New Roman" w:hAnsi="Times New Roman" w:eastAsia="宋体" w:cs="Times New Roman"/>
          <w:spacing w:val="0"/>
          <w:sz w:val="44"/>
          <w:szCs w:val="44"/>
          <w:shd w:val="clear" w:fill="auto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  <w:shd w:val="clear" w:fill="auto"/>
        </w:rPr>
        <w:t>北京市西城区广安门外街道办事处202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  <w:shd w:val="clear" w:fill="auto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  <w:shd w:val="clear" w:fill="auto"/>
        </w:rPr>
        <w:t>年政府信息公开工作年度报告</w:t>
      </w:r>
    </w:p>
    <w:p w14:paraId="65075BD5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</w:rPr>
      </w:pPr>
    </w:p>
    <w:p w14:paraId="3B61727B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</w:rPr>
        <w:t>依据《中华人民共和国政府信息公开条例》(以下简称《政府信息公开条例》)第五十条规定，编制本报告。</w:t>
      </w:r>
    </w:p>
    <w:p w14:paraId="1E1F992F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黑体" w:hAnsi="黑体" w:eastAsia="黑体" w:cs="宋体"/>
          <w:spacing w:val="0"/>
          <w:kern w:val="0"/>
          <w:sz w:val="32"/>
          <w:szCs w:val="32"/>
          <w:shd w:val="clear" w:fill="auto"/>
        </w:rPr>
      </w:pPr>
      <w:r>
        <w:rPr>
          <w:rFonts w:ascii="黑体" w:hAnsi="黑体" w:eastAsia="黑体" w:cs="宋体"/>
          <w:spacing w:val="0"/>
          <w:kern w:val="0"/>
          <w:sz w:val="32"/>
          <w:szCs w:val="32"/>
          <w:shd w:val="clear" w:fill="auto"/>
        </w:rPr>
        <w:t>一、总体情况</w:t>
      </w:r>
    </w:p>
    <w:p w14:paraId="63A16A74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/>
        </w:rPr>
        <w:t>1.组织领导情况。建立街道政府信息公开工作领导小组，由办事处主任担任组长，主管领导担任副组长，下设办公室为综合办公室，具体负责政府信息公开组织、协调、督促检查等工作。</w:t>
      </w:r>
    </w:p>
    <w:p w14:paraId="07D4993C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  <w:highlight w:val="none"/>
          <w:shd w:val="clear" w:fill="auto"/>
          <w:lang w:val="en-US" w:eastAsia="zh-CN" w:bidi="ar-SA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 w:bidi="ar-SA"/>
        </w:rPr>
        <w:t>2.政府信息主动公开情况。一是深化政务公开清单体系建设。准确把握市、区关于全面推进政务公开标准化、规范化的相关要求。</w:t>
      </w: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/>
        </w:rPr>
        <w:t>二是深入推进向居民群众通报情况工作。依托政府网站、社区通、居民代表会等平台，</w:t>
      </w: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 w:bidi="ar-SA"/>
        </w:rPr>
        <w:t>向居民交“真实账”、“放心账”。围绕居民关心事项，主动回应、及时发声，全年共向地区居民通报情况3570次。</w:t>
      </w:r>
    </w:p>
    <w:p w14:paraId="70D14E6D">
      <w:pPr>
        <w:pStyle w:val="2"/>
        <w:keepNext w:val="0"/>
        <w:keepLines w:val="0"/>
        <w:pageBreakBefore w:val="0"/>
        <w:overflowPunct w:val="0"/>
        <w:bidi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 w:bidi="ar-SA"/>
        </w:rPr>
        <w:t>3.依申请公开办理情况</w:t>
      </w:r>
      <w:r>
        <w:rPr>
          <w:rFonts w:ascii="仿宋_GB2312" w:hAnsi="仿宋_GB2312" w:eastAsia="仿宋_GB2312" w:cs="仿宋_GB2312"/>
          <w:spacing w:val="0"/>
          <w:kern w:val="2"/>
          <w:sz w:val="32"/>
          <w:szCs w:val="32"/>
          <w:shd w:val="clear" w:fill="auto"/>
          <w:lang w:val="en-US" w:eastAsia="zh-CN" w:bidi="ar-SA"/>
        </w:rPr>
        <w:t>。建立依申请公开协同办理机制，即</w:t>
      </w:r>
      <w:r>
        <w:rPr>
          <w:rFonts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街道政府信息公开办公室受理答复，业务部门具体办理，法律顾问提供法律意见协同答复，最后分管领导把关、主要领导签发。本年度共收到政府信息公开申请6条，已依法依规按时予以办理答复。</w:t>
      </w:r>
      <w:r>
        <w:rPr>
          <w:rFonts w:ascii="仿宋_GB2312" w:hAnsi="仿宋_GB2312" w:eastAsia="仿宋_GB2312" w:cs="仿宋_GB2312"/>
          <w:spacing w:val="0"/>
          <w:sz w:val="32"/>
          <w:szCs w:val="32"/>
          <w:lang w:eastAsia="zh-CN"/>
        </w:rPr>
        <w:t>目前街道未因政府信息公开工作被申请行政复议或提起行政诉讼。</w:t>
      </w:r>
    </w:p>
    <w:p w14:paraId="0C3AAE39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宋体" w:hAnsi="宋体" w:eastAsia="宋体" w:cs="Times New Roman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 w:bidi="ar-SA"/>
        </w:rPr>
        <w:t>4.政府信息管理情况</w:t>
      </w:r>
      <w:r>
        <w:rPr>
          <w:rFonts w:ascii="仿宋_GB2312" w:hAnsi="仿宋_GB2312" w:eastAsia="仿宋_GB2312" w:cs="仿宋_GB2312"/>
          <w:spacing w:val="0"/>
          <w:kern w:val="2"/>
          <w:sz w:val="32"/>
          <w:szCs w:val="32"/>
          <w:shd w:val="clear" w:fill="auto"/>
          <w:lang w:val="en-US" w:eastAsia="zh-CN" w:bidi="ar-SA"/>
        </w:rPr>
        <w:t>。严格落实保密审查和源头管理程序，按照“谁公开、谁负责”的原则，建立健全政府信息公开层层审核机制，实行信息产生部门负责人、信息公开部门负责人、保密审查负责人、主管领导及主要领导严格审批，依法依规对拟公开的政府信息进行审查，全年审查政府信息90件，并做好档案留存和管理工作。</w:t>
      </w:r>
    </w:p>
    <w:p w14:paraId="6BC0B496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仿宋_GB2312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 w:bidi="ar-SA"/>
        </w:rPr>
        <w:t>5.政府信息公开平台建设情况</w:t>
      </w:r>
      <w:r>
        <w:rPr>
          <w:rFonts w:ascii="仿宋_GB2312" w:hAnsi="仿宋_GB2312" w:eastAsia="仿宋_GB2312" w:cs="仿宋_GB2312"/>
          <w:spacing w:val="0"/>
          <w:kern w:val="2"/>
          <w:sz w:val="32"/>
          <w:szCs w:val="32"/>
          <w:shd w:val="clear" w:fill="auto"/>
          <w:lang w:val="en-US" w:eastAsia="zh-CN" w:bidi="ar-SA"/>
        </w:rPr>
        <w:t>。一是对街道信息公开专栏明确专人进行维护，定期更新街道业务动态，及时公开街道各类工作、业务动态等；二是加强政务新媒体建设。在“智慧广外”微信公众号开辟“信息公开”、“线上参与”等栏目，进一步畅通街道与地区居民间的交流沟通渠道，全年共发布信息1158篇。</w:t>
      </w:r>
    </w:p>
    <w:p w14:paraId="550E78DA">
      <w:pPr>
        <w:keepNext w:val="0"/>
        <w:keepLines w:val="0"/>
        <w:pageBreakBefore w:val="0"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  <w:shd w:val="clear" w:fill="auto"/>
          <w:lang w:val="en-US" w:eastAsia="zh-CN" w:bidi="ar-SA"/>
        </w:rPr>
        <w:t>6.政府信息公开监督保障及教育培训情况。组织街道各部门学习《中华人民共和国政府信息公开条例》，进一步提升政务公开工作规范性，切实提高工作人员业务能力、政策水平。</w:t>
      </w:r>
    </w:p>
    <w:p w14:paraId="36B71667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shd w:val="clear" w:fill="D9D9D9"/>
          <w:lang w:val="en-US" w:eastAsia="zh-CN" w:bidi="ar-SA"/>
        </w:rPr>
      </w:pPr>
      <w:r>
        <w:rPr>
          <w:rFonts w:ascii="黑体" w:hAnsi="黑体" w:eastAsia="黑体" w:cs="黑体"/>
          <w:kern w:val="2"/>
          <w:sz w:val="32"/>
          <w:szCs w:val="32"/>
          <w:shd w:val="clear" w:fill="auto"/>
          <w:lang w:val="en-US" w:eastAsia="zh-CN" w:bidi="ar-SA"/>
        </w:rPr>
        <w:t>二、主动公开政府信息情况</w:t>
      </w:r>
    </w:p>
    <w:tbl>
      <w:tblPr>
        <w:tblStyle w:val="8"/>
        <w:tblW w:w="9740" w:type="dxa"/>
        <w:jc w:val="center"/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5"/>
        <w:gridCol w:w="2435"/>
        <w:gridCol w:w="2435"/>
        <w:gridCol w:w="2434"/>
      </w:tblGrid>
      <w:tr w14:paraId="75654A04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567D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第二十条第（一）项</w:t>
            </w:r>
          </w:p>
        </w:tc>
      </w:tr>
      <w:tr w14:paraId="1888356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7F17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94D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024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1AF8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现行有效件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数</w:t>
            </w:r>
          </w:p>
        </w:tc>
      </w:tr>
      <w:tr w14:paraId="2520CF03">
        <w:trPr>
          <w:trHeight w:val="278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37E5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D8FF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1DF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EB26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20C58C6A"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E20A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BAD9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7C28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F93B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3227FB17"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64D2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D9D9D9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第二十条第（五）项</w:t>
            </w:r>
          </w:p>
        </w:tc>
      </w:tr>
      <w:tr w14:paraId="7D55AFB1"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F15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6C8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本年处理决定数量</w:t>
            </w:r>
          </w:p>
        </w:tc>
      </w:tr>
      <w:tr w14:paraId="7B9FEEB1">
        <w:trPr>
          <w:trHeight w:val="393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63D7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D9D9D9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3C11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D9D9D9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346B187B"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734B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第二十条第（六）项</w:t>
            </w:r>
          </w:p>
        </w:tc>
      </w:tr>
      <w:tr w14:paraId="432286F4">
        <w:trPr>
          <w:trHeight w:val="35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1EF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448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本年处理决定数量</w:t>
            </w:r>
          </w:p>
        </w:tc>
      </w:tr>
      <w:tr w14:paraId="3EC85881">
        <w:trPr>
          <w:trHeight w:val="371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87BFC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highlight w:val="none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81DA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216</w:t>
            </w:r>
          </w:p>
        </w:tc>
      </w:tr>
      <w:tr w14:paraId="42408EF8">
        <w:trPr>
          <w:trHeight w:val="383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1D17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highlight w:val="none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D82C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419CAC39"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0A60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第二十条第（八）项</w:t>
            </w:r>
          </w:p>
        </w:tc>
      </w:tr>
      <w:tr w14:paraId="66A60215"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E3B2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3874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本年收费金额（单位：万元）</w:t>
            </w:r>
          </w:p>
        </w:tc>
      </w:tr>
      <w:tr w14:paraId="71544220">
        <w:trPr>
          <w:trHeight w:val="372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A476C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D9D9D9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0E4A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</w:tbl>
    <w:p w14:paraId="62DC3946">
      <w:pPr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/>
        <w:spacing w:line="560" w:lineRule="exact"/>
        <w:ind w:left="0" w:firstLine="640"/>
        <w:jc w:val="both"/>
        <w:textAlignment w:val="auto"/>
        <w:rPr>
          <w:rFonts w:ascii="宋体" w:hAnsi="宋体" w:eastAsia="宋体" w:cs="宋体"/>
          <w:i w:val="0"/>
          <w:caps w:val="0"/>
          <w:smallCaps w:val="0"/>
          <w:color w:val="333333"/>
          <w:spacing w:val="0"/>
          <w:kern w:val="2"/>
          <w:sz w:val="24"/>
          <w:szCs w:val="24"/>
          <w:shd w:val="clear" w:fill="D9D9D9"/>
          <w:lang w:val="en-US" w:eastAsia="zh-CN" w:bidi="ar-SA"/>
        </w:rPr>
      </w:pPr>
      <w:r>
        <w:rPr>
          <w:rFonts w:ascii="黑体" w:hAnsi="黑体" w:eastAsia="黑体" w:cs="黑体"/>
          <w:kern w:val="2"/>
          <w:sz w:val="32"/>
          <w:szCs w:val="32"/>
          <w:shd w:val="clear" w:fill="auto"/>
          <w:lang w:val="en-US" w:eastAsia="zh-CN" w:bidi="ar-SA"/>
        </w:rPr>
        <w:t>三、收到和处理政府信息公开申请情况</w:t>
      </w:r>
    </w:p>
    <w:tbl>
      <w:tblPr>
        <w:tblStyle w:val="8"/>
        <w:tblW w:w="974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888FCFA">
        <w:tblPrEx>
          <w:shd w:val="clear" w:color="auto" w:fill="auto"/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06BFB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shd w:val="clear" w:fill="auto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E309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申请人情况</w:t>
            </w:r>
          </w:p>
        </w:tc>
      </w:tr>
      <w:tr w14:paraId="58A876A8">
        <w:tblPrEx>
          <w:shd w:val="clear" w:color="auto" w:fill="auto"/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7887A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8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644E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6DA4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3115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总计</w:t>
            </w:r>
          </w:p>
        </w:tc>
      </w:tr>
      <w:tr w14:paraId="45EFE9CE">
        <w:tblPrEx>
          <w:shd w:val="clear" w:color="auto" w:fill="auto"/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98445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8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C0973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E861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商业</w:t>
            </w:r>
          </w:p>
          <w:p w14:paraId="7F150A4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A310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科研</w:t>
            </w:r>
          </w:p>
          <w:p w14:paraId="572A35A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7463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7C43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9D47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8AE93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</w:tr>
      <w:tr w14:paraId="24657FA5">
        <w:tblPrEx>
          <w:shd w:val="clear" w:color="auto" w:fill="auto"/>
        </w:tblPrEx>
        <w:trPr>
          <w:jc w:val="center"/>
        </w:trPr>
        <w:tc>
          <w:tcPr>
            <w:tcW w:w="4930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D50FB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BF72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B7D8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8BA8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3CF7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AC31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7BA8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BFBE5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6</w:t>
            </w:r>
          </w:p>
        </w:tc>
      </w:tr>
      <w:tr w14:paraId="7BB66A75">
        <w:tblPrEx>
          <w:shd w:val="clear" w:color="auto" w:fill="auto"/>
        </w:tblPrEx>
        <w:trPr>
          <w:jc w:val="center"/>
        </w:trPr>
        <w:tc>
          <w:tcPr>
            <w:tcW w:w="4930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98C7C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360E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98A0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F162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DBB1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58CE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AB8D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FE11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60F699B1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restart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D50CF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D9D9D9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1D983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F068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2CC2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85ED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DF35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AEF2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67A7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71E5D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3</w:t>
            </w:r>
          </w:p>
        </w:tc>
      </w:tr>
      <w:tr w14:paraId="40E93BEF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10C1B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416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8729D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shd w:val="clear" w:fill="auto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F7A0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2BD2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1DB9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C44E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3808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35C7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D0B6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</w:tr>
      <w:tr w14:paraId="607FAF7D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B7F3A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restart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DD068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6671B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属于国家秘密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991A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3368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C739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B1CE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1D4F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9D62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1E36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0AE6FC5C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E789D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6ED46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28207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其他法律行政法规禁止公开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AF96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A2E9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7E7B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B2AF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4625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AC8E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1E6A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7BB11390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ACE5D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46B9B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673C9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危及“三安全一稳定”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344E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CE52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5135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B5B8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01F6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DDD0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F9ED5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66157D50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BC736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56576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3D40A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保护第三方合法权益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7471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E13D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F0EA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D1FF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A162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D028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9A9D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4D2412BB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7E1B6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F8258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0366F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属于三类内部事务信息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8BA0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BC5A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BFEF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2F30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12FA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C9F0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B2124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13390938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2B722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08475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1B0702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属于四类过程性信息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7AEE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87A4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9139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A101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6DEF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9826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DE0A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1EE88C1C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CF306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F9CC7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BA392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属于行政执法案卷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32B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D160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F0DC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51FD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D32A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D5D8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5D38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59BE6A94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4E778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35A52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8964C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属于行政查询事项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BA60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8339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C433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ACE1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ADB2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40FF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5EBE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0EF3E802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DEB28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restart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BE57E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FCAF6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本机关不掌握相关政府信息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0E22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3319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2445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4D49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C1B0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6BE5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F16C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</w:tr>
      <w:tr w14:paraId="3953CBCC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50590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888A1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262DE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没有现成信息需要另行制作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57E2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6624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2FE5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C548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C12C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46E3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FCCB6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4CDC8694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32990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E30F2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BBD64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补正后申请内容仍不明确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25A3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037B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B0D9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2D59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D3AC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A192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35882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69405565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20408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restart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3AF6A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EB354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信访举报投诉类申请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F3CC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65D7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844F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6F79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1377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1B24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C0172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10484BE4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6E251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43D22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6B2408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重复申请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2D03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494C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6CE9D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AEE7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E872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5EAC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F69E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2D2AC9B7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4B25B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CBB1C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89938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要求提供公开出版物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7F7C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D6AD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C415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2A69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6483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9CE0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FF81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2289C5F6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CE875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1EB73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240405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无正当理由大量反复申请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6638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5B36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2EB8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3269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5F3D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85CB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41A4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30310D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5ADE9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5698F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ADF2B">
            <w:pPr>
              <w:widowControl w:val="0"/>
              <w:spacing w:before="0" w:beforeAutospacing="0" w:after="0" w:afterAutospacing="0"/>
              <w:ind w:left="0" w:right="0" w:firstLine="0"/>
              <w:jc w:val="both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2F11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FB56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3202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3EAA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CF72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57A9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0466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63EBE121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27586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restart"/>
            <w:tcBorders>
              <w:top w:val="outset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29B9E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15657">
            <w:pPr>
              <w:widowControl w:val="0"/>
              <w:spacing w:before="0" w:beforeAutospacing="0" w:after="0" w:afterAutospacing="0"/>
              <w:ind w:left="0" w:right="0" w:firstLine="0"/>
              <w:jc w:val="both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D60F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F9E7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1267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AEED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A321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468B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40FD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308B0673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4E655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top w:val="outset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ACAFC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35928">
            <w:pPr>
              <w:widowControl w:val="0"/>
              <w:spacing w:before="0" w:beforeAutospacing="0" w:after="0" w:afterAutospacing="0"/>
              <w:ind w:left="0" w:right="0" w:firstLine="0"/>
              <w:jc w:val="both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7A06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C504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9528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8D22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C310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593F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8D0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783B588F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49C8E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943" w:type="dxa"/>
            <w:vMerge w:val="continue"/>
            <w:tcBorders>
              <w:top w:val="outset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61D68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584EB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其他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E1D4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245A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82DF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A21D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83C0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062E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CC06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</w:tr>
      <w:tr w14:paraId="15EE32B5">
        <w:tblPrEx>
          <w:shd w:val="clear" w:color="auto" w:fill="auto"/>
        </w:tblPrEx>
        <w:trPr>
          <w:jc w:val="center"/>
        </w:trPr>
        <w:tc>
          <w:tcPr>
            <w:tcW w:w="767" w:type="dxa"/>
            <w:vMerge w:val="continue"/>
            <w:tcBorders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8717D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D9D9D9"/>
              </w:rPr>
            </w:pPr>
          </w:p>
        </w:tc>
        <w:tc>
          <w:tcPr>
            <w:tcW w:w="416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24B1F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AE24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6E19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C6CD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4167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7D16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44CB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D2B2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5</w:t>
            </w:r>
          </w:p>
        </w:tc>
      </w:tr>
      <w:tr w14:paraId="43E1F1C6">
        <w:tblPrEx>
          <w:shd w:val="clear" w:color="auto" w:fill="auto"/>
        </w:tblPrEx>
        <w:trPr>
          <w:jc w:val="center"/>
        </w:trPr>
        <w:tc>
          <w:tcPr>
            <w:tcW w:w="4930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266BB">
            <w:pPr>
              <w:widowControl w:val="0"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F2C76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81C24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470A12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C8412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12B9E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B177C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cs="Times New Roman"/>
                <w:szCs w:val="21"/>
                <w:shd w:val="clear" w:fill="auto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93E26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fill="auto"/>
                <w:lang w:val="en-US" w:eastAsia="zh-CN"/>
              </w:rPr>
              <w:t>1</w:t>
            </w:r>
          </w:p>
        </w:tc>
      </w:tr>
    </w:tbl>
    <w:p w14:paraId="4EA13F27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40"/>
        <w:textAlignment w:val="auto"/>
        <w:rPr>
          <w:rFonts w:ascii="Times New Roman" w:hAnsi="Times New Roman" w:eastAsia="宋体" w:cs="Times New Roman"/>
          <w:szCs w:val="21"/>
          <w:shd w:val="clear" w:fill="D9D9D9"/>
        </w:rPr>
      </w:pPr>
      <w:r>
        <w:rPr>
          <w:rFonts w:ascii="黑体" w:hAnsi="黑体" w:eastAsia="黑体" w:cs="黑体"/>
          <w:sz w:val="32"/>
          <w:szCs w:val="32"/>
          <w:shd w:val="clear" w:fill="auto"/>
        </w:rPr>
        <w:t>四、政府信息公开行政复议、行政诉讼情况</w:t>
      </w:r>
    </w:p>
    <w:tbl>
      <w:tblPr>
        <w:tblStyle w:val="8"/>
        <w:tblW w:w="974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8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2"/>
      </w:tblGrid>
      <w:tr w14:paraId="458B06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2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7D2CF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行政复议</w:t>
            </w:r>
          </w:p>
        </w:tc>
        <w:tc>
          <w:tcPr>
            <w:tcW w:w="650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23D4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行政诉讼</w:t>
            </w:r>
          </w:p>
        </w:tc>
      </w:tr>
      <w:tr w14:paraId="2FA5E96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2D23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结果维持</w:t>
            </w:r>
          </w:p>
        </w:tc>
        <w:tc>
          <w:tcPr>
            <w:tcW w:w="648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B640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D094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6F5B9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C91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EB97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未经复议直接起诉</w:t>
            </w:r>
          </w:p>
        </w:tc>
        <w:tc>
          <w:tcPr>
            <w:tcW w:w="32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9B05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复议后起诉</w:t>
            </w:r>
          </w:p>
        </w:tc>
      </w:tr>
      <w:tr w14:paraId="0E4708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FFC34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664AB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9F0F7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0DB77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C50DD">
            <w:pPr>
              <w:widowControl w:val="0"/>
              <w:spacing w:before="0" w:after="0"/>
              <w:rPr>
                <w:rFonts w:ascii="宋体" w:hAnsi="宋体" w:eastAsia="宋体" w:cs="Times New Roman"/>
                <w:sz w:val="24"/>
                <w:szCs w:val="24"/>
                <w:shd w:val="clear" w:fill="auto"/>
              </w:rPr>
            </w:pP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F192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1F5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A893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ECF9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336D6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3D400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4AA5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1FF1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14D8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shd w:val="clear" w:fill="auto"/>
                <w:lang w:val="en-US" w:eastAsia="zh-CN"/>
              </w:rPr>
              <w:t>审结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63E25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Cs w:val="21"/>
                <w:shd w:val="clear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fill="auto"/>
                <w:lang w:val="en-US" w:eastAsia="zh-CN"/>
              </w:rPr>
              <w:t>总计</w:t>
            </w:r>
          </w:p>
        </w:tc>
      </w:tr>
      <w:tr w14:paraId="405A27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BA43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D1FB8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197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FF9B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BDA0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F08C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AEB1E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7379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7C73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F5AF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89667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0C0A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AB44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24C1">
            <w:pPr>
              <w:widowControl w:val="0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5E67">
            <w:pPr>
              <w:widowControl w:val="0"/>
              <w:spacing w:before="0" w:after="0"/>
              <w:jc w:val="center"/>
              <w:rPr>
                <w:rFonts w:ascii="宋体" w:hAnsi="宋体" w:eastAsia="宋体" w:cs="Times New Roman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shd w:val="clear" w:fill="auto"/>
                <w:lang w:val="en-US" w:eastAsia="zh-CN"/>
              </w:rPr>
              <w:t>0</w:t>
            </w:r>
          </w:p>
        </w:tc>
      </w:tr>
    </w:tbl>
    <w:p w14:paraId="64346068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72"/>
        <w:jc w:val="left"/>
        <w:textAlignment w:val="auto"/>
        <w:rPr>
          <w:rFonts w:ascii="宋体" w:hAnsi="宋体" w:eastAsia="宋体" w:cs="宋体"/>
          <w:spacing w:val="8"/>
          <w:kern w:val="0"/>
          <w:sz w:val="32"/>
          <w:szCs w:val="32"/>
          <w:shd w:val="clear" w:fill="auto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shd w:val="clear" w:fill="auto"/>
        </w:rPr>
        <w:t>五、存在的主要问题及改进情况</w:t>
      </w:r>
    </w:p>
    <w:p w14:paraId="3FB1948B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72"/>
        <w:jc w:val="left"/>
        <w:textAlignment w:val="auto"/>
        <w:rPr>
          <w:rFonts w:ascii="仿宋_GB2312" w:hAnsi="仿宋_GB2312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宋体"/>
          <w:spacing w:val="8"/>
          <w:kern w:val="0"/>
          <w:sz w:val="32"/>
          <w:szCs w:val="32"/>
        </w:rPr>
        <w:t>存在的主要问题：一是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  <w:lang w:eastAsia="zh-CN"/>
        </w:rPr>
        <w:t>一些复杂信息的公开处理需进一步规范；二是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</w:rPr>
        <w:t>个别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  <w:lang w:eastAsia="zh-CN"/>
        </w:rPr>
        <w:t>信息产生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</w:rPr>
        <w:t>部门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  <w:lang w:eastAsia="zh-CN"/>
        </w:rPr>
        <w:t>对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ascii="仿宋_GB2312" w:hAnsi="仿宋_GB2312" w:eastAsia="仿宋_GB2312" w:cs="宋体"/>
          <w:spacing w:val="8"/>
          <w:kern w:val="0"/>
          <w:sz w:val="32"/>
          <w:szCs w:val="32"/>
          <w:lang w:eastAsia="zh-CN"/>
        </w:rPr>
        <w:t>不熟悉，对政府信息公开工作重要性认识不足，主动公开意识欠缺。</w:t>
      </w:r>
    </w:p>
    <w:p w14:paraId="4833AB78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672"/>
        <w:jc w:val="both"/>
        <w:textAlignment w:val="auto"/>
        <w:rPr>
          <w:rFonts w:ascii="仿宋_GB2312" w:hAnsi="仿宋_GB2312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改进情况：一是进一步优化信息公开流程，妥善处理复杂信息，严格按照规定程序进行处理；二是加强《中华人民共和国政府信息公开条例》的学习培训工作，进一步提高思想认识和业务能力。</w:t>
      </w:r>
    </w:p>
    <w:p w14:paraId="036BC48F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72"/>
        <w:jc w:val="left"/>
        <w:textAlignment w:val="auto"/>
        <w:rPr>
          <w:rFonts w:ascii="宋体" w:hAnsi="宋体" w:eastAsia="宋体" w:cs="宋体"/>
          <w:spacing w:val="8"/>
          <w:kern w:val="0"/>
          <w:sz w:val="32"/>
          <w:szCs w:val="32"/>
          <w:shd w:val="clear" w:fill="auto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shd w:val="clear" w:fill="auto"/>
        </w:rPr>
        <w:t>六、其他需要报告的事项</w:t>
      </w:r>
    </w:p>
    <w:p w14:paraId="07BD1101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72"/>
        <w:jc w:val="left"/>
        <w:textAlignment w:val="auto"/>
        <w:rPr>
          <w:rFonts w:ascii="仿宋_GB2312" w:hAnsi="仿宋_GB2312" w:eastAsia="宋体" w:cs="宋体"/>
          <w:color w:val="9BC2E6"/>
          <w:spacing w:val="8"/>
          <w:kern w:val="0"/>
          <w:sz w:val="32"/>
          <w:szCs w:val="32"/>
          <w:shd w:val="clear" w:fill="auto"/>
          <w:lang w:eastAsia="zh-CN"/>
        </w:rPr>
      </w:pPr>
      <w:r>
        <w:rPr>
          <w:rFonts w:ascii="仿宋_GB2312" w:hAnsi="仿宋_GB2312" w:eastAsia="仿宋_GB2312" w:cs="宋体"/>
          <w:spacing w:val="8"/>
          <w:kern w:val="0"/>
          <w:sz w:val="32"/>
          <w:szCs w:val="32"/>
          <w:shd w:val="clear" w:fill="auto"/>
          <w:lang w:eastAsia="zh-CN"/>
        </w:rPr>
        <w:t>依据《政府信息公开信息处理费管理办法》，本年度未产生信息处理费。</w:t>
      </w:r>
    </w:p>
    <w:p w14:paraId="6969DDDF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left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</w:rPr>
      </w:pPr>
      <w:r>
        <w:rPr>
          <w:rFonts w:ascii="仿宋_GB2312" w:hAnsi="仿宋_GB2312" w:eastAsia="仿宋_GB2312" w:cs="宋体"/>
          <w:spacing w:val="0"/>
          <w:kern w:val="0"/>
          <w:sz w:val="32"/>
          <w:szCs w:val="32"/>
        </w:rPr>
        <w:t>本报告所列数据的统计期限,自202</w:t>
      </w:r>
      <w:r>
        <w:rPr>
          <w:rFonts w:ascii="仿宋_GB2312" w:hAnsi="仿宋_GB2312" w:eastAsia="仿宋_GB2312" w:cs="宋体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宋体"/>
          <w:spacing w:val="0"/>
          <w:kern w:val="0"/>
          <w:sz w:val="32"/>
          <w:szCs w:val="32"/>
        </w:rPr>
        <w:t>年1月1日起至12月31日止。西城区门户网站地址</w:t>
      </w:r>
      <w:r>
        <w:rPr>
          <w:rFonts w:ascii="仿宋_GB2312" w:hAnsi="仿宋_GB2312" w:eastAsia="仿宋_GB2312" w:cs="宋体"/>
          <w:spacing w:val="0"/>
          <w:kern w:val="0"/>
          <w:sz w:val="32"/>
          <w:szCs w:val="32"/>
          <w:lang w:eastAsia="zh-CN"/>
        </w:rPr>
        <w:t>为</w:t>
      </w:r>
      <w:r>
        <w:rPr>
          <w:rFonts w:ascii="仿宋_GB2312" w:hAnsi="仿宋_GB2312" w:eastAsia="仿宋_GB2312" w:cs="宋体"/>
          <w:spacing w:val="-20"/>
          <w:kern w:val="0"/>
          <w:sz w:val="32"/>
          <w:szCs w:val="32"/>
        </w:rPr>
        <w:t>http://www.bjxch.gov.cn/，</w:t>
      </w:r>
      <w:r>
        <w:rPr>
          <w:rFonts w:ascii="仿宋_GB2312" w:hAnsi="仿宋_GB2312" w:eastAsia="仿宋_GB2312" w:cs="宋体"/>
          <w:spacing w:val="0"/>
          <w:kern w:val="0"/>
          <w:sz w:val="32"/>
          <w:szCs w:val="32"/>
        </w:rPr>
        <w:t>如需了解更多政府信息，请登录查询。</w:t>
      </w:r>
    </w:p>
    <w:p w14:paraId="0DCD9450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left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</w:rPr>
      </w:pPr>
    </w:p>
    <w:p w14:paraId="7F9D4F55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640"/>
        <w:jc w:val="left"/>
        <w:textAlignment w:val="auto"/>
        <w:rPr>
          <w:rFonts w:ascii="仿宋_GB2312" w:hAnsi="仿宋_GB2312" w:eastAsia="仿宋_GB2312" w:cs="宋体"/>
          <w:spacing w:val="0"/>
          <w:kern w:val="0"/>
          <w:sz w:val="32"/>
          <w:szCs w:val="32"/>
        </w:rPr>
      </w:pPr>
    </w:p>
    <w:p w14:paraId="53DFED59">
      <w:pPr>
        <w:keepNext w:val="0"/>
        <w:keepLines w:val="0"/>
        <w:pageBreakBefore w:val="0"/>
        <w:widowControl/>
        <w:overflowPunct w:val="0"/>
        <w:bidi w:val="0"/>
        <w:snapToGrid/>
        <w:spacing w:line="560" w:lineRule="exact"/>
        <w:ind w:firstLine="0"/>
        <w:jc w:val="right"/>
        <w:textAlignment w:val="auto"/>
        <w:rPr>
          <w:rFonts w:ascii="仿宋_GB2312" w:hAnsi="仿宋_GB2312" w:eastAsia="仿宋_GB2312" w:cs="宋体"/>
          <w:spacing w:val="8"/>
          <w:kern w:val="0"/>
          <w:sz w:val="32"/>
          <w:szCs w:val="32"/>
          <w:shd w:val="clear" w:fill="auto"/>
          <w:lang w:val="en-US" w:eastAsia="zh-CN"/>
        </w:rPr>
      </w:pPr>
      <w:r>
        <w:rPr>
          <w:rFonts w:ascii="仿宋_GB2312" w:hAnsi="仿宋_GB2312" w:eastAsia="仿宋_GB2312" w:cs="宋体"/>
          <w:spacing w:val="8"/>
          <w:kern w:val="0"/>
          <w:sz w:val="32"/>
          <w:szCs w:val="32"/>
          <w:shd w:val="clear" w:fill="auto"/>
          <w:lang w:val="en-US" w:eastAsia="zh-CN"/>
        </w:rPr>
        <w:t xml:space="preserve">广外街道办事处     </w:t>
      </w:r>
    </w:p>
    <w:p w14:paraId="3ECDB36D">
      <w:pPr>
        <w:keepNext w:val="0"/>
        <w:keepLines w:val="0"/>
        <w:pageBreakBefore w:val="0"/>
        <w:widowControl w:val="0"/>
        <w:overflowPunct w:val="0"/>
        <w:bidi w:val="0"/>
        <w:snapToGrid/>
        <w:spacing w:line="560" w:lineRule="exact"/>
        <w:ind w:firstLine="0"/>
        <w:jc w:val="right"/>
        <w:textAlignment w:val="auto"/>
        <w:rPr>
          <w:rFonts w:ascii="宋体" w:hAnsi="宋体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宋体"/>
          <w:spacing w:val="8"/>
          <w:kern w:val="0"/>
          <w:sz w:val="32"/>
          <w:szCs w:val="32"/>
          <w:shd w:val="clear" w:fill="auto"/>
          <w:lang w:val="en-US" w:eastAsia="zh-CN" w:bidi="ar-SA"/>
        </w:rPr>
        <w:t xml:space="preserve">2026年1月16日    </w:t>
      </w:r>
    </w:p>
    <w:p w14:paraId="6FD5286E"/>
    <w:sectPr>
      <w:footerReference r:id="rId4" w:type="default"/>
      <w:pgSz w:w="11906" w:h="16838"/>
      <w:pgMar w:top="2098" w:right="1474" w:bottom="1984" w:left="1587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roman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078E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9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A55A034">
                          <w:pPr>
                            <w:pStyle w:val="12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5.25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fuxYHSAAAABAEAAA8AAAAAAAAAAQAgAAAAIgAAAGRycy9k&#10;b3ducmV2LnhtbFBLAQIUABQAAAAIAIdO4kAUkSyEzwEAAJYDAAAOAAAAAAAAAAEAIAAAACE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5A034">
                    <w:pPr>
                      <w:pStyle w:val="12"/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5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EA6F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Noto Sans CJK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before="0" w:after="0"/>
      <w:jc w:val="both"/>
    </w:pPr>
    <w:rPr>
      <w:rFonts w:cs="Noto Sans CJK 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suppressAutoHyphens/>
      <w:bidi w:val="0"/>
      <w:spacing w:before="0" w:after="0"/>
      <w:jc w:val="both"/>
    </w:pPr>
    <w:rPr>
      <w:rFonts w:ascii="宋体" w:hAnsi="宋体" w:cs="Times New Roman" w:eastAsiaTheme="minorEastAsia"/>
      <w:color w:val="auto"/>
      <w:kern w:val="2"/>
      <w:sz w:val="21"/>
      <w:szCs w:val="21"/>
      <w:lang w:val="en-US" w:eastAsia="zh-CN" w:bidi="ar-SA"/>
    </w:r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6"/>
    <w:qFormat/>
    <w:uiPriority w:val="0"/>
  </w:style>
  <w:style w:type="paragraph" w:customStyle="1" w:styleId="6">
    <w:name w:val="Header and Footer"/>
    <w:basedOn w:val="1"/>
    <w:qFormat/>
    <w:uiPriority w:val="0"/>
  </w:style>
  <w:style w:type="paragraph" w:styleId="7">
    <w:name w:val="List"/>
    <w:basedOn w:val="4"/>
    <w:qFormat/>
    <w:uiPriority w:val="0"/>
  </w:style>
  <w:style w:type="paragraph" w:customStyle="1" w:styleId="10">
    <w:name w:val="Heading"/>
    <w:basedOn w:val="1"/>
    <w:next w:val="4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2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1998</Words>
  <Characters>2067</Characters>
  <Paragraphs>302</Paragraphs>
  <TotalTime>34</TotalTime>
  <ScaleCrop>false</ScaleCrop>
  <LinksUpToDate>false</LinksUpToDate>
  <CharactersWithSpaces>2112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2026-01-21T13:51:00Z</dcterms:created>
  <dc:creator>Administrator</dc:creator>
  <cp:lastModifiedBy>gwjd</cp:lastModifiedBy>
  <dcterms:modified xsi:type="dcterms:W3CDTF">2026-01-21T17:08:28Z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970FEAC58C3D4F79BD9C5E0BECDE29EC_11</vt:lpwstr>
  </property>
  <property fmtid="{D5CDD505-2E9C-101B-9397-08002B2CF9AE}" pid="3" name="KSOProductBuildVer">
    <vt:lpwstr>2052-12.8.2.1119</vt:lpwstr>
  </property>
</Properties>
</file>