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B9AB2">
      <w:pPr>
        <w:jc w:val="center"/>
        <w:rPr>
          <w:rFonts w:ascii="仿宋_GB2312" w:eastAsia="仿宋_GB2312"/>
          <w:b/>
          <w:sz w:val="32"/>
          <w:szCs w:val="32"/>
        </w:rPr>
      </w:pPr>
    </w:p>
    <w:p w14:paraId="2353BC6A">
      <w:pPr>
        <w:jc w:val="center"/>
        <w:rPr>
          <w:rFonts w:ascii="黑体" w:eastAsia="黑体"/>
          <w:sz w:val="72"/>
          <w:szCs w:val="72"/>
        </w:rPr>
      </w:pPr>
    </w:p>
    <w:p w14:paraId="1F4008FD">
      <w:pPr>
        <w:jc w:val="center"/>
        <w:rPr>
          <w:rFonts w:ascii="黑体" w:eastAsia="黑体"/>
          <w:sz w:val="72"/>
          <w:szCs w:val="72"/>
        </w:rPr>
      </w:pPr>
    </w:p>
    <w:p w14:paraId="013857B3">
      <w:pPr>
        <w:jc w:val="center"/>
        <w:rPr>
          <w:rFonts w:ascii="黑体" w:eastAsia="黑体"/>
          <w:sz w:val="72"/>
          <w:szCs w:val="72"/>
        </w:rPr>
      </w:pPr>
    </w:p>
    <w:p w14:paraId="34675403">
      <w:pPr>
        <w:jc w:val="center"/>
        <w:rPr>
          <w:rFonts w:ascii="黑体" w:eastAsia="黑体"/>
          <w:sz w:val="72"/>
          <w:szCs w:val="72"/>
        </w:rPr>
      </w:pPr>
    </w:p>
    <w:p w14:paraId="39117056">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1A37CEE4">
      <w:pPr>
        <w:jc w:val="center"/>
        <w:rPr>
          <w:rFonts w:ascii="黑体" w:eastAsia="黑体"/>
          <w:sz w:val="52"/>
          <w:szCs w:val="52"/>
        </w:rPr>
      </w:pPr>
    </w:p>
    <w:p w14:paraId="23F7CF12">
      <w:pPr>
        <w:jc w:val="center"/>
        <w:rPr>
          <w:rFonts w:ascii="黑体" w:eastAsia="黑体"/>
          <w:sz w:val="52"/>
          <w:szCs w:val="52"/>
        </w:rPr>
      </w:pPr>
    </w:p>
    <w:p w14:paraId="04714CCA">
      <w:pPr>
        <w:jc w:val="center"/>
        <w:rPr>
          <w:rFonts w:ascii="黑体" w:eastAsia="黑体"/>
          <w:sz w:val="52"/>
          <w:szCs w:val="52"/>
        </w:rPr>
      </w:pPr>
    </w:p>
    <w:p w14:paraId="15D4702D">
      <w:pPr>
        <w:jc w:val="center"/>
        <w:rPr>
          <w:rFonts w:ascii="黑体" w:eastAsia="黑体"/>
          <w:sz w:val="52"/>
          <w:szCs w:val="52"/>
        </w:rPr>
      </w:pPr>
    </w:p>
    <w:p w14:paraId="2D126E70">
      <w:pPr>
        <w:jc w:val="center"/>
        <w:rPr>
          <w:rFonts w:ascii="黑体" w:eastAsia="黑体"/>
          <w:sz w:val="32"/>
          <w:szCs w:val="32"/>
        </w:rPr>
      </w:pPr>
    </w:p>
    <w:p w14:paraId="13412F41">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BF980B1">
      <w:pPr>
        <w:spacing w:line="500" w:lineRule="exact"/>
        <w:ind w:firstLine="645"/>
        <w:jc w:val="center"/>
        <w:rPr>
          <w:rFonts w:ascii="宋体" w:hAnsi="宋体" w:cs="宋体"/>
          <w:b/>
          <w:bCs/>
          <w:kern w:val="0"/>
          <w:sz w:val="36"/>
          <w:szCs w:val="36"/>
        </w:rPr>
      </w:pPr>
    </w:p>
    <w:p w14:paraId="520A285F">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65506746">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0B5AD2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A7A2EB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5B6F06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C6BB70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9EE895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六、一般公共预算财政拨款基本支出决算表</w:t>
      </w:r>
    </w:p>
    <w:p w14:paraId="62CD878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七、政府性基金预算财政拨款收入支出决算表</w:t>
      </w:r>
    </w:p>
    <w:p w14:paraId="197D123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八、政府性基金预算财政拨款基本支出决算表</w:t>
      </w:r>
    </w:p>
    <w:p w14:paraId="05907DC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2DB43FD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80EA94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9CC193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2537A113">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7273C8D3">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5C0AC4B7">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2FD99931">
      <w:pPr>
        <w:tabs>
          <w:tab w:val="center" w:pos="6979"/>
        </w:tabs>
        <w:spacing w:before="156" w:beforeLines="50" w:after="156" w:afterLines="50"/>
        <w:jc w:val="center"/>
        <w:rPr>
          <w:rFonts w:ascii="宋体" w:hAnsi="宋体" w:cs="宋体"/>
          <w:b/>
          <w:bCs/>
          <w:spacing w:val="40"/>
          <w:kern w:val="0"/>
          <w:sz w:val="32"/>
          <w:szCs w:val="32"/>
        </w:rPr>
      </w:pPr>
    </w:p>
    <w:p w14:paraId="0BAA976E">
      <w:pPr>
        <w:tabs>
          <w:tab w:val="center" w:pos="6979"/>
        </w:tabs>
        <w:spacing w:before="156" w:beforeLines="50" w:after="156" w:afterLines="50"/>
        <w:jc w:val="center"/>
        <w:rPr>
          <w:rFonts w:ascii="宋体" w:hAnsi="宋体" w:cs="宋体"/>
          <w:b/>
          <w:bCs/>
          <w:spacing w:val="40"/>
          <w:kern w:val="0"/>
          <w:sz w:val="32"/>
          <w:szCs w:val="32"/>
        </w:rPr>
      </w:pPr>
    </w:p>
    <w:p w14:paraId="1D160903">
      <w:pPr>
        <w:tabs>
          <w:tab w:val="center" w:pos="6979"/>
        </w:tabs>
        <w:spacing w:before="156" w:beforeLines="50" w:after="156" w:afterLines="50"/>
        <w:jc w:val="center"/>
        <w:rPr>
          <w:rFonts w:ascii="宋体" w:hAnsi="宋体" w:cs="宋体"/>
          <w:b/>
          <w:bCs/>
          <w:spacing w:val="40"/>
          <w:kern w:val="0"/>
          <w:sz w:val="32"/>
          <w:szCs w:val="32"/>
        </w:rPr>
      </w:pPr>
    </w:p>
    <w:p w14:paraId="02F568B9">
      <w:pPr>
        <w:tabs>
          <w:tab w:val="center" w:pos="6979"/>
        </w:tabs>
        <w:spacing w:before="156" w:beforeLines="50" w:after="156" w:afterLines="50"/>
        <w:jc w:val="center"/>
        <w:rPr>
          <w:rFonts w:ascii="宋体" w:hAnsi="宋体" w:cs="宋体"/>
          <w:b/>
          <w:bCs/>
          <w:spacing w:val="40"/>
          <w:kern w:val="0"/>
          <w:sz w:val="32"/>
          <w:szCs w:val="32"/>
        </w:rPr>
      </w:pPr>
    </w:p>
    <w:p w14:paraId="20111CFC">
      <w:pPr>
        <w:tabs>
          <w:tab w:val="center" w:pos="6979"/>
        </w:tabs>
        <w:spacing w:before="156" w:beforeLines="50" w:after="156" w:afterLines="50"/>
        <w:jc w:val="center"/>
        <w:rPr>
          <w:rFonts w:ascii="宋体" w:hAnsi="宋体" w:cs="宋体"/>
          <w:b/>
          <w:bCs/>
          <w:spacing w:val="40"/>
          <w:kern w:val="0"/>
          <w:sz w:val="32"/>
          <w:szCs w:val="32"/>
        </w:rPr>
      </w:pPr>
    </w:p>
    <w:p w14:paraId="7F1E9F5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16891C78">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64B8D4F">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695B15D2">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798736F0">
      <w:pPr>
        <w:adjustRightInd w:val="0"/>
        <w:snapToGrid w:val="0"/>
        <w:spacing w:line="560" w:lineRule="exact"/>
        <w:ind w:firstLine="560" w:firstLineChars="200"/>
        <w:rPr>
          <w:rFonts w:ascii="仿宋_GB2312" w:eastAsia="仿宋_GB2312"/>
          <w:sz w:val="28"/>
          <w:szCs w:val="28"/>
        </w:rPr>
      </w:pPr>
      <w:bookmarkStart w:id="0" w:name="OLE_LINK2"/>
      <w:bookmarkStart w:id="1" w:name="OLE_LINK1"/>
      <w:r>
        <w:rPr>
          <w:rFonts w:hint="eastAsia" w:ascii="仿宋_GB2312" w:eastAsia="仿宋_GB2312"/>
          <w:sz w:val="28"/>
          <w:szCs w:val="28"/>
        </w:rPr>
        <w:t>我园成立于</w:t>
      </w:r>
      <w:r>
        <w:rPr>
          <w:rFonts w:ascii="仿宋_GB2312" w:eastAsia="仿宋_GB2312"/>
          <w:sz w:val="28"/>
          <w:szCs w:val="28"/>
        </w:rPr>
        <w:t>1949</w:t>
      </w:r>
      <w:r>
        <w:rPr>
          <w:rFonts w:hint="eastAsia" w:ascii="仿宋_GB2312" w:eastAsia="仿宋_GB2312"/>
          <w:sz w:val="28"/>
          <w:szCs w:val="28"/>
        </w:rPr>
        <w:t>年，幼儿园一园三址，分别为地安门西大街园址、后海北沿园址、什刹海学区学前教育活动中心（白米北巷园址）。</w:t>
      </w:r>
      <w:bookmarkStart w:id="39" w:name="_GoBack"/>
      <w:bookmarkEnd w:id="39"/>
      <w:r>
        <w:rPr>
          <w:rFonts w:hint="eastAsia" w:ascii="仿宋_GB2312" w:eastAsia="仿宋_GB2312"/>
          <w:sz w:val="28"/>
          <w:szCs w:val="28"/>
        </w:rPr>
        <w:t>主要职责</w:t>
      </w:r>
      <w:r>
        <w:rPr>
          <w:rFonts w:ascii="仿宋_GB2312" w:eastAsia="仿宋_GB2312"/>
          <w:sz w:val="28"/>
          <w:szCs w:val="28"/>
        </w:rPr>
        <w:t>:</w:t>
      </w:r>
      <w:r>
        <w:rPr>
          <w:rFonts w:hint="eastAsia" w:ascii="仿宋_GB2312" w:eastAsia="仿宋_GB2312"/>
          <w:sz w:val="28"/>
          <w:szCs w:val="28"/>
        </w:rPr>
        <w:t>为学龄前儿童提供保育和教育服务。坚持党对教育工作的全面引领，深化文化建设，以“立德树人”为根本任务，为党育人、为国育才，办人民满意的幼儿园。</w:t>
      </w:r>
      <w:bookmarkEnd w:id="0"/>
      <w:bookmarkEnd w:id="1"/>
    </w:p>
    <w:p w14:paraId="552F49B2">
      <w:pPr>
        <w:tabs>
          <w:tab w:val="left" w:pos="1680"/>
        </w:tabs>
        <w:snapToGrid w:val="0"/>
        <w:spacing w:before="100" w:beforeAutospacing="1" w:after="100" w:afterAutospacing="1" w:line="560" w:lineRule="exact"/>
        <w:ind w:firstLine="560" w:firstLineChars="200"/>
        <w:contextualSpacing/>
        <w:rPr>
          <w:rFonts w:hint="eastAsia" w:ascii="黑体" w:eastAsia="黑体"/>
          <w:b/>
          <w:sz w:val="28"/>
          <w:szCs w:val="28"/>
        </w:rPr>
      </w:pPr>
    </w:p>
    <w:p w14:paraId="6C3B3A32">
      <w:pPr>
        <w:tabs>
          <w:tab w:val="left" w:pos="1680"/>
        </w:tabs>
        <w:snapToGrid w:val="0"/>
        <w:spacing w:before="100" w:beforeAutospacing="1" w:after="100" w:afterAutospacing="1" w:line="560" w:lineRule="exact"/>
        <w:ind w:firstLine="560" w:firstLineChars="200"/>
        <w:contextualSpacing/>
        <w:rPr>
          <w:rFonts w:ascii="仿宋_GB2312" w:eastAsia="仿宋_GB2312"/>
          <w:sz w:val="28"/>
          <w:szCs w:val="28"/>
        </w:rPr>
      </w:pPr>
      <w:r>
        <w:rPr>
          <w:rFonts w:hint="eastAsia" w:ascii="黑体" w:eastAsia="黑体"/>
          <w:b/>
          <w:sz w:val="28"/>
          <w:szCs w:val="28"/>
        </w:rPr>
        <w:t>二、收入支出决算总体情况说明</w:t>
      </w:r>
    </w:p>
    <w:p w14:paraId="4F3A8D5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8253.28</w:t>
      </w:r>
      <w:r>
        <w:rPr>
          <w:rFonts w:hint="eastAsia" w:ascii="仿宋_GB2312" w:eastAsia="仿宋_GB2312"/>
          <w:sz w:val="28"/>
          <w:szCs w:val="28"/>
        </w:rPr>
        <w:t>万元，比上年增加491.14万元，增长</w:t>
      </w:r>
      <w:bookmarkStart w:id="2" w:name="OLE_LINK5"/>
      <w:r>
        <w:rPr>
          <w:rFonts w:hint="eastAsia" w:ascii="仿宋_GB2312" w:eastAsia="仿宋_GB2312"/>
          <w:sz w:val="28"/>
          <w:szCs w:val="28"/>
        </w:rPr>
        <w:t>6.33</w:t>
      </w:r>
      <w:r>
        <w:rPr>
          <w:rFonts w:ascii="仿宋_GB2312" w:eastAsia="仿宋_GB2312"/>
          <w:sz w:val="28"/>
          <w:szCs w:val="28"/>
        </w:rPr>
        <w:t>%</w:t>
      </w:r>
      <w:bookmarkEnd w:id="2"/>
      <w:r>
        <w:rPr>
          <w:rFonts w:hint="eastAsia" w:ascii="仿宋_GB2312" w:eastAsia="仿宋_GB2312"/>
          <w:sz w:val="28"/>
          <w:szCs w:val="28"/>
        </w:rPr>
        <w:t>。</w:t>
      </w:r>
    </w:p>
    <w:p w14:paraId="17946DD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C0B6B5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8253.28</w:t>
      </w:r>
      <w:r>
        <w:rPr>
          <w:rFonts w:hint="eastAsia" w:ascii="仿宋_GB2312" w:eastAsia="仿宋_GB2312"/>
          <w:sz w:val="28"/>
          <w:szCs w:val="28"/>
        </w:rPr>
        <w:t>万元，</w:t>
      </w:r>
      <w:r>
        <w:rPr>
          <w:rFonts w:ascii="仿宋_GB2312" w:eastAsia="仿宋_GB2312"/>
          <w:sz w:val="28"/>
          <w:szCs w:val="28"/>
        </w:rPr>
        <w:t>比上年增加</w:t>
      </w:r>
      <w:bookmarkStart w:id="3" w:name="OLE_LINK6"/>
      <w:r>
        <w:rPr>
          <w:rFonts w:hint="eastAsia" w:ascii="仿宋_GB2312" w:eastAsia="仿宋_GB2312"/>
          <w:sz w:val="28"/>
          <w:szCs w:val="28"/>
        </w:rPr>
        <w:t>493.53</w:t>
      </w:r>
      <w:bookmarkEnd w:id="3"/>
      <w:r>
        <w:rPr>
          <w:rFonts w:hint="eastAsia" w:ascii="仿宋_GB2312" w:eastAsia="仿宋_GB2312"/>
          <w:sz w:val="28"/>
          <w:szCs w:val="28"/>
        </w:rPr>
        <w:t>万元，增长</w:t>
      </w:r>
      <w:bookmarkStart w:id="4" w:name="OLE_LINK7"/>
      <w:bookmarkStart w:id="5" w:name="OLE_LINK8"/>
      <w:r>
        <w:rPr>
          <w:rFonts w:hint="eastAsia" w:ascii="仿宋_GB2312" w:eastAsia="仿宋_GB2312"/>
          <w:sz w:val="28"/>
          <w:szCs w:val="28"/>
        </w:rPr>
        <w:t>6.36%</w:t>
      </w:r>
      <w:bookmarkEnd w:id="4"/>
      <w:bookmarkEnd w:id="5"/>
      <w:r>
        <w:rPr>
          <w:rFonts w:hint="eastAsia" w:ascii="仿宋_GB2312" w:eastAsia="仿宋_GB2312"/>
          <w:sz w:val="28"/>
          <w:szCs w:val="28"/>
        </w:rPr>
        <w:t>。</w:t>
      </w:r>
    </w:p>
    <w:p w14:paraId="08E8F737">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8253.28</w:t>
      </w:r>
      <w:r>
        <w:rPr>
          <w:rFonts w:hint="eastAsia" w:ascii="仿宋_GB2312" w:eastAsia="仿宋_GB2312"/>
          <w:sz w:val="28"/>
          <w:szCs w:val="28"/>
        </w:rPr>
        <w:t>万元，占收入合计的100%。其中：一般公共预算财政拨款收入</w:t>
      </w:r>
      <w:r>
        <w:rPr>
          <w:rFonts w:ascii="仿宋_GB2312" w:eastAsia="仿宋_GB2312"/>
          <w:sz w:val="28"/>
          <w:szCs w:val="28"/>
        </w:rPr>
        <w:t>8253.28</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4930D2C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2BAB312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66F3D56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2656513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5B04CB6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6689AE5B">
      <w:pPr>
        <w:spacing w:line="560" w:lineRule="exact"/>
        <w:ind w:firstLine="640"/>
        <w:rPr>
          <w:rFonts w:ascii="仿宋_GB2312" w:eastAsia="仿宋_GB2312" w:cs="Droid Sans"/>
          <w:color w:val="000000"/>
          <w:sz w:val="32"/>
          <w:szCs w:val="32"/>
        </w:rPr>
      </w:pPr>
    </w:p>
    <w:p w14:paraId="5B0312A9">
      <w:pPr>
        <w:pStyle w:val="2"/>
        <w:jc w:val="center"/>
      </w:pPr>
      <w:r>
        <w:rPr>
          <w:rFonts w:hint="eastAsia" w:ascii="仿宋_GB2312" w:eastAsia="仿宋_GB2312"/>
          <w:color w:val="000000"/>
          <w:sz w:val="32"/>
        </w:rPr>
        <w:t>图1：收入决算</w:t>
      </w:r>
    </w:p>
    <w:p w14:paraId="7A8D42B2">
      <w:pPr>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F7205D3">
      <w:pPr>
        <w:tabs>
          <w:tab w:val="center" w:pos="6979"/>
        </w:tabs>
        <w:spacing w:line="580" w:lineRule="exact"/>
        <w:ind w:firstLine="570"/>
        <w:rPr>
          <w:rFonts w:ascii="仿宋_GB2312" w:eastAsia="仿宋_GB2312"/>
          <w:sz w:val="28"/>
          <w:szCs w:val="28"/>
        </w:rPr>
      </w:pPr>
    </w:p>
    <w:p w14:paraId="01629BE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517A92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8253.28</w:t>
      </w:r>
      <w:r>
        <w:rPr>
          <w:rFonts w:hint="eastAsia" w:ascii="仿宋_GB2312" w:eastAsia="仿宋_GB2312"/>
          <w:sz w:val="28"/>
          <w:szCs w:val="28"/>
        </w:rPr>
        <w:t>万元，</w:t>
      </w:r>
      <w:r>
        <w:rPr>
          <w:rFonts w:ascii="仿宋_GB2312" w:eastAsia="仿宋_GB2312"/>
          <w:sz w:val="28"/>
          <w:szCs w:val="28"/>
        </w:rPr>
        <w:t>比上年增加</w:t>
      </w:r>
      <w:bookmarkStart w:id="6" w:name="OLE_LINK13"/>
      <w:bookmarkStart w:id="7" w:name="OLE_LINK10"/>
      <w:bookmarkStart w:id="8" w:name="OLE_LINK9"/>
      <w:r>
        <w:rPr>
          <w:rFonts w:hint="eastAsia" w:ascii="仿宋_GB2312" w:eastAsia="仿宋_GB2312"/>
          <w:sz w:val="28"/>
          <w:szCs w:val="28"/>
        </w:rPr>
        <w:t>493.53</w:t>
      </w:r>
      <w:bookmarkEnd w:id="6"/>
      <w:r>
        <w:rPr>
          <w:rFonts w:hint="eastAsia" w:ascii="仿宋_GB2312" w:eastAsia="仿宋_GB2312"/>
          <w:sz w:val="28"/>
          <w:szCs w:val="28"/>
        </w:rPr>
        <w:t>万元</w:t>
      </w:r>
      <w:bookmarkEnd w:id="7"/>
      <w:bookmarkEnd w:id="8"/>
      <w:r>
        <w:rPr>
          <w:rFonts w:hint="eastAsia" w:ascii="仿宋_GB2312" w:eastAsia="仿宋_GB2312"/>
          <w:sz w:val="28"/>
          <w:szCs w:val="28"/>
        </w:rPr>
        <w:t>，增长6.36%，其中：基本支出</w:t>
      </w:r>
      <w:r>
        <w:rPr>
          <w:rFonts w:ascii="仿宋_GB2312" w:eastAsia="仿宋_GB2312"/>
          <w:sz w:val="28"/>
          <w:szCs w:val="28"/>
        </w:rPr>
        <w:t>7209.42</w:t>
      </w:r>
      <w:r>
        <w:rPr>
          <w:rFonts w:hint="eastAsia" w:ascii="仿宋_GB2312" w:eastAsia="仿宋_GB2312"/>
          <w:sz w:val="28"/>
          <w:szCs w:val="28"/>
        </w:rPr>
        <w:t>万元，占支出合计的87.35%；项目支出</w:t>
      </w:r>
      <w:r>
        <w:rPr>
          <w:rFonts w:ascii="仿宋_GB2312" w:eastAsia="仿宋_GB2312"/>
          <w:sz w:val="28"/>
          <w:szCs w:val="28"/>
        </w:rPr>
        <w:t>1043.86</w:t>
      </w:r>
      <w:r>
        <w:rPr>
          <w:rFonts w:hint="eastAsia" w:ascii="仿宋_GB2312" w:eastAsia="仿宋_GB2312"/>
          <w:sz w:val="28"/>
          <w:szCs w:val="28"/>
        </w:rPr>
        <w:t>万元，占支出合计的12.65%;上缴上级支出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47A408B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7DDD38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A583AF0">
      <w:pPr>
        <w:tabs>
          <w:tab w:val="center" w:pos="6979"/>
        </w:tabs>
        <w:spacing w:line="580" w:lineRule="exact"/>
        <w:ind w:firstLine="548" w:firstLineChars="196"/>
        <w:rPr>
          <w:rFonts w:ascii="黑体" w:eastAsia="黑体"/>
          <w:b/>
          <w:sz w:val="28"/>
          <w:szCs w:val="28"/>
        </w:rPr>
      </w:pPr>
    </w:p>
    <w:p w14:paraId="1D37F282">
      <w:pPr>
        <w:tabs>
          <w:tab w:val="center" w:pos="6979"/>
        </w:tabs>
        <w:spacing w:line="580" w:lineRule="exact"/>
        <w:ind w:firstLine="548" w:firstLineChars="196"/>
        <w:rPr>
          <w:rFonts w:ascii="黑体" w:eastAsia="黑体"/>
          <w:b/>
          <w:sz w:val="28"/>
          <w:szCs w:val="28"/>
        </w:rPr>
      </w:pPr>
    </w:p>
    <w:p w14:paraId="38BA919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53717B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8253.28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491.14万元，增长6.33%。</w:t>
      </w:r>
    </w:p>
    <w:p w14:paraId="0124D23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增减变动原因进行说明如下：1、新增选派雄安工作津贴；2、支付2014年10月后退休教师一次性补贴；3、增加了部门项目经费：净化直饮机、办公家具、儿童食堂灶台灭火设备、幼儿班级洗衣机、支持雄安新区“交钥匙”委托办学、托幼一体化、学校三址食堂洗碗机设备购置、保洁经费补充、设备更新设备购置经费。</w:t>
      </w:r>
    </w:p>
    <w:p w14:paraId="25022C8A">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7C94E5F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（一）一般公共预算财政拨款支出决算总体情况</w:t>
      </w:r>
    </w:p>
    <w:p w14:paraId="5E6ABF5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8253.28</w:t>
      </w:r>
      <w:r>
        <w:rPr>
          <w:rFonts w:hint="eastAsia" w:ascii="仿宋_GB2312" w:eastAsia="仿宋_GB2312"/>
          <w:sz w:val="28"/>
          <w:szCs w:val="28"/>
        </w:rPr>
        <w:t>万元，主要用于以下方面（按大类）：</w:t>
      </w:r>
    </w:p>
    <w:p w14:paraId="06827893">
      <w:pPr>
        <w:tabs>
          <w:tab w:val="center" w:pos="6979"/>
        </w:tabs>
        <w:spacing w:line="580" w:lineRule="exact"/>
        <w:ind w:firstLine="570"/>
        <w:rPr>
          <w:rFonts w:ascii="仿宋_GB2312" w:eastAsia="仿宋_GB2312"/>
          <w:sz w:val="28"/>
          <w:szCs w:val="28"/>
        </w:rPr>
      </w:pPr>
      <w:bookmarkStart w:id="9" w:name="OLE_LINK38"/>
      <w:bookmarkStart w:id="10" w:name="OLE_LINK39"/>
      <w:r>
        <w:rPr>
          <w:rFonts w:hint="eastAsia" w:ascii="仿宋_GB2312" w:eastAsia="仿宋_GB2312"/>
          <w:sz w:val="28"/>
          <w:szCs w:val="28"/>
        </w:rPr>
        <w:t>教育支出</w:t>
      </w:r>
      <w:bookmarkEnd w:id="9"/>
      <w:bookmarkEnd w:id="10"/>
      <w:r>
        <w:rPr>
          <w:rFonts w:hint="eastAsia" w:ascii="仿宋_GB2312" w:eastAsia="仿宋_GB2312"/>
          <w:sz w:val="28"/>
          <w:szCs w:val="28"/>
        </w:rPr>
        <w:t>5736.62万元，</w:t>
      </w:r>
      <w:bookmarkStart w:id="11" w:name="OLE_LINK24"/>
      <w:bookmarkStart w:id="12" w:name="OLE_LINK25"/>
      <w:r>
        <w:rPr>
          <w:rFonts w:hint="eastAsia" w:ascii="仿宋_GB2312" w:eastAsia="仿宋_GB2312"/>
          <w:sz w:val="28"/>
          <w:szCs w:val="28"/>
        </w:rPr>
        <w:t>占本年财政拨款支出</w:t>
      </w:r>
      <w:bookmarkEnd w:id="11"/>
      <w:bookmarkEnd w:id="12"/>
      <w:r>
        <w:rPr>
          <w:rFonts w:hint="eastAsia" w:ascii="仿宋_GB2312" w:eastAsia="仿宋_GB2312"/>
          <w:sz w:val="28"/>
          <w:szCs w:val="28"/>
        </w:rPr>
        <w:t>69.51%；</w:t>
      </w:r>
    </w:p>
    <w:p w14:paraId="132EB9A9">
      <w:pPr>
        <w:tabs>
          <w:tab w:val="center" w:pos="6979"/>
        </w:tabs>
        <w:spacing w:line="580" w:lineRule="exact"/>
        <w:ind w:firstLine="570"/>
        <w:rPr>
          <w:rFonts w:ascii="仿宋_GB2312" w:eastAsia="仿宋_GB2312"/>
          <w:sz w:val="28"/>
          <w:szCs w:val="28"/>
        </w:rPr>
      </w:pPr>
      <w:bookmarkStart w:id="13" w:name="OLE_LINK48"/>
      <w:bookmarkStart w:id="14" w:name="OLE_LINK49"/>
      <w:r>
        <w:rPr>
          <w:rFonts w:hint="eastAsia" w:ascii="仿宋_GB2312" w:eastAsia="仿宋_GB2312"/>
          <w:sz w:val="28"/>
          <w:szCs w:val="28"/>
        </w:rPr>
        <w:t>社会保障和就业支出</w:t>
      </w:r>
      <w:bookmarkEnd w:id="13"/>
      <w:bookmarkEnd w:id="14"/>
      <w:bookmarkStart w:id="15" w:name="OLE_LINK50"/>
      <w:bookmarkStart w:id="16" w:name="OLE_LINK51"/>
      <w:bookmarkStart w:id="17" w:name="OLE_LINK53"/>
      <w:r>
        <w:rPr>
          <w:rFonts w:hint="eastAsia" w:ascii="仿宋_GB2312" w:eastAsia="仿宋_GB2312"/>
          <w:sz w:val="28"/>
          <w:szCs w:val="28"/>
        </w:rPr>
        <w:t>1095.82</w:t>
      </w:r>
      <w:bookmarkEnd w:id="15"/>
      <w:bookmarkEnd w:id="16"/>
      <w:bookmarkEnd w:id="17"/>
      <w:r>
        <w:rPr>
          <w:rFonts w:hint="eastAsia" w:ascii="仿宋_GB2312" w:eastAsia="仿宋_GB2312"/>
          <w:sz w:val="28"/>
          <w:szCs w:val="28"/>
        </w:rPr>
        <w:t>万元，</w:t>
      </w:r>
      <w:bookmarkStart w:id="18" w:name="OLE_LINK30"/>
      <w:r>
        <w:rPr>
          <w:rFonts w:hint="eastAsia" w:ascii="仿宋_GB2312" w:eastAsia="仿宋_GB2312"/>
          <w:sz w:val="28"/>
          <w:szCs w:val="28"/>
        </w:rPr>
        <w:t>占本年财政拨款支出</w:t>
      </w:r>
      <w:bookmarkEnd w:id="18"/>
      <w:r>
        <w:rPr>
          <w:rFonts w:hint="eastAsia" w:ascii="仿宋_GB2312" w:eastAsia="仿宋_GB2312"/>
          <w:sz w:val="28"/>
          <w:szCs w:val="28"/>
        </w:rPr>
        <w:t>13.28%；</w:t>
      </w:r>
    </w:p>
    <w:p w14:paraId="6C96DD6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卫生健康支出473.61万元，</w:t>
      </w:r>
      <w:bookmarkStart w:id="19" w:name="OLE_LINK37"/>
      <w:r>
        <w:rPr>
          <w:rFonts w:hint="eastAsia" w:ascii="仿宋_GB2312" w:eastAsia="仿宋_GB2312"/>
          <w:sz w:val="28"/>
          <w:szCs w:val="28"/>
        </w:rPr>
        <w:t>占本年财政拨款支出</w:t>
      </w:r>
      <w:bookmarkEnd w:id="19"/>
      <w:r>
        <w:rPr>
          <w:rFonts w:hint="eastAsia" w:ascii="仿宋_GB2312" w:eastAsia="仿宋_GB2312"/>
          <w:sz w:val="28"/>
          <w:szCs w:val="28"/>
        </w:rPr>
        <w:t>5.74%；</w:t>
      </w:r>
    </w:p>
    <w:p w14:paraId="05D8F5B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住房保障支出947.23万元，占本年财政拨款支出11.48%。</w:t>
      </w:r>
    </w:p>
    <w:p w14:paraId="0326BA3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（二）一般公共预算财政拨款支出决算具体情况</w:t>
      </w:r>
    </w:p>
    <w:p w14:paraId="47DCAFC3">
      <w:pPr>
        <w:tabs>
          <w:tab w:val="center" w:pos="6979"/>
        </w:tabs>
        <w:spacing w:line="580" w:lineRule="exact"/>
        <w:ind w:left="847" w:leftChars="270" w:hanging="280" w:hangingChars="100"/>
        <w:rPr>
          <w:rFonts w:hint="eastAsia" w:ascii="仿宋_GB2312" w:eastAsia="仿宋_GB2312"/>
          <w:sz w:val="28"/>
          <w:szCs w:val="28"/>
        </w:rPr>
      </w:pPr>
      <w:r>
        <w:rPr>
          <w:rFonts w:hint="eastAsia" w:ascii="仿宋_GB2312" w:eastAsia="仿宋_GB2312"/>
          <w:sz w:val="28"/>
          <w:szCs w:val="28"/>
        </w:rPr>
        <w:t>1、“教育支出”（类）</w:t>
      </w:r>
      <w:bookmarkStart w:id="20" w:name="OLE_LINK3"/>
      <w:r>
        <w:rPr>
          <w:rFonts w:hint="eastAsia" w:ascii="仿宋_GB2312" w:eastAsia="仿宋_GB2312"/>
          <w:sz w:val="28"/>
          <w:szCs w:val="28"/>
        </w:rPr>
        <w:t>2024年度年初预算4945.03万元，2024年度决算5736.62万元，完成年初预算的116.01%</w:t>
      </w:r>
      <w:bookmarkEnd w:id="20"/>
      <w:r>
        <w:rPr>
          <w:rFonts w:hint="eastAsia" w:ascii="仿宋_GB2312" w:eastAsia="仿宋_GB2312"/>
          <w:sz w:val="28"/>
          <w:szCs w:val="28"/>
        </w:rPr>
        <w:t>。</w:t>
      </w:r>
    </w:p>
    <w:p w14:paraId="38670EC6">
      <w:pPr>
        <w:tabs>
          <w:tab w:val="center" w:pos="6979"/>
        </w:tabs>
        <w:spacing w:line="580" w:lineRule="exact"/>
        <w:ind w:left="847" w:leftChars="270" w:hanging="280" w:hangingChars="100"/>
        <w:rPr>
          <w:rFonts w:hint="eastAsia" w:ascii="仿宋_GB2312" w:eastAsia="仿宋_GB2312"/>
          <w:sz w:val="28"/>
          <w:szCs w:val="28"/>
        </w:rPr>
      </w:pPr>
      <w:r>
        <w:rPr>
          <w:rFonts w:hint="eastAsia" w:ascii="仿宋_GB2312" w:eastAsia="仿宋_GB2312"/>
          <w:sz w:val="28"/>
          <w:szCs w:val="28"/>
        </w:rPr>
        <w:t>其中：</w:t>
      </w:r>
    </w:p>
    <w:p w14:paraId="038F7AF9">
      <w:pPr>
        <w:tabs>
          <w:tab w:val="center" w:pos="6979"/>
        </w:tabs>
        <w:spacing w:line="580" w:lineRule="exact"/>
        <w:ind w:left="847" w:leftChars="270" w:hanging="280" w:hangingChars="100"/>
        <w:rPr>
          <w:rFonts w:hint="eastAsia" w:ascii="仿宋_GB2312" w:eastAsia="仿宋_GB2312"/>
          <w:sz w:val="28"/>
          <w:szCs w:val="28"/>
        </w:rPr>
      </w:pPr>
      <w:r>
        <w:rPr>
          <w:rFonts w:hint="eastAsia" w:ascii="仿宋_GB2312" w:eastAsia="仿宋_GB2312"/>
          <w:sz w:val="28"/>
          <w:szCs w:val="28"/>
        </w:rPr>
        <w:t>“普通教育”</w:t>
      </w:r>
      <w:bookmarkStart w:id="21" w:name="OLE_LINK11"/>
      <w:bookmarkStart w:id="22" w:name="OLE_LINK12"/>
      <w:r>
        <w:rPr>
          <w:rFonts w:hint="eastAsia" w:ascii="仿宋_GB2312" w:eastAsia="仿宋_GB2312"/>
          <w:sz w:val="28"/>
          <w:szCs w:val="28"/>
        </w:rPr>
        <w:t>2024年度年初预算4930.95万元，2024年度决算5722.54万元，完成年初预算的116.05%。</w:t>
      </w:r>
      <w:bookmarkEnd w:id="21"/>
      <w:bookmarkEnd w:id="22"/>
    </w:p>
    <w:p w14:paraId="022E36B8">
      <w:pPr>
        <w:tabs>
          <w:tab w:val="center" w:pos="6979"/>
        </w:tabs>
        <w:spacing w:line="580" w:lineRule="exact"/>
        <w:ind w:firstLine="570"/>
        <w:rPr>
          <w:rFonts w:hint="eastAsia" w:ascii="仿宋_GB2312" w:eastAsia="仿宋_GB2312"/>
          <w:sz w:val="28"/>
          <w:szCs w:val="28"/>
        </w:rPr>
      </w:pPr>
    </w:p>
    <w:p w14:paraId="06B2540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主要原因：增长原因是追加人员绩效工资和项目经费。</w:t>
      </w:r>
    </w:p>
    <w:p w14:paraId="5B490E7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“进修及培训”</w:t>
      </w:r>
      <w:bookmarkStart w:id="23" w:name="OLE_LINK14"/>
      <w:bookmarkStart w:id="24" w:name="OLE_LINK15"/>
      <w:r>
        <w:rPr>
          <w:rFonts w:hint="eastAsia" w:ascii="仿宋_GB2312" w:eastAsia="仿宋_GB2312"/>
          <w:sz w:val="28"/>
          <w:szCs w:val="28"/>
        </w:rPr>
        <w:t>2024年度年初预算14.08万元，2024年度决算14.08万元，完成年初预算的100%。</w:t>
      </w:r>
      <w:bookmarkEnd w:id="23"/>
      <w:bookmarkEnd w:id="24"/>
    </w:p>
    <w:p w14:paraId="6F2D11B7">
      <w:pPr>
        <w:tabs>
          <w:tab w:val="center" w:pos="6979"/>
        </w:tabs>
        <w:spacing w:line="580" w:lineRule="exact"/>
        <w:ind w:firstLine="570"/>
        <w:rPr>
          <w:rFonts w:hint="eastAsia" w:ascii="仿宋_GB2312" w:eastAsia="仿宋_GB2312"/>
          <w:sz w:val="28"/>
          <w:szCs w:val="28"/>
        </w:rPr>
      </w:pPr>
      <w:bookmarkStart w:id="25" w:name="OLE_LINK55"/>
      <w:bookmarkStart w:id="26" w:name="OLE_LINK56"/>
      <w:r>
        <w:rPr>
          <w:rFonts w:hint="eastAsia" w:ascii="仿宋_GB2312" w:eastAsia="仿宋_GB2312"/>
          <w:sz w:val="28"/>
          <w:szCs w:val="28"/>
        </w:rPr>
        <w:t>2、</w:t>
      </w:r>
      <w:bookmarkEnd w:id="25"/>
      <w:bookmarkEnd w:id="26"/>
      <w:r>
        <w:rPr>
          <w:rFonts w:hint="eastAsia" w:ascii="仿宋_GB2312" w:eastAsia="仿宋_GB2312"/>
          <w:sz w:val="28"/>
          <w:szCs w:val="28"/>
        </w:rPr>
        <w:t>“社会保障和就业支出”(类)2024年度年初预算966.44万元，2024年度决算1095.82万元，完成年初预算的113.39%。</w:t>
      </w:r>
    </w:p>
    <w:p w14:paraId="0A0E0DB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其中：</w:t>
      </w:r>
    </w:p>
    <w:p w14:paraId="48B1756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“行政事业单位养老支出”</w:t>
      </w:r>
      <w:bookmarkStart w:id="27" w:name="OLE_LINK4"/>
      <w:bookmarkStart w:id="28" w:name="OLE_LINK19"/>
      <w:bookmarkStart w:id="29" w:name="OLE_LINK18"/>
      <w:r>
        <w:rPr>
          <w:rFonts w:hint="eastAsia" w:ascii="仿宋_GB2312" w:eastAsia="仿宋_GB2312"/>
          <w:sz w:val="28"/>
          <w:szCs w:val="28"/>
        </w:rPr>
        <w:t>2024年度年初预算966.44万元，2024年度决算1078.61万元，完成年初预算的111.61%</w:t>
      </w:r>
      <w:bookmarkEnd w:id="27"/>
      <w:r>
        <w:rPr>
          <w:rFonts w:hint="eastAsia" w:ascii="仿宋_GB2312" w:eastAsia="仿宋_GB2312"/>
          <w:sz w:val="28"/>
          <w:szCs w:val="28"/>
        </w:rPr>
        <w:t>。</w:t>
      </w:r>
      <w:bookmarkEnd w:id="28"/>
      <w:bookmarkEnd w:id="29"/>
      <w:r>
        <w:rPr>
          <w:rFonts w:hint="eastAsia" w:ascii="仿宋_GB2312" w:eastAsia="仿宋_GB2312"/>
          <w:sz w:val="28"/>
          <w:szCs w:val="28"/>
        </w:rPr>
        <w:t>主要原因：1.支付2014年10月后退休教师一次性补贴。2.机关事业单位基本养老保险缴费支出及机关事业单位职业年金缴费支出比预算减少（原因是财政预算核定基数与社保核定基数要求口径不一致造成），减少部分已由财政收回。</w:t>
      </w:r>
    </w:p>
    <w:p w14:paraId="6404F22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“抚恤”</w:t>
      </w:r>
      <w:bookmarkStart w:id="30" w:name="OLE_LINK20"/>
      <w:bookmarkStart w:id="31" w:name="OLE_LINK21"/>
      <w:r>
        <w:rPr>
          <w:rFonts w:hint="eastAsia" w:ascii="仿宋_GB2312" w:eastAsia="仿宋_GB2312"/>
          <w:sz w:val="28"/>
          <w:szCs w:val="28"/>
        </w:rPr>
        <w:t>2024年度年初预算0万元，2024年度决算17.22万元，完成年初预算的1722%</w:t>
      </w:r>
      <w:bookmarkEnd w:id="30"/>
      <w:bookmarkEnd w:id="31"/>
      <w:r>
        <w:rPr>
          <w:rFonts w:hint="eastAsia" w:ascii="仿宋_GB2312" w:eastAsia="仿宋_GB2312"/>
          <w:sz w:val="28"/>
          <w:szCs w:val="28"/>
        </w:rPr>
        <w:t>。</w:t>
      </w:r>
    </w:p>
    <w:p w14:paraId="71ADA3C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主要原因：追加2</w:t>
      </w:r>
      <w:r>
        <w:rPr>
          <w:rFonts w:ascii="仿宋_GB2312" w:eastAsia="仿宋_GB2312"/>
          <w:sz w:val="28"/>
          <w:szCs w:val="28"/>
        </w:rPr>
        <w:t>02</w:t>
      </w:r>
      <w:r>
        <w:rPr>
          <w:rFonts w:hint="eastAsia" w:ascii="仿宋_GB2312" w:eastAsia="仿宋_GB2312"/>
          <w:sz w:val="28"/>
          <w:szCs w:val="28"/>
        </w:rPr>
        <w:t>4</w:t>
      </w:r>
      <w:bookmarkStart w:id="32" w:name="OLE_LINK46"/>
      <w:bookmarkStart w:id="33" w:name="OLE_LINK47"/>
      <w:r>
        <w:rPr>
          <w:rFonts w:hint="eastAsia" w:ascii="仿宋_GB2312" w:eastAsia="仿宋_GB2312"/>
          <w:sz w:val="28"/>
          <w:szCs w:val="28"/>
        </w:rPr>
        <w:t>年退休去世一人抚恤金及丧葬费。</w:t>
      </w:r>
    </w:p>
    <w:p w14:paraId="3D15982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3、“卫生健康支出”(类)</w:t>
      </w:r>
      <w:bookmarkStart w:id="34" w:name="OLE_LINK22"/>
      <w:bookmarkStart w:id="35" w:name="OLE_LINK23"/>
      <w:r>
        <w:rPr>
          <w:rFonts w:hint="eastAsia" w:ascii="仿宋_GB2312" w:eastAsia="仿宋_GB2312"/>
          <w:sz w:val="28"/>
          <w:szCs w:val="28"/>
        </w:rPr>
        <w:t>2024年度年初预算458.98万元，2024年度决算473.61万元，完成年初预算的103.19%</w:t>
      </w:r>
      <w:bookmarkEnd w:id="34"/>
      <w:bookmarkEnd w:id="35"/>
      <w:r>
        <w:rPr>
          <w:rFonts w:hint="eastAsia" w:ascii="仿宋_GB2312" w:eastAsia="仿宋_GB2312"/>
          <w:sz w:val="28"/>
          <w:szCs w:val="28"/>
        </w:rPr>
        <w:t>。</w:t>
      </w:r>
    </w:p>
    <w:p w14:paraId="5E7C75F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w:t>
      </w:r>
    </w:p>
    <w:p w14:paraId="7715535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w:t>
      </w:r>
      <w:bookmarkStart w:id="36" w:name="OLE_LINK26"/>
      <w:bookmarkStart w:id="37" w:name="OLE_LINK27"/>
      <w:r>
        <w:rPr>
          <w:rFonts w:hint="eastAsia" w:ascii="仿宋_GB2312" w:eastAsia="仿宋_GB2312"/>
          <w:sz w:val="28"/>
          <w:szCs w:val="28"/>
        </w:rPr>
        <w:t>2024年度年初预算458.98万元，2024年度决算473.61万元，完成年初预算的103.19%。</w:t>
      </w:r>
      <w:bookmarkEnd w:id="36"/>
      <w:bookmarkEnd w:id="37"/>
    </w:p>
    <w:p w14:paraId="0A33D7E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主要原因：财政预算核定基数与医保核定基数口径不一致造成，不足部分已由财政追加经费。</w:t>
      </w:r>
    </w:p>
    <w:bookmarkEnd w:id="32"/>
    <w:bookmarkEnd w:id="33"/>
    <w:p w14:paraId="21CAF97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4、“住房改革支出”（款）</w:t>
      </w:r>
      <w:bookmarkStart w:id="38" w:name="OLE_LINK28"/>
      <w:r>
        <w:rPr>
          <w:rFonts w:hint="eastAsia" w:ascii="仿宋_GB2312" w:eastAsia="仿宋_GB2312"/>
          <w:sz w:val="28"/>
          <w:szCs w:val="28"/>
        </w:rPr>
        <w:t>2024年度年初预算898.09万元，2024年度决算947.23万元，完成年初预算的105.47%。</w:t>
      </w:r>
      <w:bookmarkEnd w:id="38"/>
    </w:p>
    <w:p w14:paraId="37BBB54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其中：</w:t>
      </w:r>
    </w:p>
    <w:p w14:paraId="14F348D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“住房改革支出”2024年度年初预算898.09万元，2024年度决算947.23万元，完成年初预算的105.47%。</w:t>
      </w:r>
    </w:p>
    <w:p w14:paraId="288D74F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主要原因：由于住房公积金实际计算基数（按上年工资总额计算）与财政预算系统按当年计算的口径不同造成，不足部分已由财政追加经费。</w:t>
      </w:r>
    </w:p>
    <w:p w14:paraId="47D00797">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677759F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14D08B3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w:t>
      </w:r>
    </w:p>
    <w:p w14:paraId="5413C43C">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3618064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无</w:t>
      </w:r>
    </w:p>
    <w:p w14:paraId="324E9C4D">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F6D61F2">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AEA8A70">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5DA36620">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7209.42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A8669F8">
      <w:pPr>
        <w:jc w:val="center"/>
        <w:rPr>
          <w:rFonts w:ascii="宋体" w:hAnsi="宋体" w:cs="宋体"/>
          <w:b/>
          <w:bCs/>
          <w:spacing w:val="40"/>
          <w:kern w:val="0"/>
          <w:sz w:val="32"/>
          <w:szCs w:val="32"/>
        </w:rPr>
      </w:pPr>
      <w:r>
        <w:br w:type="page"/>
      </w:r>
      <w:r>
        <w:rPr>
          <w:rFonts w:hint="eastAsia" w:ascii="宋体" w:hAnsi="宋体" w:cs="宋体"/>
          <w:b/>
          <w:bCs/>
          <w:spacing w:val="40"/>
          <w:kern w:val="0"/>
          <w:sz w:val="32"/>
          <w:szCs w:val="32"/>
        </w:rPr>
        <w:t>第三部分2024年度其他重要事项的情况说明</w:t>
      </w:r>
    </w:p>
    <w:p w14:paraId="60594C33">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16A7FD78">
      <w:pPr>
        <w:spacing w:line="560" w:lineRule="exact"/>
        <w:ind w:firstLine="600"/>
        <w:rPr>
          <w:rFonts w:ascii="仿宋_GB2312" w:eastAsia="仿宋_GB2312"/>
          <w:sz w:val="28"/>
          <w:szCs w:val="28"/>
        </w:rPr>
      </w:pPr>
      <w:r>
        <w:rPr>
          <w:rFonts w:hint="eastAsia" w:ascii="仿宋_GB2312" w:eastAsia="仿宋_GB2312"/>
          <w:sz w:val="28"/>
          <w:szCs w:val="28"/>
        </w:rPr>
        <w:t>“三公”经费包括本位所属</w:t>
      </w:r>
      <w:r>
        <w:rPr>
          <w:rFonts w:hint="eastAsia" w:ascii="仿宋_GB2312" w:eastAsia="仿宋_GB2312"/>
          <w:bCs/>
          <w:sz w:val="28"/>
          <w:szCs w:val="28"/>
        </w:rPr>
        <w:t>1个</w:t>
      </w:r>
      <w:r>
        <w:rPr>
          <w:rFonts w:hint="eastAsia" w:ascii="仿宋_GB2312" w:eastAsia="仿宋_GB2312"/>
          <w:sz w:val="28"/>
          <w:szCs w:val="28"/>
        </w:rPr>
        <w:t>事业单位。2024年度“三公”经费财政拨款决算数</w:t>
      </w:r>
      <w:r>
        <w:rPr>
          <w:rFonts w:ascii="仿宋_GB2312" w:eastAsia="仿宋_GB2312"/>
          <w:sz w:val="28"/>
          <w:szCs w:val="28"/>
        </w:rPr>
        <w:t>0.59</w:t>
      </w:r>
      <w:r>
        <w:rPr>
          <w:rFonts w:hint="eastAsia" w:ascii="仿宋_GB2312" w:eastAsia="仿宋_GB2312"/>
          <w:sz w:val="28"/>
          <w:szCs w:val="28"/>
        </w:rPr>
        <w:t>万元，比2024年度“三公”经费财政拨款年初预算</w:t>
      </w:r>
      <w:r>
        <w:rPr>
          <w:rFonts w:ascii="仿宋_GB2312" w:eastAsia="仿宋_GB2312"/>
          <w:sz w:val="28"/>
          <w:szCs w:val="28"/>
        </w:rPr>
        <w:t>2.7</w:t>
      </w:r>
      <w:r>
        <w:rPr>
          <w:rFonts w:hint="eastAsia" w:ascii="仿宋_GB2312" w:eastAsia="仿宋_GB2312"/>
          <w:sz w:val="28"/>
          <w:szCs w:val="28"/>
        </w:rPr>
        <w:t>万元减少</w:t>
      </w:r>
      <w:r>
        <w:rPr>
          <w:rFonts w:ascii="仿宋_GB2312" w:eastAsia="仿宋_GB2312"/>
          <w:sz w:val="28"/>
          <w:szCs w:val="28"/>
        </w:rPr>
        <w:t>2.11</w:t>
      </w:r>
      <w:r>
        <w:rPr>
          <w:rFonts w:hint="eastAsia" w:ascii="仿宋_GB2312" w:eastAsia="仿宋_GB2312"/>
          <w:sz w:val="28"/>
          <w:szCs w:val="28"/>
        </w:rPr>
        <w:t>万元。其中：</w:t>
      </w:r>
    </w:p>
    <w:p w14:paraId="375B912A">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万元。2024年度组织因公出国（境）团组0个、0人次，人均因公出国（境）费用</w:t>
      </w:r>
      <w:r>
        <w:rPr>
          <w:rFonts w:ascii="仿宋_GB2312" w:eastAsia="仿宋_GB2312"/>
          <w:sz w:val="28"/>
          <w:szCs w:val="28"/>
        </w:rPr>
        <w:t>0</w:t>
      </w:r>
      <w:r>
        <w:rPr>
          <w:rFonts w:hint="eastAsia" w:ascii="仿宋_GB2312" w:eastAsia="仿宋_GB2312"/>
          <w:sz w:val="28"/>
          <w:szCs w:val="28"/>
        </w:rPr>
        <w:t>万元。</w:t>
      </w:r>
    </w:p>
    <w:p w14:paraId="5415D293">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万元。公务接待0批次，公务接待0人次。</w:t>
      </w:r>
    </w:p>
    <w:p w14:paraId="386F91D0">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0.59</w:t>
      </w:r>
      <w:r>
        <w:rPr>
          <w:rFonts w:hint="eastAsia" w:ascii="仿宋_GB2312" w:eastAsia="仿宋_GB2312"/>
          <w:sz w:val="28"/>
          <w:szCs w:val="28"/>
        </w:rPr>
        <w:t>万元，比2024年度年初预算数</w:t>
      </w:r>
      <w:r>
        <w:rPr>
          <w:rFonts w:ascii="仿宋_GB2312" w:eastAsia="仿宋_GB2312"/>
          <w:sz w:val="28"/>
          <w:szCs w:val="28"/>
        </w:rPr>
        <w:t>2.7</w:t>
      </w:r>
      <w:r>
        <w:rPr>
          <w:rFonts w:hint="eastAsia" w:ascii="仿宋_GB2312" w:eastAsia="仿宋_GB2312"/>
          <w:sz w:val="28"/>
          <w:szCs w:val="28"/>
        </w:rPr>
        <w:t>万元减少</w:t>
      </w:r>
      <w:r>
        <w:rPr>
          <w:rFonts w:ascii="仿宋_GB2312" w:eastAsia="仿宋_GB2312"/>
          <w:sz w:val="28"/>
          <w:szCs w:val="28"/>
        </w:rPr>
        <w:t>2.11</w:t>
      </w:r>
      <w:r>
        <w:rPr>
          <w:rFonts w:hint="eastAsia" w:ascii="仿宋_GB2312" w:eastAsia="仿宋_GB2312"/>
          <w:sz w:val="28"/>
          <w:szCs w:val="28"/>
        </w:rPr>
        <w:t>万元。</w:t>
      </w:r>
    </w:p>
    <w:p w14:paraId="72C2F24F">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其中，公务用车购置费2024年度决算数0万元，比2024年度年初预算数0万元增加（减少）</w:t>
      </w:r>
      <w:r>
        <w:rPr>
          <w:rFonts w:ascii="仿宋_GB2312" w:eastAsia="仿宋_GB2312"/>
          <w:sz w:val="28"/>
          <w:szCs w:val="28"/>
        </w:rPr>
        <w:t>0</w:t>
      </w:r>
      <w:r>
        <w:rPr>
          <w:rFonts w:hint="eastAsia" w:ascii="仿宋_GB2312" w:eastAsia="仿宋_GB2312"/>
          <w:sz w:val="28"/>
          <w:szCs w:val="28"/>
        </w:rPr>
        <w:t>万元。2024年度购置（更新）0辆，车均购置费</w:t>
      </w:r>
      <w:r>
        <w:rPr>
          <w:rFonts w:ascii="仿宋_GB2312" w:eastAsia="仿宋_GB2312"/>
          <w:sz w:val="28"/>
          <w:szCs w:val="28"/>
        </w:rPr>
        <w:t>0</w:t>
      </w:r>
      <w:r>
        <w:rPr>
          <w:rFonts w:hint="eastAsia" w:ascii="仿宋_GB2312" w:eastAsia="仿宋_GB2312"/>
          <w:sz w:val="28"/>
          <w:szCs w:val="28"/>
        </w:rPr>
        <w:t>万元。公务用车运行维护费2024年度决算数0.59万元，比2024年度年初预算数2.7万元减少</w:t>
      </w:r>
      <w:r>
        <w:rPr>
          <w:rFonts w:ascii="仿宋_GB2312" w:eastAsia="仿宋_GB2312"/>
          <w:sz w:val="28"/>
          <w:szCs w:val="28"/>
        </w:rPr>
        <w:t>2.11</w:t>
      </w:r>
      <w:r>
        <w:rPr>
          <w:rFonts w:hint="eastAsia" w:ascii="仿宋_GB2312" w:eastAsia="仿宋_GB2312"/>
          <w:sz w:val="28"/>
          <w:szCs w:val="28"/>
        </w:rPr>
        <w:t>万元，主要原因：运行维护费中各项费用均厉行节约，节省支出。2024年度公务用车保有量</w:t>
      </w:r>
      <w:r>
        <w:rPr>
          <w:rFonts w:ascii="仿宋_GB2312" w:eastAsia="仿宋_GB2312"/>
          <w:sz w:val="28"/>
          <w:szCs w:val="28"/>
        </w:rPr>
        <w:t>1</w:t>
      </w:r>
      <w:r>
        <w:rPr>
          <w:rFonts w:hint="eastAsia" w:ascii="仿宋_GB2312" w:eastAsia="仿宋_GB2312"/>
          <w:sz w:val="28"/>
          <w:szCs w:val="28"/>
        </w:rPr>
        <w:t>辆，车均运行维护费</w:t>
      </w:r>
      <w:r>
        <w:rPr>
          <w:rFonts w:ascii="仿宋_GB2312" w:eastAsia="仿宋_GB2312"/>
          <w:sz w:val="28"/>
          <w:szCs w:val="28"/>
        </w:rPr>
        <w:t>0.59</w:t>
      </w:r>
      <w:r>
        <w:rPr>
          <w:rFonts w:hint="eastAsia" w:ascii="仿宋_GB2312" w:eastAsia="仿宋_GB2312"/>
          <w:sz w:val="28"/>
          <w:szCs w:val="28"/>
        </w:rPr>
        <w:t>万元。</w:t>
      </w:r>
    </w:p>
    <w:p w14:paraId="0F2A33C4">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20841CB">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我单位不在机关运行经费统计范围支内。</w:t>
      </w:r>
    </w:p>
    <w:p w14:paraId="6E7CAA05">
      <w:pPr>
        <w:ind w:left="540"/>
        <w:rPr>
          <w:rFonts w:ascii="黑体" w:eastAsia="黑体"/>
          <w:sz w:val="28"/>
          <w:szCs w:val="28"/>
        </w:rPr>
      </w:pPr>
      <w:r>
        <w:rPr>
          <w:rFonts w:hint="eastAsia" w:ascii="黑体" w:eastAsia="黑体"/>
          <w:sz w:val="28"/>
          <w:szCs w:val="28"/>
        </w:rPr>
        <w:t>三、政府采购支出情况</w:t>
      </w:r>
    </w:p>
    <w:p w14:paraId="0E7BFB7E">
      <w:pPr>
        <w:ind w:firstLine="560" w:firstLineChars="200"/>
        <w:rPr>
          <w:rFonts w:ascii="仿宋_GB2312" w:eastAsia="仿宋_GB2312"/>
          <w:sz w:val="28"/>
          <w:szCs w:val="28"/>
          <w:highlight w:val="yellow"/>
        </w:rPr>
      </w:pPr>
      <w:r>
        <w:rPr>
          <w:rFonts w:hint="eastAsia" w:ascii="仿宋_GB2312" w:eastAsia="仿宋_GB2312"/>
          <w:sz w:val="28"/>
          <w:szCs w:val="28"/>
        </w:rPr>
        <w:t>2024年度政府采购支出总额</w:t>
      </w:r>
      <w:r>
        <w:rPr>
          <w:rFonts w:ascii="仿宋_GB2312" w:eastAsia="仿宋_GB2312"/>
          <w:sz w:val="28"/>
          <w:szCs w:val="28"/>
        </w:rPr>
        <w:t>585.63</w:t>
      </w:r>
      <w:r>
        <w:rPr>
          <w:rFonts w:hint="eastAsia" w:ascii="仿宋_GB2312" w:eastAsia="仿宋_GB2312"/>
          <w:sz w:val="28"/>
          <w:szCs w:val="28"/>
        </w:rPr>
        <w:t>万元，其中：政府采购货物支出</w:t>
      </w:r>
      <w:r>
        <w:rPr>
          <w:rFonts w:ascii="仿宋_GB2312" w:eastAsia="仿宋_GB2312"/>
          <w:sz w:val="28"/>
          <w:szCs w:val="28"/>
        </w:rPr>
        <w:t>404.56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181.07</w:t>
      </w:r>
      <w:r>
        <w:rPr>
          <w:rFonts w:hint="eastAsia" w:ascii="仿宋_GB2312" w:eastAsia="仿宋_GB2312"/>
          <w:sz w:val="28"/>
          <w:szCs w:val="28"/>
        </w:rPr>
        <w:t>万元。授予中小企业合同金额</w:t>
      </w:r>
      <w:r>
        <w:rPr>
          <w:rFonts w:ascii="仿宋_GB2312" w:eastAsia="仿宋_GB2312"/>
          <w:sz w:val="28"/>
          <w:szCs w:val="28"/>
        </w:rPr>
        <w:t>585.53</w:t>
      </w:r>
      <w:r>
        <w:rPr>
          <w:rFonts w:hint="eastAsia" w:ascii="仿宋_GB2312" w:eastAsia="仿宋_GB2312"/>
          <w:sz w:val="28"/>
          <w:szCs w:val="28"/>
        </w:rPr>
        <w:t>万元，占政府采购支出总额的99.98%，其中：授予小微企业合同金额517.21万元，占政府采购支出总额的</w:t>
      </w:r>
      <w:r>
        <w:rPr>
          <w:rFonts w:ascii="仿宋_GB2312" w:eastAsia="仿宋_GB2312"/>
          <w:sz w:val="28"/>
          <w:szCs w:val="28"/>
        </w:rPr>
        <w:t>88.32</w:t>
      </w:r>
      <w:r>
        <w:rPr>
          <w:rFonts w:hint="eastAsia" w:ascii="仿宋_GB2312" w:eastAsia="仿宋_GB2312"/>
          <w:sz w:val="28"/>
          <w:szCs w:val="28"/>
        </w:rPr>
        <w:t>%。</w:t>
      </w:r>
    </w:p>
    <w:p w14:paraId="7167735D">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0F224BC5">
      <w:pPr>
        <w:ind w:firstLine="560" w:firstLineChars="200"/>
        <w:rPr>
          <w:rFonts w:ascii="仿宋_GB2312" w:eastAsia="仿宋_GB2312"/>
          <w:sz w:val="32"/>
          <w:szCs w:val="32"/>
        </w:rPr>
      </w:pPr>
      <w:r>
        <w:rPr>
          <w:rFonts w:hint="eastAsia" w:ascii="仿宋_GB2312" w:eastAsia="仿宋_GB2312"/>
          <w:sz w:val="28"/>
          <w:szCs w:val="28"/>
        </w:rPr>
        <w:t>截至12月31日，北京市北海幼儿园共有车辆1台；单位价值100万元（含）以上的设备3台（套）。</w:t>
      </w:r>
    </w:p>
    <w:p w14:paraId="03C44689">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F4D7F3B">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152B4568">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819E02E">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38FF7C3">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63AE05A">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2AEF59F">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EA048AF">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741FB2D">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F3DB4CD">
      <w:pPr>
        <w:ind w:firstLine="420" w:firstLineChars="150"/>
        <w:rPr>
          <w:rFonts w:ascii="仿宋_GB2312" w:eastAsia="仿宋_GB2312"/>
          <w:kern w:val="0"/>
          <w:sz w:val="28"/>
          <w:szCs w:val="28"/>
        </w:rPr>
      </w:pPr>
      <w:r>
        <w:rPr>
          <w:rFonts w:hint="eastAsia" w:ascii="仿宋_GB2312" w:eastAsia="仿宋_GB2312"/>
          <w:sz w:val="28"/>
          <w:szCs w:val="28"/>
        </w:rPr>
        <w:t>7.</w:t>
      </w:r>
      <w:r>
        <w:rPr>
          <w:rFonts w:hint="eastAsia" w:ascii="仿宋_GB2312" w:eastAsia="仿宋_GB2312"/>
          <w:kern w:val="0"/>
          <w:sz w:val="28"/>
          <w:szCs w:val="28"/>
        </w:rPr>
        <w:t>教育支出（类）普通教育（款）学前教育（项）：反映本部门举办的学前教育支出。</w:t>
      </w:r>
    </w:p>
    <w:p w14:paraId="553E9929">
      <w:pPr>
        <w:ind w:firstLine="420" w:firstLineChars="150"/>
        <w:rPr>
          <w:rFonts w:ascii="仿宋_GB2312" w:eastAsia="仿宋_GB2312"/>
          <w:sz w:val="28"/>
          <w:szCs w:val="28"/>
        </w:rPr>
      </w:pPr>
      <w:r>
        <w:rPr>
          <w:rFonts w:hint="eastAsia" w:ascii="仿宋_GB2312" w:eastAsia="仿宋_GB2312"/>
          <w:kern w:val="0"/>
          <w:sz w:val="28"/>
          <w:szCs w:val="28"/>
        </w:rPr>
        <w:t>8.</w:t>
      </w:r>
      <w:r>
        <w:rPr>
          <w:rFonts w:hint="eastAsia" w:ascii="仿宋_GB2312" w:eastAsia="仿宋_GB2312"/>
          <w:sz w:val="28"/>
          <w:szCs w:val="28"/>
        </w:rPr>
        <w:t>教育支出（类）进修及培训（款）培训支出（项）：反映本部门安排的用于培训的支出。</w:t>
      </w:r>
    </w:p>
    <w:p w14:paraId="4DF6FC25">
      <w:pPr>
        <w:ind w:left="279" w:leftChars="133" w:firstLine="140" w:firstLineChars="50"/>
        <w:rPr>
          <w:rFonts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w:t>
      </w:r>
    </w:p>
    <w:p w14:paraId="0270F748">
      <w:pPr>
        <w:ind w:left="279" w:leftChars="133" w:firstLine="140" w:firstLineChars="50"/>
        <w:rPr>
          <w:rFonts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14:paraId="7BD301C6">
      <w:pPr>
        <w:ind w:left="279" w:leftChars="133" w:firstLine="140" w:firstLineChars="50"/>
        <w:rPr>
          <w:rFonts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w:t>
      </w:r>
    </w:p>
    <w:p w14:paraId="0D3ABE26">
      <w:pPr>
        <w:ind w:left="279" w:leftChars="133" w:firstLine="140" w:firstLineChars="50"/>
        <w:rPr>
          <w:rFonts w:ascii="仿宋_GB2312" w:eastAsia="仿宋_GB2312"/>
          <w:sz w:val="28"/>
          <w:szCs w:val="28"/>
        </w:rPr>
      </w:pPr>
      <w:r>
        <w:rPr>
          <w:rFonts w:hint="eastAsia" w:ascii="仿宋_GB2312" w:eastAsia="仿宋_GB2312"/>
          <w:sz w:val="28"/>
          <w:szCs w:val="28"/>
        </w:rPr>
        <w:t>12.社会保障和就业支出（类）抚恤（款）死亡抚恤（项）：反映按规定用于烈士和牺牲、病故人员家属的一次性和定期抚恤金、丧葬补助费以及烈士褒扬金。</w:t>
      </w:r>
    </w:p>
    <w:p w14:paraId="3628D9FD">
      <w:pPr>
        <w:pStyle w:val="20"/>
        <w:ind w:left="634" w:firstLine="0" w:firstLineChars="0"/>
        <w:contextualSpacing/>
        <w:rPr>
          <w:rFonts w:ascii="仿宋_GB2312" w:eastAsia="仿宋_GB2312"/>
          <w:sz w:val="28"/>
          <w:szCs w:val="28"/>
        </w:rPr>
      </w:pPr>
      <w:r>
        <w:rPr>
          <w:rFonts w:hint="eastAsia" w:ascii="仿宋_GB2312" w:eastAsia="仿宋_GB2312"/>
          <w:sz w:val="28"/>
          <w:szCs w:val="28"/>
        </w:rPr>
        <w:t>13.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14:paraId="195DACD4">
      <w:pPr>
        <w:pStyle w:val="20"/>
        <w:ind w:left="634" w:firstLine="0" w:firstLineChars="0"/>
        <w:contextualSpacing/>
        <w:rPr>
          <w:rFonts w:ascii="仿宋_GB2312" w:eastAsia="仿宋_GB2312"/>
          <w:sz w:val="28"/>
          <w:szCs w:val="28"/>
        </w:rPr>
      </w:pPr>
      <w:r>
        <w:rPr>
          <w:rFonts w:hint="eastAsia" w:ascii="仿宋_GB2312" w:eastAsia="仿宋_GB2312"/>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72E8B1A3">
      <w:pPr>
        <w:pStyle w:val="20"/>
        <w:ind w:left="634" w:firstLine="0" w:firstLineChars="0"/>
        <w:contextualSpacing/>
        <w:rPr>
          <w:rFonts w:ascii="仿宋_GB2312" w:eastAsia="仿宋_GB2312"/>
          <w:sz w:val="28"/>
          <w:szCs w:val="28"/>
        </w:rPr>
      </w:pPr>
      <w:r>
        <w:rPr>
          <w:rFonts w:hint="eastAsia" w:ascii="仿宋_GB2312" w:eastAsia="仿宋_GB2312"/>
          <w:sz w:val="28"/>
          <w:szCs w:val="28"/>
        </w:rPr>
        <w:t>15.卫生健康支出（类）行政事业单位医疗（款）其他行政事业单位医疗支出（项）：反映除上述项目以外的其他用于行政事业单位医疗方面的支出。</w:t>
      </w:r>
    </w:p>
    <w:p w14:paraId="750D2BBC">
      <w:pPr>
        <w:pStyle w:val="20"/>
        <w:ind w:left="634" w:firstLine="0" w:firstLineChars="0"/>
        <w:contextualSpacing/>
        <w:rPr>
          <w:rFonts w:ascii="仿宋_GB2312" w:eastAsia="仿宋_GB2312"/>
          <w:sz w:val="28"/>
          <w:szCs w:val="28"/>
        </w:rPr>
      </w:pPr>
      <w:r>
        <w:rPr>
          <w:rFonts w:hint="eastAsia" w:ascii="仿宋_GB2312" w:eastAsia="仿宋_GB2312"/>
          <w:sz w:val="28"/>
          <w:szCs w:val="28"/>
        </w:rPr>
        <w:t>16.住房保障支出（类）住房改革支出（款）住房公积金（项）：反映行政事业单位按人力资源和社会保障部、财政部规定的基本工资和津贴补贴以及规定比例为职工缴纳的住房公积金。</w:t>
      </w:r>
    </w:p>
    <w:p w14:paraId="45B7AF6D">
      <w:pPr>
        <w:pStyle w:val="20"/>
        <w:ind w:left="634" w:firstLine="0" w:firstLineChars="0"/>
        <w:contextualSpacing/>
        <w:rPr>
          <w:rFonts w:ascii="仿宋_GB2312" w:eastAsia="仿宋_GB2312"/>
          <w:sz w:val="28"/>
          <w:szCs w:val="28"/>
        </w:rPr>
      </w:pPr>
      <w:r>
        <w:rPr>
          <w:rFonts w:hint="eastAsia" w:ascii="仿宋_GB2312" w:eastAsia="仿宋_GB2312"/>
          <w:sz w:val="28"/>
          <w:szCs w:val="28"/>
        </w:rPr>
        <w:t>17.住房保障支出（类）住房改革支出（款）提租补贴（项）：反映按房改政策规定的标准，行政事业单位向职工（含离退休人员）发放的租金补助。</w:t>
      </w:r>
    </w:p>
    <w:p w14:paraId="63AECE4F">
      <w:pPr>
        <w:pStyle w:val="20"/>
        <w:ind w:left="634" w:firstLine="0" w:firstLineChars="0"/>
        <w:contextualSpacing/>
        <w:rPr>
          <w:rFonts w:ascii="仿宋_GB2312" w:eastAsia="仿宋_GB2312"/>
          <w:sz w:val="28"/>
          <w:szCs w:val="28"/>
        </w:rPr>
      </w:pPr>
      <w:r>
        <w:rPr>
          <w:rFonts w:hint="eastAsia" w:ascii="仿宋_GB2312" w:eastAsia="仿宋_GB2312"/>
          <w:sz w:val="28"/>
          <w:szCs w:val="28"/>
        </w:rPr>
        <w:t>18.住房保障支出（类）住房改革支出（款）购房补贴（项）：反映按房改政策规定的标准，行政事业单位向符合条件职工（含离退休人员）发放的用于购买住房的补贴。</w:t>
      </w:r>
    </w:p>
    <w:p w14:paraId="41CAE145">
      <w:pPr>
        <w:rPr>
          <w:rFonts w:ascii="仿宋_GB2312" w:eastAsia="仿宋_GB2312"/>
          <w:sz w:val="28"/>
          <w:szCs w:val="28"/>
        </w:rPr>
      </w:pPr>
    </w:p>
    <w:p w14:paraId="31E6C401">
      <w:pPr>
        <w:ind w:firstLine="632" w:firstLineChars="200"/>
        <w:rPr>
          <w:rFonts w:ascii="仿宋_GB2312" w:eastAsia="仿宋_GB2312"/>
          <w:b/>
          <w:color w:val="000000"/>
          <w:spacing w:val="-2"/>
          <w:sz w:val="32"/>
          <w:szCs w:val="32"/>
        </w:rPr>
      </w:pPr>
    </w:p>
    <w:p w14:paraId="4851E533">
      <w:pPr>
        <w:rPr>
          <w:rFonts w:ascii="黑体" w:eastAsia="黑体"/>
          <w:sz w:val="32"/>
          <w:szCs w:val="32"/>
        </w:rPr>
      </w:pPr>
    </w:p>
    <w:p w14:paraId="60B2DB83">
      <w:pPr>
        <w:jc w:val="center"/>
        <w:rPr>
          <w:rFonts w:ascii="宋体" w:hAnsi="宋体" w:cs="宋体"/>
          <w:b/>
          <w:bCs/>
          <w:spacing w:val="40"/>
          <w:kern w:val="0"/>
          <w:sz w:val="32"/>
          <w:szCs w:val="32"/>
        </w:rPr>
      </w:pPr>
      <w:r>
        <w:rPr>
          <w:rFonts w:hint="eastAsia" w:ascii="宋体" w:hAnsi="宋体" w:cs="宋体"/>
          <w:b/>
          <w:bCs/>
          <w:spacing w:val="40"/>
          <w:kern w:val="0"/>
          <w:sz w:val="32"/>
          <w:szCs w:val="32"/>
        </w:rPr>
        <w:t>第四部分  2024年度部门绩效评价情况</w:t>
      </w:r>
    </w:p>
    <w:p w14:paraId="56CA015E">
      <w:pPr>
        <w:ind w:firstLine="560" w:firstLineChars="200"/>
        <w:rPr>
          <w:rFonts w:ascii="黑体" w:eastAsia="黑体"/>
          <w:sz w:val="28"/>
          <w:szCs w:val="28"/>
          <w:highlight w:val="yellow"/>
        </w:rPr>
      </w:pPr>
    </w:p>
    <w:p w14:paraId="3502C1A2">
      <w:pPr>
        <w:ind w:firstLine="560" w:firstLineChars="200"/>
        <w:rPr>
          <w:rFonts w:ascii="黑体" w:eastAsia="黑体"/>
          <w:sz w:val="28"/>
          <w:szCs w:val="28"/>
        </w:rPr>
      </w:pPr>
      <w:r>
        <w:rPr>
          <w:rFonts w:hint="eastAsia" w:ascii="黑体" w:eastAsia="黑体"/>
          <w:sz w:val="28"/>
          <w:szCs w:val="28"/>
        </w:rPr>
        <w:t>一、部门整体绩效评价报告（详见附件一）</w:t>
      </w:r>
    </w:p>
    <w:p w14:paraId="461877B0">
      <w:pPr>
        <w:ind w:firstLine="560" w:firstLineChars="200"/>
        <w:rPr>
          <w:rFonts w:ascii="黑体" w:eastAsia="黑体"/>
          <w:sz w:val="28"/>
          <w:szCs w:val="28"/>
        </w:rPr>
      </w:pPr>
      <w:r>
        <w:rPr>
          <w:rFonts w:hint="eastAsia" w:ascii="黑体" w:eastAsia="黑体"/>
          <w:sz w:val="28"/>
          <w:szCs w:val="28"/>
        </w:rPr>
        <w:t>二、项目支出绩效评价报告（详见附件二）</w:t>
      </w:r>
    </w:p>
    <w:p w14:paraId="5DD3B075">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（详见附件三）</w:t>
      </w:r>
    </w:p>
    <w:p w14:paraId="0B934EB9">
      <w:pPr>
        <w:ind w:firstLine="560" w:firstLineChars="200"/>
        <w:rPr>
          <w:rFonts w:ascii="黑体" w:eastAsia="黑体"/>
          <w:sz w:val="28"/>
          <w:szCs w:val="28"/>
        </w:rPr>
      </w:pPr>
      <w:r>
        <w:rPr>
          <w:rFonts w:hint="eastAsia" w:ascii="黑体" w:eastAsia="黑体"/>
          <w:sz w:val="28"/>
          <w:szCs w:val="28"/>
        </w:rPr>
        <w:t>四、中央对北京XX转移支付预算执行情况绩效自评报告（无）</w:t>
      </w:r>
    </w:p>
    <w:p w14:paraId="7AB69717">
      <w:pPr>
        <w:spacing w:line="480" w:lineRule="exact"/>
        <w:ind w:firstLine="560"/>
        <w:rPr>
          <w:rFonts w:ascii="黑体" w:eastAsia="黑体"/>
          <w:sz w:val="28"/>
          <w:szCs w:val="28"/>
        </w:rPr>
      </w:pPr>
      <w:r>
        <w:rPr>
          <w:rFonts w:hint="eastAsia" w:ascii="黑体" w:eastAsia="黑体"/>
          <w:sz w:val="28"/>
          <w:szCs w:val="28"/>
        </w:rPr>
        <w:t>（注：有中央转移支付的一级预算部门，公开“一、二、三、四”；没有中央转移支付的一级预算部门，公开“一、二、三”；二级预算单位仅公开“三”。）</w:t>
      </w:r>
    </w:p>
    <w:p w14:paraId="715B9109"/>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FF33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365DA2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49F0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BA9AD5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605D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E2426C1">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07265"/>
    <w:rsid w:val="00011D72"/>
    <w:rsid w:val="00015E50"/>
    <w:rsid w:val="00027CD5"/>
    <w:rsid w:val="00031B8E"/>
    <w:rsid w:val="00033EC1"/>
    <w:rsid w:val="00034224"/>
    <w:rsid w:val="0003509A"/>
    <w:rsid w:val="00040275"/>
    <w:rsid w:val="00043888"/>
    <w:rsid w:val="0004719C"/>
    <w:rsid w:val="00047F6E"/>
    <w:rsid w:val="00051B00"/>
    <w:rsid w:val="000601B1"/>
    <w:rsid w:val="00063034"/>
    <w:rsid w:val="00066E19"/>
    <w:rsid w:val="0006752F"/>
    <w:rsid w:val="00071797"/>
    <w:rsid w:val="00071860"/>
    <w:rsid w:val="0007258E"/>
    <w:rsid w:val="00075491"/>
    <w:rsid w:val="00077A9E"/>
    <w:rsid w:val="00077F4A"/>
    <w:rsid w:val="00077FE5"/>
    <w:rsid w:val="00080447"/>
    <w:rsid w:val="00085663"/>
    <w:rsid w:val="000938F2"/>
    <w:rsid w:val="00095948"/>
    <w:rsid w:val="00095C26"/>
    <w:rsid w:val="00096504"/>
    <w:rsid w:val="00096B86"/>
    <w:rsid w:val="000A02F2"/>
    <w:rsid w:val="000A1770"/>
    <w:rsid w:val="000A283C"/>
    <w:rsid w:val="000B15B7"/>
    <w:rsid w:val="000B6A8B"/>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4D0B"/>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2083"/>
    <w:rsid w:val="001A3469"/>
    <w:rsid w:val="001A4277"/>
    <w:rsid w:val="001A7D2E"/>
    <w:rsid w:val="001B1DF9"/>
    <w:rsid w:val="001B1E93"/>
    <w:rsid w:val="001B375E"/>
    <w:rsid w:val="001B4A46"/>
    <w:rsid w:val="001B5632"/>
    <w:rsid w:val="001B5E87"/>
    <w:rsid w:val="001B5E91"/>
    <w:rsid w:val="001B69BF"/>
    <w:rsid w:val="001B7988"/>
    <w:rsid w:val="001B7EDF"/>
    <w:rsid w:val="001C0E91"/>
    <w:rsid w:val="001D57C2"/>
    <w:rsid w:val="001D78D9"/>
    <w:rsid w:val="001E0556"/>
    <w:rsid w:val="001E2355"/>
    <w:rsid w:val="001E2379"/>
    <w:rsid w:val="001E29A9"/>
    <w:rsid w:val="001E51B7"/>
    <w:rsid w:val="001F5857"/>
    <w:rsid w:val="00206EC3"/>
    <w:rsid w:val="0021047C"/>
    <w:rsid w:val="00211E4E"/>
    <w:rsid w:val="00213D1C"/>
    <w:rsid w:val="00214C3A"/>
    <w:rsid w:val="00217517"/>
    <w:rsid w:val="00222628"/>
    <w:rsid w:val="002253CB"/>
    <w:rsid w:val="002326DE"/>
    <w:rsid w:val="00234314"/>
    <w:rsid w:val="00240620"/>
    <w:rsid w:val="00241724"/>
    <w:rsid w:val="0024390C"/>
    <w:rsid w:val="002441F4"/>
    <w:rsid w:val="00244204"/>
    <w:rsid w:val="002448A4"/>
    <w:rsid w:val="00245A0A"/>
    <w:rsid w:val="00246C42"/>
    <w:rsid w:val="002515CC"/>
    <w:rsid w:val="00252B41"/>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3B8"/>
    <w:rsid w:val="002B3682"/>
    <w:rsid w:val="002B5464"/>
    <w:rsid w:val="002C0443"/>
    <w:rsid w:val="002C12FB"/>
    <w:rsid w:val="002C24BC"/>
    <w:rsid w:val="002D03C6"/>
    <w:rsid w:val="002D0FDF"/>
    <w:rsid w:val="002D3955"/>
    <w:rsid w:val="002D3C41"/>
    <w:rsid w:val="002D68A9"/>
    <w:rsid w:val="002D6DAF"/>
    <w:rsid w:val="002E06AE"/>
    <w:rsid w:val="002E4B75"/>
    <w:rsid w:val="002E68DD"/>
    <w:rsid w:val="002F17C2"/>
    <w:rsid w:val="002F32EE"/>
    <w:rsid w:val="002F4054"/>
    <w:rsid w:val="002F555F"/>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27CCA"/>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52E0"/>
    <w:rsid w:val="003925D4"/>
    <w:rsid w:val="0039318C"/>
    <w:rsid w:val="00393366"/>
    <w:rsid w:val="003937DC"/>
    <w:rsid w:val="00393D75"/>
    <w:rsid w:val="003A2F2D"/>
    <w:rsid w:val="003A43AC"/>
    <w:rsid w:val="003A4EB6"/>
    <w:rsid w:val="003A7AE9"/>
    <w:rsid w:val="003A7BC5"/>
    <w:rsid w:val="003A7FF5"/>
    <w:rsid w:val="003B0352"/>
    <w:rsid w:val="003B32D3"/>
    <w:rsid w:val="003B4437"/>
    <w:rsid w:val="003B48C4"/>
    <w:rsid w:val="003B5E20"/>
    <w:rsid w:val="003B6DAD"/>
    <w:rsid w:val="003B735F"/>
    <w:rsid w:val="003C030C"/>
    <w:rsid w:val="003C55FC"/>
    <w:rsid w:val="003D0EC3"/>
    <w:rsid w:val="003D7274"/>
    <w:rsid w:val="003E4D82"/>
    <w:rsid w:val="003E5BC1"/>
    <w:rsid w:val="003F0D1B"/>
    <w:rsid w:val="003F1DD6"/>
    <w:rsid w:val="003F3092"/>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235C"/>
    <w:rsid w:val="00492D29"/>
    <w:rsid w:val="0049682C"/>
    <w:rsid w:val="004A168E"/>
    <w:rsid w:val="004A4EC7"/>
    <w:rsid w:val="004B0003"/>
    <w:rsid w:val="004C020A"/>
    <w:rsid w:val="004C03A3"/>
    <w:rsid w:val="004C44B8"/>
    <w:rsid w:val="004C7629"/>
    <w:rsid w:val="004D0D5D"/>
    <w:rsid w:val="004E27DD"/>
    <w:rsid w:val="004E3350"/>
    <w:rsid w:val="004E422D"/>
    <w:rsid w:val="004E50C5"/>
    <w:rsid w:val="004E5292"/>
    <w:rsid w:val="004F2C5B"/>
    <w:rsid w:val="004F641B"/>
    <w:rsid w:val="004F71F3"/>
    <w:rsid w:val="005052FA"/>
    <w:rsid w:val="005069E1"/>
    <w:rsid w:val="00507E59"/>
    <w:rsid w:val="005122B5"/>
    <w:rsid w:val="00513151"/>
    <w:rsid w:val="0052381C"/>
    <w:rsid w:val="005346B3"/>
    <w:rsid w:val="00537F16"/>
    <w:rsid w:val="0054051C"/>
    <w:rsid w:val="00543B59"/>
    <w:rsid w:val="00546A84"/>
    <w:rsid w:val="00547BE2"/>
    <w:rsid w:val="0055353D"/>
    <w:rsid w:val="0056187C"/>
    <w:rsid w:val="00576B03"/>
    <w:rsid w:val="00581E1A"/>
    <w:rsid w:val="005878D3"/>
    <w:rsid w:val="00591655"/>
    <w:rsid w:val="00591BEC"/>
    <w:rsid w:val="005940EA"/>
    <w:rsid w:val="00594448"/>
    <w:rsid w:val="005A1D6F"/>
    <w:rsid w:val="005A4D82"/>
    <w:rsid w:val="005A52A6"/>
    <w:rsid w:val="005B0DEC"/>
    <w:rsid w:val="005B22A4"/>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045"/>
    <w:rsid w:val="00621419"/>
    <w:rsid w:val="00626446"/>
    <w:rsid w:val="00626BE8"/>
    <w:rsid w:val="00631827"/>
    <w:rsid w:val="00632804"/>
    <w:rsid w:val="006376DA"/>
    <w:rsid w:val="00642E7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033C"/>
    <w:rsid w:val="00681970"/>
    <w:rsid w:val="00690641"/>
    <w:rsid w:val="00690D88"/>
    <w:rsid w:val="00691844"/>
    <w:rsid w:val="00693D15"/>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5835"/>
    <w:rsid w:val="006D60AF"/>
    <w:rsid w:val="006E4722"/>
    <w:rsid w:val="006E59A1"/>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18CB"/>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52CB8"/>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369F"/>
    <w:rsid w:val="008C4FF7"/>
    <w:rsid w:val="008C5C4C"/>
    <w:rsid w:val="008C7056"/>
    <w:rsid w:val="008C706D"/>
    <w:rsid w:val="008D3145"/>
    <w:rsid w:val="008D7EDD"/>
    <w:rsid w:val="008E15E9"/>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7780"/>
    <w:rsid w:val="00927892"/>
    <w:rsid w:val="009319B9"/>
    <w:rsid w:val="009351E9"/>
    <w:rsid w:val="00937862"/>
    <w:rsid w:val="00942279"/>
    <w:rsid w:val="009444A0"/>
    <w:rsid w:val="009524EB"/>
    <w:rsid w:val="00952DE9"/>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3DD7"/>
    <w:rsid w:val="00A14C18"/>
    <w:rsid w:val="00A25898"/>
    <w:rsid w:val="00A3071D"/>
    <w:rsid w:val="00A3182E"/>
    <w:rsid w:val="00A31A89"/>
    <w:rsid w:val="00A32F06"/>
    <w:rsid w:val="00A34934"/>
    <w:rsid w:val="00A34EFE"/>
    <w:rsid w:val="00A36546"/>
    <w:rsid w:val="00A4069C"/>
    <w:rsid w:val="00A413B5"/>
    <w:rsid w:val="00A429CB"/>
    <w:rsid w:val="00A43975"/>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079C"/>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37516"/>
    <w:rsid w:val="00B46965"/>
    <w:rsid w:val="00B54ED0"/>
    <w:rsid w:val="00B55D47"/>
    <w:rsid w:val="00B6204E"/>
    <w:rsid w:val="00B649EC"/>
    <w:rsid w:val="00B728DD"/>
    <w:rsid w:val="00B72D43"/>
    <w:rsid w:val="00B74121"/>
    <w:rsid w:val="00B80ABA"/>
    <w:rsid w:val="00B81DD8"/>
    <w:rsid w:val="00B859FF"/>
    <w:rsid w:val="00B85C1B"/>
    <w:rsid w:val="00B85FF0"/>
    <w:rsid w:val="00B86150"/>
    <w:rsid w:val="00B878F9"/>
    <w:rsid w:val="00B9044A"/>
    <w:rsid w:val="00B960F3"/>
    <w:rsid w:val="00B96A31"/>
    <w:rsid w:val="00BA05E6"/>
    <w:rsid w:val="00BA51B0"/>
    <w:rsid w:val="00BA6319"/>
    <w:rsid w:val="00BB50C9"/>
    <w:rsid w:val="00BC03B0"/>
    <w:rsid w:val="00BC06A3"/>
    <w:rsid w:val="00BC0CEA"/>
    <w:rsid w:val="00BC2220"/>
    <w:rsid w:val="00BC26B9"/>
    <w:rsid w:val="00BC26FA"/>
    <w:rsid w:val="00BC3A80"/>
    <w:rsid w:val="00BC4E01"/>
    <w:rsid w:val="00BC73F6"/>
    <w:rsid w:val="00BD1177"/>
    <w:rsid w:val="00BD1374"/>
    <w:rsid w:val="00BD3531"/>
    <w:rsid w:val="00BD4E35"/>
    <w:rsid w:val="00BE22AA"/>
    <w:rsid w:val="00BE34CA"/>
    <w:rsid w:val="00BF116A"/>
    <w:rsid w:val="00BF2EA9"/>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509C"/>
    <w:rsid w:val="00CB65DB"/>
    <w:rsid w:val="00CB6BD9"/>
    <w:rsid w:val="00CC293A"/>
    <w:rsid w:val="00CE19F6"/>
    <w:rsid w:val="00CE4A43"/>
    <w:rsid w:val="00CE6B76"/>
    <w:rsid w:val="00CF366B"/>
    <w:rsid w:val="00CF38E1"/>
    <w:rsid w:val="00CF5D9D"/>
    <w:rsid w:val="00CF606C"/>
    <w:rsid w:val="00CF7423"/>
    <w:rsid w:val="00D001F5"/>
    <w:rsid w:val="00D03E80"/>
    <w:rsid w:val="00D12980"/>
    <w:rsid w:val="00D1505F"/>
    <w:rsid w:val="00D15B9F"/>
    <w:rsid w:val="00D15DD6"/>
    <w:rsid w:val="00D25548"/>
    <w:rsid w:val="00D2601F"/>
    <w:rsid w:val="00D27759"/>
    <w:rsid w:val="00D30028"/>
    <w:rsid w:val="00D31136"/>
    <w:rsid w:val="00D321AA"/>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C786C"/>
    <w:rsid w:val="00DD1EDB"/>
    <w:rsid w:val="00DD57AA"/>
    <w:rsid w:val="00DE1578"/>
    <w:rsid w:val="00DE1764"/>
    <w:rsid w:val="00DE7DA4"/>
    <w:rsid w:val="00DE7F67"/>
    <w:rsid w:val="00DF0529"/>
    <w:rsid w:val="00DF09EF"/>
    <w:rsid w:val="00DF0D0F"/>
    <w:rsid w:val="00DF13D6"/>
    <w:rsid w:val="00DF27D6"/>
    <w:rsid w:val="00DF2BEA"/>
    <w:rsid w:val="00DF4488"/>
    <w:rsid w:val="00DF5B98"/>
    <w:rsid w:val="00DF6FA8"/>
    <w:rsid w:val="00DF701E"/>
    <w:rsid w:val="00DF7039"/>
    <w:rsid w:val="00DF7BE5"/>
    <w:rsid w:val="00E00D49"/>
    <w:rsid w:val="00E019A8"/>
    <w:rsid w:val="00E03A46"/>
    <w:rsid w:val="00E03C6D"/>
    <w:rsid w:val="00E0476F"/>
    <w:rsid w:val="00E04899"/>
    <w:rsid w:val="00E0796F"/>
    <w:rsid w:val="00E10948"/>
    <w:rsid w:val="00E15924"/>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31DA"/>
    <w:rsid w:val="00E75CAD"/>
    <w:rsid w:val="00E76922"/>
    <w:rsid w:val="00E8595B"/>
    <w:rsid w:val="00E915EC"/>
    <w:rsid w:val="00EA11B1"/>
    <w:rsid w:val="00EA2224"/>
    <w:rsid w:val="00EA7194"/>
    <w:rsid w:val="00EB1329"/>
    <w:rsid w:val="00EB2987"/>
    <w:rsid w:val="00EB2D75"/>
    <w:rsid w:val="00EB34BE"/>
    <w:rsid w:val="00EB571A"/>
    <w:rsid w:val="00EC2804"/>
    <w:rsid w:val="00EC4852"/>
    <w:rsid w:val="00EC6117"/>
    <w:rsid w:val="00EC6138"/>
    <w:rsid w:val="00ED1DCF"/>
    <w:rsid w:val="00ED43C9"/>
    <w:rsid w:val="00EE2C60"/>
    <w:rsid w:val="00EE2E58"/>
    <w:rsid w:val="00EE487A"/>
    <w:rsid w:val="00EE734C"/>
    <w:rsid w:val="00EF6907"/>
    <w:rsid w:val="00EF6D91"/>
    <w:rsid w:val="00F01F54"/>
    <w:rsid w:val="00F04D4D"/>
    <w:rsid w:val="00F11CCC"/>
    <w:rsid w:val="00F11DD8"/>
    <w:rsid w:val="00F12745"/>
    <w:rsid w:val="00F13766"/>
    <w:rsid w:val="00F20A77"/>
    <w:rsid w:val="00F22C60"/>
    <w:rsid w:val="00F231A4"/>
    <w:rsid w:val="00F23252"/>
    <w:rsid w:val="00F23FD9"/>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5629"/>
    <w:rsid w:val="00FD65A9"/>
    <w:rsid w:val="00FD7508"/>
    <w:rsid w:val="00FE1E51"/>
    <w:rsid w:val="00FE2496"/>
    <w:rsid w:val="00FE6A2B"/>
    <w:rsid w:val="00FF0275"/>
    <w:rsid w:val="00FF07B3"/>
    <w:rsid w:val="00FF1E37"/>
    <w:rsid w:val="00FF7F6C"/>
    <w:rsid w:val="01C47B20"/>
    <w:rsid w:val="038E6E7A"/>
    <w:rsid w:val="04592C5D"/>
    <w:rsid w:val="079004AC"/>
    <w:rsid w:val="0AFD09DD"/>
    <w:rsid w:val="0C7B7F86"/>
    <w:rsid w:val="0F8E2C57"/>
    <w:rsid w:val="1059665E"/>
    <w:rsid w:val="10AC13BA"/>
    <w:rsid w:val="124610E1"/>
    <w:rsid w:val="135572DF"/>
    <w:rsid w:val="163F4A7E"/>
    <w:rsid w:val="18A22B4C"/>
    <w:rsid w:val="1AEC0734"/>
    <w:rsid w:val="1B323594"/>
    <w:rsid w:val="1B43291B"/>
    <w:rsid w:val="1C7254ED"/>
    <w:rsid w:val="1DEF20B0"/>
    <w:rsid w:val="1F401DDF"/>
    <w:rsid w:val="1F664E2A"/>
    <w:rsid w:val="21422A39"/>
    <w:rsid w:val="214243FA"/>
    <w:rsid w:val="232235C5"/>
    <w:rsid w:val="257A14F5"/>
    <w:rsid w:val="27196C26"/>
    <w:rsid w:val="29EF086F"/>
    <w:rsid w:val="2A8415D0"/>
    <w:rsid w:val="2B93712E"/>
    <w:rsid w:val="2BF13CCD"/>
    <w:rsid w:val="2EFFE297"/>
    <w:rsid w:val="301437CA"/>
    <w:rsid w:val="32785148"/>
    <w:rsid w:val="353C75FB"/>
    <w:rsid w:val="386D6DD1"/>
    <w:rsid w:val="3DE04810"/>
    <w:rsid w:val="3F143319"/>
    <w:rsid w:val="3F3B19D7"/>
    <w:rsid w:val="4208288A"/>
    <w:rsid w:val="42F27DD4"/>
    <w:rsid w:val="433E495C"/>
    <w:rsid w:val="44617DEC"/>
    <w:rsid w:val="45A90126"/>
    <w:rsid w:val="4616442F"/>
    <w:rsid w:val="46B753D0"/>
    <w:rsid w:val="48804E0D"/>
    <w:rsid w:val="49090450"/>
    <w:rsid w:val="4AC27CB3"/>
    <w:rsid w:val="4B6D146C"/>
    <w:rsid w:val="4BF72BEF"/>
    <w:rsid w:val="4CD80866"/>
    <w:rsid w:val="4DEB2135"/>
    <w:rsid w:val="50502C65"/>
    <w:rsid w:val="51DB3C59"/>
    <w:rsid w:val="550A17D8"/>
    <w:rsid w:val="55762E42"/>
    <w:rsid w:val="568B6949"/>
    <w:rsid w:val="57A7B272"/>
    <w:rsid w:val="58470068"/>
    <w:rsid w:val="58886F75"/>
    <w:rsid w:val="58C146D8"/>
    <w:rsid w:val="5A1720F9"/>
    <w:rsid w:val="5B9C37C2"/>
    <w:rsid w:val="5BA7C654"/>
    <w:rsid w:val="5CF74D38"/>
    <w:rsid w:val="5F2D3D9B"/>
    <w:rsid w:val="5F8A0474"/>
    <w:rsid w:val="60FF240D"/>
    <w:rsid w:val="638A7560"/>
    <w:rsid w:val="641F04E5"/>
    <w:rsid w:val="64770FDE"/>
    <w:rsid w:val="64C0607C"/>
    <w:rsid w:val="65AC6CC3"/>
    <w:rsid w:val="672D1356"/>
    <w:rsid w:val="676F09E1"/>
    <w:rsid w:val="696173A6"/>
    <w:rsid w:val="6A9B1DCA"/>
    <w:rsid w:val="6C2C6080"/>
    <w:rsid w:val="6F375468"/>
    <w:rsid w:val="6FE55BEA"/>
    <w:rsid w:val="721821DB"/>
    <w:rsid w:val="756172B0"/>
    <w:rsid w:val="75A44ED9"/>
    <w:rsid w:val="75E74A0A"/>
    <w:rsid w:val="768F7680"/>
    <w:rsid w:val="77512F0B"/>
    <w:rsid w:val="77F80C6B"/>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qFormat/>
    <w:uiPriority w:val="0"/>
    <w:rPr>
      <w:rFonts w:eastAsia="宋体"/>
      <w:kern w:val="2"/>
      <w:sz w:val="18"/>
      <w:szCs w:val="18"/>
      <w:lang w:val="en-US" w:eastAsia="zh-CN" w:bidi="ar-SA"/>
    </w:rPr>
  </w:style>
  <w:style w:type="character" w:customStyle="1" w:styleId="15">
    <w:name w:val="页眉 Char"/>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8253.28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9b07268-72a7-4538-8c99-ebc3db1753a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7209.42</c:v>
                </c:pt>
                <c:pt idx="1">
                  <c:v>1043.86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4724</Words>
  <Characters>5334</Characters>
  <Lines>38</Lines>
  <Paragraphs>10</Paragraphs>
  <TotalTime>102</TotalTime>
  <ScaleCrop>false</ScaleCrop>
  <LinksUpToDate>false</LinksUpToDate>
  <CharactersWithSpaces>5349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2025-08-26T01:38:00Z</dcterms:created>
  <dc:creator>常程</dc:creator>
  <cp:lastModifiedBy>周惠昭</cp:lastModifiedBy>
  <cp:lastPrinted>2020-08-07T11:39:00Z</cp:lastPrinted>
  <dcterms:modified xsi:type="dcterms:W3CDTF">2025-08-27T09:46:23Z</dcterms:modified>
  <dc:title>北京市财政局关于做好向市人大常委会报送2015年度市级部门决算（草案）</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8E0D435A5D154928BF864CBC7CB392AD_13</vt:lpwstr>
  </property>
  <property fmtid="{D5CDD505-2E9C-101B-9397-08002B2CF9AE}" pid="4" name="KSOTemplateDocerSaveRecord">
    <vt:lpwstr>eyJoZGlkIjoiMWI0NjZhYzNkM2U2YmU1ZjFmYjhkZmI1NmYyMjZiMGEiLCJ1c2VySWQiOiIxNjAzNDIwMTgyIn0=</vt:lpwstr>
  </property>
</Properties>
</file>