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4DC88">
      <w:pPr>
        <w:jc w:val="center"/>
        <w:rPr>
          <w:rFonts w:ascii="仿宋_GB2312" w:eastAsia="仿宋_GB2312"/>
          <w:b/>
          <w:sz w:val="32"/>
          <w:szCs w:val="32"/>
        </w:rPr>
      </w:pPr>
    </w:p>
    <w:p w14:paraId="536FE3AC">
      <w:pPr>
        <w:jc w:val="center"/>
        <w:rPr>
          <w:rFonts w:ascii="黑体" w:eastAsia="黑体"/>
          <w:sz w:val="72"/>
          <w:szCs w:val="72"/>
        </w:rPr>
      </w:pPr>
    </w:p>
    <w:p w14:paraId="5BFFD8E5">
      <w:pPr>
        <w:jc w:val="center"/>
        <w:rPr>
          <w:rFonts w:ascii="黑体" w:eastAsia="黑体"/>
          <w:sz w:val="72"/>
          <w:szCs w:val="72"/>
        </w:rPr>
      </w:pPr>
    </w:p>
    <w:p w14:paraId="34474713">
      <w:pPr>
        <w:jc w:val="center"/>
        <w:rPr>
          <w:rFonts w:ascii="黑体" w:eastAsia="黑体"/>
          <w:sz w:val="72"/>
          <w:szCs w:val="72"/>
        </w:rPr>
      </w:pPr>
    </w:p>
    <w:p w14:paraId="397B5B81">
      <w:pPr>
        <w:jc w:val="center"/>
        <w:rPr>
          <w:rFonts w:ascii="黑体" w:eastAsia="黑体"/>
          <w:sz w:val="72"/>
          <w:szCs w:val="72"/>
        </w:rPr>
      </w:pPr>
    </w:p>
    <w:p w14:paraId="6E8FDFEB">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07DDC2E">
      <w:pPr>
        <w:jc w:val="center"/>
        <w:rPr>
          <w:rFonts w:ascii="黑体" w:eastAsia="黑体"/>
          <w:sz w:val="52"/>
          <w:szCs w:val="52"/>
        </w:rPr>
      </w:pPr>
    </w:p>
    <w:p w14:paraId="3ABAD38B">
      <w:pPr>
        <w:jc w:val="center"/>
        <w:rPr>
          <w:rFonts w:ascii="黑体" w:eastAsia="黑体"/>
          <w:sz w:val="52"/>
          <w:szCs w:val="52"/>
        </w:rPr>
      </w:pPr>
    </w:p>
    <w:p w14:paraId="5FB7AAEA">
      <w:pPr>
        <w:jc w:val="center"/>
        <w:rPr>
          <w:rFonts w:ascii="黑体" w:eastAsia="黑体"/>
          <w:sz w:val="52"/>
          <w:szCs w:val="52"/>
        </w:rPr>
      </w:pPr>
    </w:p>
    <w:p w14:paraId="6AE0FFC6">
      <w:pPr>
        <w:jc w:val="center"/>
        <w:rPr>
          <w:rFonts w:ascii="黑体" w:eastAsia="黑体"/>
          <w:sz w:val="52"/>
          <w:szCs w:val="52"/>
        </w:rPr>
      </w:pPr>
    </w:p>
    <w:p w14:paraId="7217AD47">
      <w:pPr>
        <w:jc w:val="center"/>
        <w:rPr>
          <w:rFonts w:ascii="黑体" w:eastAsia="黑体"/>
          <w:sz w:val="32"/>
          <w:szCs w:val="32"/>
        </w:rPr>
      </w:pPr>
    </w:p>
    <w:p w14:paraId="1C5DFF0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37B2B68">
      <w:pPr>
        <w:spacing w:line="500" w:lineRule="exact"/>
        <w:ind w:firstLine="645"/>
        <w:jc w:val="center"/>
        <w:rPr>
          <w:rFonts w:hint="eastAsia" w:ascii="宋体" w:hAnsi="宋体" w:cs="宋体"/>
          <w:b/>
          <w:bCs/>
          <w:kern w:val="0"/>
          <w:sz w:val="36"/>
          <w:szCs w:val="36"/>
        </w:rPr>
      </w:pPr>
    </w:p>
    <w:p w14:paraId="0623533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5FBE7F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FC2A0E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D699A1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661B47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B4B738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8DF413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E2AE60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4367A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CBCF7A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791449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D6FB30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CA6D2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BCB8BE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F7A4123">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70972E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EFF13E9">
      <w:pPr>
        <w:tabs>
          <w:tab w:val="center" w:pos="6979"/>
        </w:tabs>
        <w:spacing w:before="156" w:beforeLines="50" w:after="156" w:afterLines="50"/>
        <w:jc w:val="center"/>
        <w:rPr>
          <w:rFonts w:ascii="宋体" w:hAnsi="宋体" w:cs="宋体"/>
          <w:b/>
          <w:bCs/>
          <w:spacing w:val="40"/>
          <w:kern w:val="0"/>
          <w:sz w:val="32"/>
          <w:szCs w:val="32"/>
        </w:rPr>
      </w:pPr>
    </w:p>
    <w:p w14:paraId="0A5C8500">
      <w:pPr>
        <w:tabs>
          <w:tab w:val="center" w:pos="6979"/>
        </w:tabs>
        <w:spacing w:before="156" w:beforeLines="50" w:after="156" w:afterLines="50"/>
        <w:jc w:val="center"/>
        <w:rPr>
          <w:rFonts w:ascii="宋体" w:hAnsi="宋体" w:cs="宋体"/>
          <w:b/>
          <w:bCs/>
          <w:spacing w:val="40"/>
          <w:kern w:val="0"/>
          <w:sz w:val="32"/>
          <w:szCs w:val="32"/>
        </w:rPr>
      </w:pPr>
    </w:p>
    <w:p w14:paraId="421E68D5">
      <w:pPr>
        <w:tabs>
          <w:tab w:val="center" w:pos="6979"/>
        </w:tabs>
        <w:spacing w:before="156" w:beforeLines="50" w:after="156" w:afterLines="50"/>
        <w:jc w:val="center"/>
        <w:rPr>
          <w:rFonts w:ascii="宋体" w:hAnsi="宋体" w:cs="宋体"/>
          <w:b/>
          <w:bCs/>
          <w:spacing w:val="40"/>
          <w:kern w:val="0"/>
          <w:sz w:val="32"/>
          <w:szCs w:val="32"/>
        </w:rPr>
      </w:pPr>
    </w:p>
    <w:p w14:paraId="6C67E1D4">
      <w:pPr>
        <w:tabs>
          <w:tab w:val="center" w:pos="6979"/>
        </w:tabs>
        <w:spacing w:before="156" w:beforeLines="50" w:after="156" w:afterLines="50"/>
        <w:jc w:val="center"/>
        <w:rPr>
          <w:rFonts w:ascii="宋体" w:hAnsi="宋体" w:cs="宋体"/>
          <w:b/>
          <w:bCs/>
          <w:spacing w:val="40"/>
          <w:kern w:val="0"/>
          <w:sz w:val="32"/>
          <w:szCs w:val="32"/>
        </w:rPr>
      </w:pPr>
    </w:p>
    <w:p w14:paraId="1825B945">
      <w:pPr>
        <w:tabs>
          <w:tab w:val="center" w:pos="6979"/>
        </w:tabs>
        <w:spacing w:before="156" w:beforeLines="50" w:after="156" w:afterLines="50"/>
        <w:jc w:val="center"/>
        <w:rPr>
          <w:rFonts w:ascii="宋体" w:hAnsi="宋体" w:cs="宋体"/>
          <w:b/>
          <w:bCs/>
          <w:spacing w:val="40"/>
          <w:kern w:val="0"/>
          <w:sz w:val="32"/>
          <w:szCs w:val="32"/>
        </w:rPr>
      </w:pPr>
    </w:p>
    <w:p w14:paraId="352276B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2C2BFF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542C83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0B7CF2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ABE19A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北京市西城区西四北幼儿园作为西城区教育委员会主管的幼儿园，主要职责是为学龄前幼儿提供保育和教育服务。幼儿园始终坚持“四溢阳光 合德乐融”的办园理念，秉承“发展幼儿、成就教师、成长家长、服务社会”的办园宗旨，以培养幼儿 “健康、仁厚、乐学、尚美” 为目标，形成了“开展民俗教育，渗透传统文化，传承优秀美德”的办园特色，让幼儿在老北京的院落里，在丰富多彩的活动中健康、快乐的成长，努力实现办人民满意的幼儿园。</w:t>
      </w:r>
      <w:bookmarkStart w:id="0" w:name="_GoBack"/>
      <w:bookmarkEnd w:id="0"/>
    </w:p>
    <w:p w14:paraId="7197489A">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14:paraId="171BDDF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2823.15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311.57</w:t>
      </w:r>
      <w:r>
        <w:rPr>
          <w:rFonts w:hint="eastAsia" w:ascii="仿宋_GB2312" w:eastAsia="仿宋_GB2312"/>
          <w:sz w:val="28"/>
          <w:szCs w:val="28"/>
        </w:rPr>
        <w:t>万元，增长</w:t>
      </w:r>
      <w:r>
        <w:rPr>
          <w:rFonts w:hint="eastAsia" w:ascii="仿宋_GB2312" w:eastAsia="仿宋_GB2312"/>
          <w:sz w:val="28"/>
          <w:szCs w:val="28"/>
          <w:lang w:val="en-US" w:eastAsia="zh-CN"/>
        </w:rPr>
        <w:t>12.41</w:t>
      </w:r>
      <w:r>
        <w:rPr>
          <w:rFonts w:hint="eastAsia" w:ascii="仿宋_GB2312" w:eastAsia="仿宋_GB2312"/>
          <w:sz w:val="28"/>
          <w:szCs w:val="28"/>
        </w:rPr>
        <w:t>%。</w:t>
      </w:r>
    </w:p>
    <w:p w14:paraId="1E327A4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611430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2823.15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330.57</w:t>
      </w:r>
      <w:r>
        <w:rPr>
          <w:rFonts w:hint="eastAsia" w:ascii="仿宋_GB2312" w:eastAsia="仿宋_GB2312"/>
          <w:sz w:val="28"/>
          <w:szCs w:val="28"/>
        </w:rPr>
        <w:t>万元，增长</w:t>
      </w:r>
      <w:r>
        <w:rPr>
          <w:rFonts w:hint="eastAsia" w:ascii="仿宋_GB2312" w:eastAsia="仿宋_GB2312"/>
          <w:sz w:val="28"/>
          <w:szCs w:val="28"/>
          <w:lang w:val="en-US" w:eastAsia="zh-CN"/>
        </w:rPr>
        <w:t>13.26</w:t>
      </w:r>
      <w:r>
        <w:rPr>
          <w:rFonts w:hint="eastAsia" w:ascii="仿宋_GB2312" w:eastAsia="仿宋_GB2312"/>
          <w:sz w:val="28"/>
          <w:szCs w:val="28"/>
        </w:rPr>
        <w:t>%</w:t>
      </w:r>
      <w:r>
        <w:rPr>
          <w:rFonts w:hint="eastAsia" w:ascii="仿宋_GB2312" w:eastAsia="仿宋_GB2312"/>
          <w:sz w:val="28"/>
          <w:szCs w:val="28"/>
          <w:lang w:eastAsia="zh-CN"/>
        </w:rPr>
        <w:t>。</w:t>
      </w:r>
    </w:p>
    <w:p w14:paraId="0CE1F3A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2823.15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2823.15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4A7FBB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AD890B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11FE05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0A805A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613E5E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D51F638">
      <w:pPr>
        <w:pStyle w:val="2"/>
        <w:ind w:firstLine="0"/>
        <w:jc w:val="center"/>
      </w:pPr>
      <w:r>
        <w:rPr>
          <w:rFonts w:hint="eastAsia" w:ascii="仿宋_GB2312" w:eastAsia="仿宋_GB2312"/>
          <w:color w:val="000000"/>
          <w:sz w:val="32"/>
          <w:szCs w:val="32"/>
          <w:highlight w:val="none"/>
          <w:lang w:val="en-US" w:eastAsia="zh-CN"/>
        </w:rPr>
        <w:t>图1：收入决算</w:t>
      </w:r>
    </w:p>
    <w:p w14:paraId="38CB86D8">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EF9E9B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C22872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2823.15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330.57</w:t>
      </w:r>
      <w:r>
        <w:rPr>
          <w:rFonts w:hint="eastAsia" w:ascii="仿宋_GB2312" w:eastAsia="仿宋_GB2312"/>
          <w:sz w:val="28"/>
          <w:szCs w:val="28"/>
        </w:rPr>
        <w:t>万元，增长</w:t>
      </w:r>
      <w:r>
        <w:rPr>
          <w:rFonts w:hint="eastAsia" w:ascii="仿宋_GB2312" w:eastAsia="仿宋_GB2312"/>
          <w:sz w:val="28"/>
          <w:szCs w:val="28"/>
          <w:lang w:val="en-US" w:eastAsia="zh-CN"/>
        </w:rPr>
        <w:t>13.26</w:t>
      </w:r>
      <w:r>
        <w:rPr>
          <w:rFonts w:hint="eastAsia" w:ascii="仿宋_GB2312" w:eastAsia="仿宋_GB2312"/>
          <w:sz w:val="28"/>
          <w:szCs w:val="28"/>
        </w:rPr>
        <w:t>%，其中：基本支出</w:t>
      </w:r>
      <w:r>
        <w:rPr>
          <w:rFonts w:ascii="仿宋_GB2312" w:eastAsia="仿宋_GB2312"/>
          <w:sz w:val="28"/>
          <w:szCs w:val="28"/>
        </w:rPr>
        <w:t>2334.19</w:t>
      </w:r>
      <w:r>
        <w:rPr>
          <w:rFonts w:hint="eastAsia" w:ascii="仿宋_GB2312" w:eastAsia="仿宋_GB2312"/>
          <w:sz w:val="28"/>
          <w:szCs w:val="28"/>
        </w:rPr>
        <w:t>万元，占支出合计的</w:t>
      </w:r>
      <w:r>
        <w:rPr>
          <w:rFonts w:hint="eastAsia" w:ascii="仿宋_GB2312" w:eastAsia="仿宋_GB2312"/>
          <w:sz w:val="28"/>
          <w:szCs w:val="28"/>
          <w:lang w:eastAsia="zh-CN"/>
        </w:rPr>
        <w:t>82.68</w:t>
      </w:r>
      <w:r>
        <w:rPr>
          <w:rFonts w:hint="eastAsia" w:ascii="仿宋_GB2312" w:eastAsia="仿宋_GB2312"/>
          <w:sz w:val="28"/>
          <w:szCs w:val="28"/>
        </w:rPr>
        <w:t>%；项目支出</w:t>
      </w:r>
      <w:r>
        <w:rPr>
          <w:rFonts w:ascii="仿宋_GB2312" w:eastAsia="仿宋_GB2312"/>
          <w:sz w:val="28"/>
          <w:szCs w:val="28"/>
        </w:rPr>
        <w:t>488.96</w:t>
      </w:r>
      <w:r>
        <w:rPr>
          <w:rFonts w:hint="eastAsia" w:ascii="仿宋_GB2312" w:eastAsia="仿宋_GB2312"/>
          <w:sz w:val="28"/>
          <w:szCs w:val="28"/>
        </w:rPr>
        <w:t>万元，占支出合计的</w:t>
      </w:r>
      <w:r>
        <w:rPr>
          <w:rFonts w:hint="eastAsia" w:ascii="仿宋_GB2312" w:eastAsia="仿宋_GB2312"/>
          <w:sz w:val="28"/>
          <w:szCs w:val="28"/>
          <w:lang w:eastAsia="zh-CN"/>
        </w:rPr>
        <w:t>17.32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BB9083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394FA07">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19A5F0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8CD73F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2823.15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330.57</w:t>
      </w:r>
      <w:r>
        <w:rPr>
          <w:rFonts w:hint="eastAsia" w:ascii="仿宋_GB2312" w:eastAsia="仿宋_GB2312"/>
          <w:sz w:val="28"/>
          <w:szCs w:val="28"/>
        </w:rPr>
        <w:t>万元，增长</w:t>
      </w:r>
      <w:r>
        <w:rPr>
          <w:rFonts w:hint="eastAsia" w:ascii="仿宋_GB2312" w:eastAsia="仿宋_GB2312"/>
          <w:sz w:val="28"/>
          <w:szCs w:val="28"/>
          <w:lang w:val="en-US" w:eastAsia="zh-CN"/>
        </w:rPr>
        <w:t>13.26</w:t>
      </w:r>
      <w:r>
        <w:rPr>
          <w:rFonts w:hint="eastAsia" w:ascii="仿宋_GB2312" w:eastAsia="仿宋_GB2312"/>
          <w:sz w:val="28"/>
          <w:szCs w:val="28"/>
        </w:rPr>
        <w:t>%。主要原因：</w:t>
      </w:r>
      <w:r>
        <w:rPr>
          <w:rFonts w:hint="eastAsia" w:ascii="仿宋_GB2312" w:eastAsia="仿宋_GB2312"/>
          <w:sz w:val="28"/>
          <w:szCs w:val="28"/>
          <w:lang w:val="en-US" w:eastAsia="zh-CN"/>
        </w:rPr>
        <w:t>20</w:t>
      </w:r>
      <w:r>
        <w:rPr>
          <w:rFonts w:hint="eastAsia" w:ascii="仿宋_GB2312" w:eastAsia="仿宋_GB2312"/>
          <w:sz w:val="28"/>
          <w:szCs w:val="28"/>
        </w:rPr>
        <w:t>24年办公修缮类、设备购置类项目增多。</w:t>
      </w:r>
    </w:p>
    <w:p w14:paraId="39B483F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43CE32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085D18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2823.15</w:t>
      </w:r>
      <w:r>
        <w:rPr>
          <w:rFonts w:hint="eastAsia" w:ascii="仿宋_GB2312" w:eastAsia="仿宋_GB2312"/>
          <w:sz w:val="28"/>
          <w:szCs w:val="28"/>
        </w:rPr>
        <w:t>万元，主要用于以下方面（按大类）：教育支出1922.24万元，占本年财政拨款支出68.09%； 社会保障和就业支出452.66万元，占本年财政拨款支出16.03%，卫生健康支出139.86万元，占本年财政拨款支出4.9</w:t>
      </w:r>
      <w:r>
        <w:rPr>
          <w:rFonts w:hint="eastAsia" w:ascii="仿宋_GB2312" w:eastAsia="仿宋_GB2312"/>
          <w:sz w:val="28"/>
          <w:szCs w:val="28"/>
          <w:lang w:val="en-US" w:eastAsia="zh-CN"/>
        </w:rPr>
        <w:t>5</w:t>
      </w:r>
      <w:r>
        <w:rPr>
          <w:rFonts w:hint="eastAsia" w:ascii="仿宋_GB2312" w:eastAsia="仿宋_GB2312"/>
          <w:sz w:val="28"/>
          <w:szCs w:val="28"/>
        </w:rPr>
        <w:t>%，住房保障支出308.39万元，占本年财政拨款支出10.92%。</w:t>
      </w:r>
    </w:p>
    <w:p w14:paraId="2452794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D5F81C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1、“教育支出”(类)2024年度年初预算1,794.64万元，2024年度决算1,922.24万元，完成年初预算的107.11%。</w:t>
      </w:r>
    </w:p>
    <w:p w14:paraId="2465420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54B72586">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“普通教育”（款）2024年度年初预算1,790.32万元，2024年度决算1,917.92万元，完成年初预算的107.13%</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val="en-US" w:eastAsia="zh-CN"/>
        </w:rPr>
        <w:t>人员经费增加，追加食堂设备购置、保洁经费补充等项目金额。</w:t>
      </w:r>
    </w:p>
    <w:p w14:paraId="25454D6E">
      <w:pPr>
        <w:spacing w:line="580" w:lineRule="exact"/>
        <w:ind w:firstLine="560" w:firstLineChars="200"/>
        <w:rPr>
          <w:rFonts w:hint="default" w:eastAsia="仿宋_GB2312"/>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进修及培训</w:t>
      </w:r>
      <w:r>
        <w:rPr>
          <w:rFonts w:hint="eastAsia" w:ascii="仿宋_GB2312" w:eastAsia="仿宋_GB2312"/>
          <w:sz w:val="28"/>
          <w:szCs w:val="28"/>
        </w:rPr>
        <w:t>”（款）2024年度年初预算4.32万元，2024年度决算4.32万元，完成年初预算的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val="en-US" w:eastAsia="zh-CN"/>
        </w:rPr>
        <w:t>金额无变动。</w:t>
      </w:r>
    </w:p>
    <w:p w14:paraId="57D76ABE">
      <w:pPr>
        <w:spacing w:line="580" w:lineRule="exact"/>
        <w:ind w:left="279" w:leftChars="133" w:firstLine="280" w:firstLineChars="1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“社会保障和就业支出”(类)2024年度年初预算353.25万元，2024年度决算452.66万元，完成年初预算的128.14%其中：</w:t>
      </w:r>
    </w:p>
    <w:p w14:paraId="27A40FE7">
      <w:pPr>
        <w:spacing w:line="580" w:lineRule="exact"/>
        <w:ind w:left="279" w:leftChars="133" w:firstLine="280" w:firstLineChars="100"/>
        <w:rPr>
          <w:rFonts w:hint="eastAsia" w:ascii="仿宋_GB2312" w:eastAsia="仿宋_GB2312"/>
          <w:sz w:val="28"/>
          <w:szCs w:val="28"/>
        </w:rPr>
      </w:pPr>
      <w:r>
        <w:rPr>
          <w:rFonts w:hint="eastAsia" w:ascii="仿宋_GB2312" w:eastAsia="仿宋_GB2312"/>
          <w:sz w:val="28"/>
          <w:szCs w:val="28"/>
        </w:rPr>
        <w:t>“行政事业单位养老支出”（款）2024年度年初预算353.25万元，2024年度决算420.99 万元，完成年初预算的119.18%</w:t>
      </w:r>
      <w:r>
        <w:rPr>
          <w:rFonts w:hint="eastAsia" w:ascii="仿宋_GB2312" w:eastAsia="仿宋_GB2312"/>
          <w:sz w:val="28"/>
          <w:szCs w:val="28"/>
          <w:lang w:eastAsia="zh-CN"/>
        </w:rPr>
        <w:t>。</w:t>
      </w:r>
      <w:r>
        <w:rPr>
          <w:rFonts w:hint="eastAsia" w:ascii="仿宋_GB2312" w:eastAsia="仿宋_GB2312"/>
          <w:sz w:val="28"/>
          <w:szCs w:val="28"/>
        </w:rPr>
        <w:t>主要原因：发放退休人员一次性补贴。</w:t>
      </w:r>
    </w:p>
    <w:p w14:paraId="6B6A8C42">
      <w:pPr>
        <w:spacing w:line="580" w:lineRule="exact"/>
        <w:ind w:left="279" w:leftChars="133" w:firstLine="280" w:firstLineChars="100"/>
        <w:rPr>
          <w:rFonts w:hint="eastAsia" w:ascii="仿宋_GB2312" w:eastAsia="仿宋_GB2312"/>
          <w:sz w:val="28"/>
          <w:szCs w:val="28"/>
        </w:rPr>
      </w:pPr>
      <w:r>
        <w:rPr>
          <w:rFonts w:hint="eastAsia" w:ascii="仿宋_GB2312" w:eastAsia="仿宋_GB2312"/>
          <w:sz w:val="28"/>
          <w:szCs w:val="28"/>
        </w:rPr>
        <w:t>“抚恤”（款）2024年度年初预算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2024年度决算31.67万元</w:t>
      </w:r>
      <w:r>
        <w:rPr>
          <w:rFonts w:hint="eastAsia" w:ascii="仿宋_GB2312" w:eastAsia="仿宋_GB2312"/>
          <w:sz w:val="28"/>
          <w:szCs w:val="28"/>
          <w:lang w:eastAsia="zh-CN"/>
        </w:rPr>
        <w:t>。</w:t>
      </w:r>
      <w:r>
        <w:rPr>
          <w:rFonts w:hint="eastAsia" w:ascii="仿宋_GB2312" w:eastAsia="仿宋_GB2312"/>
          <w:sz w:val="28"/>
          <w:szCs w:val="28"/>
        </w:rPr>
        <w:t>主要原因：发放退休去世人员抚恤金。</w:t>
      </w:r>
    </w:p>
    <w:p w14:paraId="286D673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“卫生健康支出”(类)2024年度年初预算135.39万元，2024年度决算139.86万元，完成年初预算的103.30%。</w:t>
      </w:r>
    </w:p>
    <w:p w14:paraId="54891CA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1EA10955">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“行政事业单位医疗”（款）2024年度年初预算135.39万元，2024年度决算139.86万元，完成年初预算的103.30%。主要原因：医保基数调整，缴纳医疗保险金额增加</w:t>
      </w:r>
      <w:r>
        <w:rPr>
          <w:rFonts w:hint="eastAsia" w:ascii="仿宋_GB2312" w:eastAsia="仿宋_GB2312"/>
          <w:sz w:val="28"/>
          <w:szCs w:val="28"/>
          <w:lang w:eastAsia="zh-CN"/>
        </w:rPr>
        <w:t>。</w:t>
      </w:r>
    </w:p>
    <w:p w14:paraId="56FF60E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“住房保障支出”(类)2024年度年初预算289.70 万元</w:t>
      </w:r>
      <w:r>
        <w:rPr>
          <w:rFonts w:hint="eastAsia" w:ascii="仿宋_GB2312" w:eastAsia="仿宋_GB2312"/>
          <w:sz w:val="28"/>
          <w:szCs w:val="28"/>
          <w:lang w:eastAsia="zh-CN"/>
        </w:rPr>
        <w:t>，</w:t>
      </w:r>
      <w:r>
        <w:rPr>
          <w:rFonts w:hint="eastAsia" w:ascii="仿宋_GB2312" w:eastAsia="仿宋_GB2312"/>
          <w:sz w:val="28"/>
          <w:szCs w:val="28"/>
        </w:rPr>
        <w:t>2024年度决算308.39万元，完成年初预算的106.45%。其中：</w:t>
      </w:r>
    </w:p>
    <w:p w14:paraId="286CEEB7">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“住房改革支出”（款）2024年度年初预算289.70 万元</w:t>
      </w:r>
      <w:r>
        <w:rPr>
          <w:rFonts w:hint="eastAsia" w:ascii="仿宋_GB2312" w:eastAsia="仿宋_GB2312"/>
          <w:sz w:val="28"/>
          <w:szCs w:val="28"/>
          <w:lang w:eastAsia="zh-CN"/>
        </w:rPr>
        <w:t>，</w:t>
      </w:r>
      <w:r>
        <w:rPr>
          <w:rFonts w:hint="eastAsia" w:ascii="仿宋_GB2312" w:eastAsia="仿宋_GB2312"/>
          <w:sz w:val="28"/>
          <w:szCs w:val="28"/>
        </w:rPr>
        <w:t>2024年度决算308.39万元，完成年初预算的106.45%。主要原因：住房公积金基数调整，缴纳住房公积金金额增加</w:t>
      </w:r>
      <w:r>
        <w:rPr>
          <w:rFonts w:hint="eastAsia" w:ascii="仿宋_GB2312" w:eastAsia="仿宋_GB2312"/>
          <w:sz w:val="28"/>
          <w:szCs w:val="28"/>
          <w:lang w:eastAsia="zh-CN"/>
        </w:rPr>
        <w:t>。</w:t>
      </w:r>
    </w:p>
    <w:p w14:paraId="6D8E20B7">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17D8F8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C48ED4B">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12B351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60CF7A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val="en-US" w:eastAsia="zh-CN"/>
        </w:rPr>
        <w:t>本单位无此项经费。</w:t>
      </w:r>
    </w:p>
    <w:p w14:paraId="61DF646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EFFF11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val="en-US" w:eastAsia="zh-CN"/>
        </w:rPr>
        <w:t>本单位无此项经费。</w:t>
      </w:r>
    </w:p>
    <w:p w14:paraId="5BB931D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2EFB43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2334.19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0E32F6D">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2267F98">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80E6E7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3A48ED8">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w:t>
      </w:r>
    </w:p>
    <w:p w14:paraId="73AA675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本单位无此项经费。</w:t>
      </w:r>
    </w:p>
    <w:p w14:paraId="34A8FF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本单位无此项经费。</w:t>
      </w:r>
    </w:p>
    <w:p w14:paraId="3A48876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本单位无此项经费。</w:t>
      </w:r>
    </w:p>
    <w:p w14:paraId="5E25FC9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68026B5">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我单位不在机关运行经费统计范围内。</w:t>
      </w:r>
    </w:p>
    <w:p w14:paraId="04EE61AD">
      <w:pPr>
        <w:ind w:left="540"/>
        <w:rPr>
          <w:rFonts w:hint="eastAsia" w:ascii="黑体" w:eastAsia="黑体"/>
          <w:sz w:val="28"/>
          <w:szCs w:val="28"/>
        </w:rPr>
      </w:pPr>
      <w:r>
        <w:rPr>
          <w:rFonts w:hint="eastAsia" w:ascii="黑体" w:eastAsia="黑体"/>
          <w:sz w:val="28"/>
          <w:szCs w:val="28"/>
        </w:rPr>
        <w:t>三、政府采购支出情况</w:t>
      </w:r>
    </w:p>
    <w:p w14:paraId="34253DA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276.27</w:t>
      </w:r>
      <w:r>
        <w:rPr>
          <w:rFonts w:hint="eastAsia" w:ascii="仿宋_GB2312" w:eastAsia="仿宋_GB2312"/>
          <w:sz w:val="28"/>
          <w:szCs w:val="28"/>
        </w:rPr>
        <w:t>万元，其中：政府采购货物支出</w:t>
      </w:r>
      <w:r>
        <w:rPr>
          <w:rFonts w:ascii="仿宋_GB2312" w:eastAsia="仿宋_GB2312"/>
          <w:sz w:val="28"/>
          <w:szCs w:val="28"/>
        </w:rPr>
        <w:t>17.32</w:t>
      </w:r>
      <w:r>
        <w:rPr>
          <w:rFonts w:hint="eastAsia" w:ascii="仿宋_GB2312" w:eastAsia="仿宋_GB2312"/>
          <w:sz w:val="28"/>
          <w:szCs w:val="28"/>
        </w:rPr>
        <w:t>万元，政府采购工程支出</w:t>
      </w:r>
      <w:r>
        <w:rPr>
          <w:rFonts w:ascii="仿宋_GB2312" w:eastAsia="仿宋_GB2312"/>
          <w:sz w:val="28"/>
          <w:szCs w:val="28"/>
        </w:rPr>
        <w:t>246.47</w:t>
      </w:r>
      <w:r>
        <w:rPr>
          <w:rFonts w:hint="eastAsia" w:ascii="仿宋_GB2312" w:eastAsia="仿宋_GB2312"/>
          <w:sz w:val="28"/>
          <w:szCs w:val="28"/>
        </w:rPr>
        <w:t>万元，政府采购服务支出</w:t>
      </w:r>
      <w:r>
        <w:rPr>
          <w:rFonts w:ascii="仿宋_GB2312" w:eastAsia="仿宋_GB2312"/>
          <w:sz w:val="28"/>
          <w:szCs w:val="28"/>
        </w:rPr>
        <w:t>12.48</w:t>
      </w:r>
      <w:r>
        <w:rPr>
          <w:rFonts w:hint="eastAsia" w:ascii="仿宋_GB2312" w:eastAsia="仿宋_GB2312"/>
          <w:sz w:val="28"/>
          <w:szCs w:val="28"/>
        </w:rPr>
        <w:t>万元。授予中小企业合同金额</w:t>
      </w:r>
      <w:r>
        <w:rPr>
          <w:rFonts w:ascii="仿宋_GB2312" w:eastAsia="仿宋_GB2312"/>
          <w:sz w:val="28"/>
          <w:szCs w:val="28"/>
        </w:rPr>
        <w:t>276.27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259.33</w:t>
      </w:r>
      <w:r>
        <w:rPr>
          <w:rFonts w:hint="eastAsia" w:ascii="仿宋_GB2312" w:eastAsia="仿宋_GB2312"/>
          <w:sz w:val="28"/>
          <w:szCs w:val="28"/>
        </w:rPr>
        <w:t>万元，占政府采购支出总额的</w:t>
      </w:r>
      <w:r>
        <w:rPr>
          <w:rFonts w:ascii="仿宋_GB2312" w:eastAsia="仿宋_GB2312"/>
          <w:sz w:val="28"/>
          <w:szCs w:val="28"/>
        </w:rPr>
        <w:t>93.87</w:t>
      </w:r>
      <w:r>
        <w:rPr>
          <w:rFonts w:hint="eastAsia" w:ascii="仿宋_GB2312" w:eastAsia="仿宋_GB2312"/>
          <w:sz w:val="28"/>
          <w:szCs w:val="28"/>
        </w:rPr>
        <w:t>%。</w:t>
      </w:r>
    </w:p>
    <w:p w14:paraId="28D97E4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1F2452F">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12月31日，北京市西城区西四北幼儿园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0EF7E86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472AC3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199A1EB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7B9F4F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E108AE6">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A16F5C6">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9789668">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37B7286">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18BAB4E">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BA9AE07">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rPr>
        <w:t>7.</w:t>
      </w:r>
      <w:r>
        <w:rPr>
          <w:rFonts w:hint="eastAsia" w:ascii="仿宋_GB2312" w:eastAsia="仿宋_GB2312"/>
          <w:sz w:val="28"/>
          <w:szCs w:val="28"/>
          <w:lang w:val="en-US" w:eastAsia="zh-CN"/>
        </w:rPr>
        <w:t>教育支出（类）普通教育（款）学前教育（项）：</w:t>
      </w:r>
      <w:r>
        <w:rPr>
          <w:rFonts w:hint="eastAsia" w:ascii="仿宋_GB2312" w:eastAsia="仿宋_GB2312"/>
          <w:sz w:val="28"/>
          <w:szCs w:val="28"/>
          <w:highlight w:val="none"/>
          <w:lang w:val="en-US" w:eastAsia="zh-CN"/>
        </w:rPr>
        <w:t>反映本部门举办的学前教育支出。</w:t>
      </w:r>
    </w:p>
    <w:p w14:paraId="00782F5C">
      <w:p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8.教育支出（类）进修及培训（款）培训支出（项）：反映本部门安排的用于培训的支出。</w:t>
      </w:r>
    </w:p>
    <w:p w14:paraId="1596AC34">
      <w:pPr>
        <w:ind w:left="557" w:leftChars="200" w:hanging="137" w:hangingChars="49"/>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9.社会保障和就业支出（类）行政事业单位养老支出</w:t>
      </w:r>
      <w:r>
        <w:rPr>
          <w:rFonts w:hint="eastAsia" w:ascii="仿宋_GB2312" w:eastAsia="仿宋_GB2312"/>
          <w:b w:val="0"/>
          <w:bCs w:val="0"/>
          <w:sz w:val="28"/>
          <w:szCs w:val="28"/>
        </w:rPr>
        <w:t>（款）事业单位离退休</w:t>
      </w:r>
      <w:r>
        <w:rPr>
          <w:rFonts w:hint="eastAsia" w:ascii="仿宋_GB2312" w:eastAsia="仿宋_GB2312"/>
          <w:b w:val="0"/>
          <w:bCs w:val="0"/>
          <w:sz w:val="28"/>
          <w:szCs w:val="28"/>
          <w:lang w:eastAsia="zh-CN"/>
        </w:rPr>
        <w:t>（</w:t>
      </w:r>
      <w:r>
        <w:rPr>
          <w:rFonts w:hint="eastAsia" w:ascii="仿宋_GB2312" w:eastAsia="仿宋_GB2312"/>
          <w:b w:val="0"/>
          <w:bCs w:val="0"/>
          <w:sz w:val="28"/>
          <w:szCs w:val="28"/>
          <w:lang w:val="en-US" w:eastAsia="zh-CN"/>
        </w:rPr>
        <w:t>项</w:t>
      </w:r>
      <w:r>
        <w:rPr>
          <w:rFonts w:hint="eastAsia" w:ascii="仿宋_GB2312" w:eastAsia="仿宋_GB2312"/>
          <w:b w:val="0"/>
          <w:bCs w:val="0"/>
          <w:sz w:val="28"/>
          <w:szCs w:val="28"/>
          <w:lang w:eastAsia="zh-CN"/>
        </w:rPr>
        <w:t>）：反映事业单位开支的离退休经费。</w:t>
      </w:r>
    </w:p>
    <w:p w14:paraId="32715D38">
      <w:pPr>
        <w:ind w:left="16" w:leftChars="8" w:firstLine="400" w:firstLineChars="143"/>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14:paraId="28F50F51">
      <w:pPr>
        <w:ind w:left="0" w:leftChars="0" w:firstLine="420" w:firstLineChars="150"/>
        <w:rPr>
          <w:rFonts w:hint="eastAsia"/>
          <w:lang w:val="en-US" w:eastAsia="zh-CN"/>
        </w:rPr>
      </w:pPr>
      <w:r>
        <w:rPr>
          <w:rFonts w:hint="eastAsia" w:ascii="仿宋_GB2312" w:eastAsia="仿宋_GB2312"/>
          <w:b w:val="0"/>
          <w:bCs w:val="0"/>
          <w:sz w:val="28"/>
          <w:szCs w:val="28"/>
          <w:lang w:val="en-US" w:eastAsia="zh-CN"/>
        </w:rPr>
        <w:t>11.社会保障和就业支出（类）行政事业单位养老支出</w:t>
      </w:r>
      <w:r>
        <w:rPr>
          <w:rFonts w:hint="eastAsia" w:ascii="仿宋_GB2312" w:eastAsia="仿宋_GB2312"/>
          <w:b w:val="0"/>
          <w:bCs w:val="0"/>
          <w:sz w:val="28"/>
          <w:szCs w:val="28"/>
        </w:rPr>
        <w:t>（款）机关事业单位职业年金缴费支出</w:t>
      </w:r>
      <w:r>
        <w:rPr>
          <w:rFonts w:hint="eastAsia" w:ascii="仿宋_GB2312" w:eastAsia="仿宋_GB2312"/>
          <w:b w:val="0"/>
          <w:bCs w:val="0"/>
          <w:sz w:val="28"/>
          <w:szCs w:val="28"/>
          <w:lang w:eastAsia="zh-CN"/>
        </w:rPr>
        <w:t>（</w:t>
      </w:r>
      <w:r>
        <w:rPr>
          <w:rFonts w:hint="eastAsia" w:ascii="仿宋_GB2312" w:eastAsia="仿宋_GB2312"/>
          <w:b w:val="0"/>
          <w:bCs w:val="0"/>
          <w:sz w:val="28"/>
          <w:szCs w:val="28"/>
          <w:lang w:val="en-US" w:eastAsia="zh-CN"/>
        </w:rPr>
        <w:t>项</w:t>
      </w:r>
      <w:r>
        <w:rPr>
          <w:rFonts w:hint="eastAsia" w:ascii="仿宋_GB2312" w:eastAsia="仿宋_GB2312"/>
          <w:b w:val="0"/>
          <w:bCs w:val="0"/>
          <w:sz w:val="28"/>
          <w:szCs w:val="28"/>
          <w:lang w:eastAsia="zh-CN"/>
        </w:rPr>
        <w:t>）：</w:t>
      </w:r>
      <w:r>
        <w:rPr>
          <w:rFonts w:hint="eastAsia" w:ascii="仿宋_GB2312" w:eastAsia="仿宋_GB2312"/>
          <w:b w:val="0"/>
          <w:bCs w:val="0"/>
          <w:sz w:val="28"/>
          <w:szCs w:val="28"/>
          <w:lang w:val="en-US" w:eastAsia="zh-CN"/>
        </w:rPr>
        <w:t>反映机关事业单位实施养老保险制度由单位实际缴纳的职业年金支出。</w:t>
      </w:r>
    </w:p>
    <w:p w14:paraId="3C5F315A">
      <w:pPr>
        <w:ind w:left="0" w:leftChars="0" w:firstLine="420" w:firstLineChars="15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12.社会保障和就业支出（类）抚恤（款）死亡抚恤（项）：反映按规定用于烈士和牺牲、病故人员家属的一次性和定期抚恤金、丧葬补助费以及烈士褒扬金。</w:t>
      </w:r>
    </w:p>
    <w:p w14:paraId="758300F3">
      <w:p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7A0A23C0">
      <w:pPr>
        <w:ind w:left="0" w:leftChars="0" w:firstLine="420" w:firstLineChars="15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14.住房保障支出（类）住房改革支出（款）住房公积金（项）：反映行政事业单位按人力资源和社会保障部、财政部规定的基本工资和津贴补贴以及规定比例为职工缴纳的住房公积金。</w:t>
      </w:r>
    </w:p>
    <w:p w14:paraId="2E7D4F03">
      <w:pPr>
        <w:bidi w:val="0"/>
        <w:ind w:left="0" w:leftChars="0" w:firstLine="420" w:firstLineChars="15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15.住房保障支出（类）住房改革支出（款）提租补贴（项）：反映按房改政策规定的标准，行政事业单位向职工（含离退休人员）发放的租金补助。</w:t>
      </w:r>
    </w:p>
    <w:p w14:paraId="3AF22771">
      <w:pPr>
        <w:bidi w:val="0"/>
        <w:ind w:left="0" w:leftChars="0" w:firstLine="420" w:firstLineChars="15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16.住房保障支出（类）住房改革支出（款）购房补贴（项）：反映按房改政策规定的标准，行政事业单位向符合条件职工（含离退休人员）发放的用于购买住房的补贴。</w:t>
      </w:r>
    </w:p>
    <w:p w14:paraId="7D5B5C34">
      <w:pPr>
        <w:jc w:val="both"/>
        <w:rPr>
          <w:rFonts w:hint="eastAsia" w:ascii="黑体" w:eastAsia="黑体"/>
          <w:sz w:val="32"/>
          <w:szCs w:val="32"/>
        </w:rPr>
      </w:pPr>
    </w:p>
    <w:p w14:paraId="55FFEB70">
      <w:pPr>
        <w:tabs>
          <w:tab w:val="center" w:pos="6979"/>
        </w:tabs>
        <w:spacing w:line="380" w:lineRule="exact"/>
        <w:jc w:val="center"/>
        <w:rPr>
          <w:rFonts w:ascii="宋体" w:hAnsi="宋体" w:cs="宋体"/>
          <w:b/>
          <w:bCs/>
          <w:kern w:val="0"/>
          <w:sz w:val="28"/>
          <w:szCs w:val="28"/>
        </w:rPr>
      </w:pPr>
    </w:p>
    <w:p w14:paraId="627C9753">
      <w:pPr>
        <w:tabs>
          <w:tab w:val="center" w:pos="6979"/>
        </w:tabs>
        <w:spacing w:line="380" w:lineRule="exact"/>
        <w:jc w:val="center"/>
        <w:rPr>
          <w:rFonts w:ascii="宋体" w:hAnsi="宋体" w:cs="宋体"/>
          <w:b/>
          <w:bCs/>
          <w:kern w:val="0"/>
          <w:sz w:val="28"/>
          <w:szCs w:val="28"/>
        </w:rPr>
      </w:pPr>
    </w:p>
    <w:p w14:paraId="6413F7C2">
      <w:pPr>
        <w:jc w:val="both"/>
        <w:rPr>
          <w:rFonts w:hint="eastAsia" w:ascii="黑体" w:eastAsia="黑体"/>
          <w:sz w:val="32"/>
          <w:szCs w:val="32"/>
        </w:rPr>
      </w:pPr>
    </w:p>
    <w:p w14:paraId="633E7252">
      <w:pPr>
        <w:ind w:firstLine="640" w:firstLineChars="200"/>
        <w:jc w:val="center"/>
        <w:rPr>
          <w:rFonts w:hint="eastAsia" w:ascii="黑体" w:eastAsia="黑体"/>
          <w:sz w:val="32"/>
          <w:szCs w:val="32"/>
        </w:rPr>
      </w:pPr>
    </w:p>
    <w:p w14:paraId="1C0C47A4">
      <w:pPr>
        <w:ind w:firstLine="640" w:firstLineChars="200"/>
        <w:jc w:val="center"/>
        <w:rPr>
          <w:rFonts w:hint="eastAsia" w:ascii="黑体" w:eastAsia="黑体"/>
          <w:sz w:val="32"/>
          <w:szCs w:val="32"/>
        </w:rPr>
      </w:pPr>
    </w:p>
    <w:p w14:paraId="185A8951">
      <w:pPr>
        <w:ind w:firstLine="640" w:firstLineChars="200"/>
        <w:jc w:val="center"/>
        <w:rPr>
          <w:rFonts w:hint="eastAsia" w:ascii="黑体" w:eastAsia="黑体"/>
          <w:sz w:val="32"/>
          <w:szCs w:val="32"/>
        </w:rPr>
      </w:pPr>
    </w:p>
    <w:p w14:paraId="2A2BE3D0">
      <w:pPr>
        <w:ind w:firstLine="640" w:firstLineChars="200"/>
        <w:jc w:val="center"/>
        <w:rPr>
          <w:rFonts w:hint="eastAsia" w:ascii="黑体" w:eastAsia="黑体"/>
          <w:sz w:val="32"/>
          <w:szCs w:val="32"/>
        </w:rPr>
      </w:pPr>
    </w:p>
    <w:p w14:paraId="5B5519CD">
      <w:pPr>
        <w:ind w:firstLine="640" w:firstLineChars="200"/>
        <w:jc w:val="center"/>
        <w:rPr>
          <w:rFonts w:hint="eastAsia" w:ascii="黑体" w:eastAsia="黑体"/>
          <w:sz w:val="32"/>
          <w:szCs w:val="32"/>
        </w:rPr>
      </w:pPr>
    </w:p>
    <w:p w14:paraId="5533CE2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93CEC06">
      <w:pPr>
        <w:ind w:firstLine="560" w:firstLineChars="200"/>
        <w:rPr>
          <w:rFonts w:hint="eastAsia" w:ascii="黑体" w:eastAsia="黑体"/>
          <w:sz w:val="28"/>
          <w:szCs w:val="28"/>
          <w:highlight w:val="yellow"/>
        </w:rPr>
      </w:pPr>
    </w:p>
    <w:p w14:paraId="250D2A98">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21DBB000">
      <w:pPr>
        <w:spacing w:line="480" w:lineRule="exact"/>
        <w:rPr>
          <w:rFonts w:hint="eastAsia" w:ascii="仿宋_GB2312" w:hAnsi="仿宋_GB2312" w:eastAsia="仿宋_GB2312" w:cs="仿宋_GB2312"/>
          <w:sz w:val="32"/>
          <w:szCs w:val="32"/>
        </w:rPr>
      </w:pPr>
    </w:p>
    <w:p w14:paraId="0CDD6E1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A9FC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88FF67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961F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3443DE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484F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D592D6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NjAzZGM4MTI5ODU0ZDM2ZmYwY2NhZWI5ZDZlZD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70581B"/>
    <w:rsid w:val="0BA148CA"/>
    <w:rsid w:val="0C1165C4"/>
    <w:rsid w:val="0D6D544B"/>
    <w:rsid w:val="0DD136FE"/>
    <w:rsid w:val="0DFC18FF"/>
    <w:rsid w:val="0F8E2C57"/>
    <w:rsid w:val="1059665E"/>
    <w:rsid w:val="10AC13BA"/>
    <w:rsid w:val="145A6C1B"/>
    <w:rsid w:val="14B73493"/>
    <w:rsid w:val="167A2FF9"/>
    <w:rsid w:val="18581C69"/>
    <w:rsid w:val="1AEC0734"/>
    <w:rsid w:val="1DEF20B0"/>
    <w:rsid w:val="214243FA"/>
    <w:rsid w:val="21AD613C"/>
    <w:rsid w:val="22467189"/>
    <w:rsid w:val="257A14F5"/>
    <w:rsid w:val="26013AFE"/>
    <w:rsid w:val="27196C26"/>
    <w:rsid w:val="29EF086F"/>
    <w:rsid w:val="2A750617"/>
    <w:rsid w:val="2EFFE297"/>
    <w:rsid w:val="301437CA"/>
    <w:rsid w:val="349D1F0A"/>
    <w:rsid w:val="34DD0473"/>
    <w:rsid w:val="3C684897"/>
    <w:rsid w:val="41F9564C"/>
    <w:rsid w:val="41FD2F74"/>
    <w:rsid w:val="433E495C"/>
    <w:rsid w:val="489F2FD7"/>
    <w:rsid w:val="4901029F"/>
    <w:rsid w:val="4AC27CB3"/>
    <w:rsid w:val="4B1D01E3"/>
    <w:rsid w:val="4BF72BEF"/>
    <w:rsid w:val="4FA90297"/>
    <w:rsid w:val="4FC41A43"/>
    <w:rsid w:val="51DB3C59"/>
    <w:rsid w:val="550C0952"/>
    <w:rsid w:val="55762E42"/>
    <w:rsid w:val="560F2C42"/>
    <w:rsid w:val="57A7B272"/>
    <w:rsid w:val="58470068"/>
    <w:rsid w:val="58747CAC"/>
    <w:rsid w:val="5A1720F9"/>
    <w:rsid w:val="5B9C37C2"/>
    <w:rsid w:val="5BA7C654"/>
    <w:rsid w:val="60A54109"/>
    <w:rsid w:val="61D01CDF"/>
    <w:rsid w:val="64C0607C"/>
    <w:rsid w:val="65756C86"/>
    <w:rsid w:val="674D385B"/>
    <w:rsid w:val="676F09E1"/>
    <w:rsid w:val="6F062372"/>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2823.15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2334.19</c:v>
                </c:pt>
                <c:pt idx="1">
                  <c:v>488.96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3806</Words>
  <Characters>4322</Characters>
  <Lines>44</Lines>
  <Paragraphs>12</Paragraphs>
  <TotalTime>82</TotalTime>
  <ScaleCrop>false</ScaleCrop>
  <LinksUpToDate>false</LinksUpToDate>
  <CharactersWithSpaces>4345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萌</cp:lastModifiedBy>
  <cp:lastPrinted>2025-08-25T07:07:00Z</cp:lastPrinted>
  <dcterms:modified xsi:type="dcterms:W3CDTF">2025-08-27T07:41:03Z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86FE98C8DA0541A9BC2D6F01FA9B5D5D_13</vt:lpwstr>
  </property>
  <property fmtid="{D5CDD505-2E9C-101B-9397-08002B2CF9AE}" pid="4" name="KSOTemplateDocerSaveRecord">
    <vt:lpwstr>eyJoZGlkIjoiMzFhMDlmODM4NDM3ZTUzZTJhOWRjZWIxNmVkMjQxNTMiLCJ1c2VySWQiOiIxMTQwMjc4MDE0In0=</vt:lpwstr>
  </property>
</Properties>
</file>