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99F37C">
      <w:pPr>
        <w:jc w:val="center"/>
        <w:rPr>
          <w:rFonts w:ascii="仿宋_GB2312" w:eastAsia="仿宋_GB2312"/>
          <w:b/>
          <w:sz w:val="32"/>
          <w:szCs w:val="32"/>
        </w:rPr>
      </w:pPr>
    </w:p>
    <w:p w14:paraId="0D520E11">
      <w:pPr>
        <w:jc w:val="center"/>
        <w:rPr>
          <w:rFonts w:ascii="黑体" w:eastAsia="黑体"/>
          <w:sz w:val="72"/>
          <w:szCs w:val="72"/>
        </w:rPr>
      </w:pPr>
    </w:p>
    <w:p w14:paraId="0894E5EC">
      <w:pPr>
        <w:jc w:val="center"/>
        <w:rPr>
          <w:rFonts w:ascii="黑体" w:eastAsia="黑体"/>
          <w:sz w:val="72"/>
          <w:szCs w:val="72"/>
        </w:rPr>
      </w:pPr>
    </w:p>
    <w:p w14:paraId="3E62D6CF">
      <w:pPr>
        <w:jc w:val="center"/>
        <w:rPr>
          <w:rFonts w:ascii="黑体" w:eastAsia="黑体"/>
          <w:sz w:val="72"/>
          <w:szCs w:val="72"/>
        </w:rPr>
      </w:pPr>
    </w:p>
    <w:p w14:paraId="77932DF8">
      <w:pPr>
        <w:jc w:val="center"/>
        <w:rPr>
          <w:rFonts w:ascii="黑体" w:eastAsia="黑体"/>
          <w:sz w:val="72"/>
          <w:szCs w:val="72"/>
        </w:rPr>
      </w:pPr>
    </w:p>
    <w:p w14:paraId="1E4662C5">
      <w:pPr>
        <w:jc w:val="center"/>
        <w:rPr>
          <w:rFonts w:ascii="黑体" w:eastAsia="黑体"/>
          <w:sz w:val="72"/>
          <w:szCs w:val="72"/>
        </w:rPr>
      </w:pPr>
      <w:r>
        <w:rPr>
          <w:rFonts w:hint="eastAsia" w:ascii="黑体" w:eastAsia="黑体"/>
          <w:sz w:val="72"/>
          <w:szCs w:val="72"/>
        </w:rPr>
        <w:t>2024年度部门决算（公开</w:t>
      </w:r>
      <w:r>
        <w:rPr>
          <w:rFonts w:ascii="黑体" w:eastAsia="黑体"/>
          <w:sz w:val="72"/>
          <w:szCs w:val="72"/>
        </w:rPr>
        <w:t>）</w:t>
      </w:r>
    </w:p>
    <w:p w14:paraId="1677312E">
      <w:pPr>
        <w:jc w:val="center"/>
        <w:rPr>
          <w:rFonts w:ascii="黑体" w:eastAsia="黑体"/>
          <w:sz w:val="52"/>
          <w:szCs w:val="52"/>
        </w:rPr>
      </w:pPr>
    </w:p>
    <w:p w14:paraId="2BD84E75">
      <w:pPr>
        <w:jc w:val="center"/>
        <w:rPr>
          <w:rFonts w:ascii="黑体" w:eastAsia="黑体"/>
          <w:sz w:val="52"/>
          <w:szCs w:val="52"/>
        </w:rPr>
      </w:pPr>
    </w:p>
    <w:p w14:paraId="1C676491">
      <w:pPr>
        <w:jc w:val="center"/>
        <w:rPr>
          <w:rFonts w:ascii="黑体" w:eastAsia="黑体"/>
          <w:sz w:val="52"/>
          <w:szCs w:val="52"/>
        </w:rPr>
      </w:pPr>
    </w:p>
    <w:p w14:paraId="6F684CF1">
      <w:pPr>
        <w:jc w:val="center"/>
        <w:rPr>
          <w:rFonts w:ascii="黑体" w:eastAsia="黑体"/>
          <w:sz w:val="52"/>
          <w:szCs w:val="52"/>
        </w:rPr>
      </w:pPr>
    </w:p>
    <w:p w14:paraId="643218E4">
      <w:pPr>
        <w:jc w:val="center"/>
        <w:rPr>
          <w:rFonts w:ascii="黑体" w:eastAsia="黑体"/>
          <w:sz w:val="32"/>
          <w:szCs w:val="32"/>
        </w:rPr>
      </w:pPr>
    </w:p>
    <w:p w14:paraId="3932CC08">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0FB42114">
      <w:pPr>
        <w:spacing w:line="500" w:lineRule="exact"/>
        <w:ind w:firstLine="645"/>
        <w:jc w:val="center"/>
        <w:rPr>
          <w:rFonts w:ascii="宋体" w:hAnsi="宋体" w:cs="宋体"/>
          <w:b/>
          <w:bCs/>
          <w:kern w:val="0"/>
          <w:sz w:val="36"/>
          <w:szCs w:val="36"/>
        </w:rPr>
      </w:pPr>
    </w:p>
    <w:p w14:paraId="02172D8D">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14:paraId="2F78BBD7">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68E76C3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0414EB2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765FE95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7AA7788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4FC16E3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0595AE3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4CD218F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787D31A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14:paraId="6974D46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7B034B7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67F180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14:paraId="4E35563D">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14:paraId="579BBF48">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14:paraId="1C0D4723">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14:paraId="329C6BD4">
      <w:pPr>
        <w:tabs>
          <w:tab w:val="center" w:pos="6979"/>
        </w:tabs>
        <w:spacing w:beforeLines="50" w:afterLines="50"/>
        <w:jc w:val="center"/>
        <w:rPr>
          <w:rFonts w:ascii="宋体" w:hAnsi="宋体" w:cs="宋体"/>
          <w:b/>
          <w:bCs/>
          <w:spacing w:val="40"/>
          <w:kern w:val="0"/>
          <w:sz w:val="32"/>
          <w:szCs w:val="32"/>
        </w:rPr>
      </w:pPr>
    </w:p>
    <w:p w14:paraId="493F1005">
      <w:pPr>
        <w:tabs>
          <w:tab w:val="center" w:pos="6979"/>
        </w:tabs>
        <w:spacing w:beforeLines="50" w:afterLines="50"/>
        <w:jc w:val="center"/>
        <w:rPr>
          <w:rFonts w:ascii="宋体" w:hAnsi="宋体" w:cs="宋体"/>
          <w:b/>
          <w:bCs/>
          <w:spacing w:val="40"/>
          <w:kern w:val="0"/>
          <w:sz w:val="32"/>
          <w:szCs w:val="32"/>
        </w:rPr>
      </w:pPr>
    </w:p>
    <w:p w14:paraId="6CECAE76">
      <w:pPr>
        <w:tabs>
          <w:tab w:val="center" w:pos="6979"/>
        </w:tabs>
        <w:spacing w:beforeLines="50" w:afterLines="50"/>
        <w:jc w:val="center"/>
        <w:rPr>
          <w:rFonts w:ascii="宋体" w:hAnsi="宋体" w:cs="宋体"/>
          <w:b/>
          <w:bCs/>
          <w:spacing w:val="40"/>
          <w:kern w:val="0"/>
          <w:sz w:val="32"/>
          <w:szCs w:val="32"/>
        </w:rPr>
      </w:pPr>
    </w:p>
    <w:p w14:paraId="72A38201">
      <w:pPr>
        <w:tabs>
          <w:tab w:val="center" w:pos="6979"/>
        </w:tabs>
        <w:spacing w:beforeLines="50" w:afterLines="50"/>
        <w:jc w:val="center"/>
        <w:rPr>
          <w:rFonts w:ascii="宋体" w:hAnsi="宋体" w:cs="宋体"/>
          <w:b/>
          <w:bCs/>
          <w:spacing w:val="40"/>
          <w:kern w:val="0"/>
          <w:sz w:val="32"/>
          <w:szCs w:val="32"/>
        </w:rPr>
      </w:pPr>
    </w:p>
    <w:p w14:paraId="022EC0F5">
      <w:pPr>
        <w:tabs>
          <w:tab w:val="center" w:pos="6979"/>
        </w:tabs>
        <w:spacing w:beforeLines="50" w:afterLines="50"/>
        <w:jc w:val="center"/>
        <w:rPr>
          <w:rFonts w:ascii="宋体" w:hAnsi="宋体" w:cs="宋体"/>
          <w:b/>
          <w:bCs/>
          <w:spacing w:val="40"/>
          <w:kern w:val="0"/>
          <w:sz w:val="32"/>
          <w:szCs w:val="32"/>
        </w:rPr>
      </w:pPr>
    </w:p>
    <w:p w14:paraId="1673ED90">
      <w:pPr>
        <w:tabs>
          <w:tab w:val="center" w:pos="6979"/>
        </w:tabs>
        <w:spacing w:beforeLines="50"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14:paraId="7E7303E0">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10BB819F">
      <w:pPr>
        <w:tabs>
          <w:tab w:val="center" w:pos="6979"/>
        </w:tabs>
        <w:spacing w:beforeLines="50"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14:paraId="105CD29C">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14:paraId="367D8995">
      <w:pPr>
        <w:spacing w:line="500" w:lineRule="atLeast"/>
        <w:ind w:firstLine="720" w:firstLineChars="225"/>
        <w:rPr>
          <w:rFonts w:ascii="仿宋_GB2312" w:hAnsi="仿宋" w:eastAsia="仿宋_GB2312"/>
          <w:sz w:val="32"/>
          <w:szCs w:val="32"/>
        </w:rPr>
      </w:pPr>
      <w:r>
        <w:rPr>
          <w:rFonts w:hint="eastAsia" w:ascii="仿宋_GB2312" w:hAnsi="仿宋" w:eastAsia="仿宋_GB2312"/>
          <w:sz w:val="32"/>
          <w:szCs w:val="32"/>
        </w:rPr>
        <w:t>我校自1981年开始招收智力残疾儿童入学，是全国最早为智力残疾儿童提供特殊教育的学校。2009年10月学校迁址至西城区西外大街德宝新园23号，占地面积7,184平方米。学校在“让每个人都有尊严地生活”的办学思想指导下，围绕“挖掘潜能、差异发展、服务生活、着眼未来”的办学宗旨，致力于智力残疾学生的教育、康复、训练等多方面的实践和研究，赢得了社会各界的赞誉。</w:t>
      </w:r>
    </w:p>
    <w:p w14:paraId="26F076D3">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005C5D35">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7207.35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160.51万元，增长2.28%。</w:t>
      </w:r>
    </w:p>
    <w:p w14:paraId="6D1B8577">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46A9A77D">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7207.35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182.49万元，增长2.60%。</w:t>
      </w:r>
    </w:p>
    <w:p w14:paraId="4C55CB28">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1.财政拨款收入</w:t>
      </w:r>
      <w:r>
        <w:rPr>
          <w:rFonts w:ascii="仿宋_GB2312" w:eastAsia="仿宋_GB2312"/>
          <w:sz w:val="28"/>
          <w:szCs w:val="28"/>
        </w:rPr>
        <w:t>7207.35</w:t>
      </w:r>
      <w:r>
        <w:rPr>
          <w:rFonts w:hint="eastAsia" w:ascii="仿宋_GB2312" w:eastAsia="仿宋_GB2312"/>
          <w:sz w:val="28"/>
          <w:szCs w:val="28"/>
        </w:rPr>
        <w:t>万元，占收入合计的100%。其中：一般公共预算财政拨款收入</w:t>
      </w:r>
      <w:r>
        <w:rPr>
          <w:rFonts w:ascii="仿宋_GB2312" w:eastAsia="仿宋_GB2312"/>
          <w:sz w:val="28"/>
          <w:szCs w:val="28"/>
        </w:rPr>
        <w:t>7207.35</w:t>
      </w:r>
      <w:r>
        <w:rPr>
          <w:rFonts w:hint="eastAsia" w:ascii="仿宋_GB2312" w:eastAsia="仿宋_GB2312"/>
          <w:sz w:val="28"/>
          <w:szCs w:val="28"/>
        </w:rPr>
        <w:t>万元，占收入合计的100%；政府性基金预算财政拨款收入</w:t>
      </w:r>
      <w:r>
        <w:rPr>
          <w:rFonts w:ascii="仿宋_GB2312" w:eastAsia="仿宋_GB2312"/>
          <w:sz w:val="28"/>
          <w:szCs w:val="28"/>
        </w:rPr>
        <w:t>0</w:t>
      </w:r>
      <w:r>
        <w:rPr>
          <w:rFonts w:hint="eastAsia" w:ascii="仿宋_GB2312" w:eastAsia="仿宋_GB2312"/>
          <w:sz w:val="28"/>
          <w:szCs w:val="28"/>
        </w:rPr>
        <w:t>万元，占收入合计的0%；国有资本经营预算财政拨款收入</w:t>
      </w:r>
      <w:r>
        <w:rPr>
          <w:rFonts w:ascii="仿宋_GB2312" w:eastAsia="仿宋_GB2312"/>
          <w:sz w:val="28"/>
          <w:szCs w:val="28"/>
        </w:rPr>
        <w:t>0</w:t>
      </w:r>
      <w:r>
        <w:rPr>
          <w:rFonts w:hint="eastAsia" w:ascii="仿宋_GB2312" w:eastAsia="仿宋_GB2312"/>
          <w:sz w:val="28"/>
          <w:szCs w:val="28"/>
        </w:rPr>
        <w:t>万元，占收入合计的0%；</w:t>
      </w:r>
    </w:p>
    <w:p w14:paraId="659234B5">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14:paraId="72A2EFB4">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万元，占收入合计的0%；</w:t>
      </w:r>
    </w:p>
    <w:p w14:paraId="0F3CA833">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14:paraId="1DDD049F">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14:paraId="1BC6CB19">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万元，占收入合计的0%。</w:t>
      </w:r>
    </w:p>
    <w:p w14:paraId="43B39594">
      <w:pPr>
        <w:pStyle w:val="2"/>
        <w:jc w:val="center"/>
      </w:pPr>
      <w:r>
        <w:rPr>
          <w:rFonts w:hint="eastAsia" w:ascii="仿宋_GB2312" w:eastAsia="仿宋_GB2312"/>
          <w:color w:val="000000"/>
          <w:sz w:val="32"/>
        </w:rPr>
        <w:t>图1：收入决算</w:t>
      </w:r>
    </w:p>
    <w:p w14:paraId="644A2FEE">
      <w:pPr>
        <w:pStyle w:val="3"/>
        <w:ind w:firstLine="420"/>
        <w:jc w:val="center"/>
      </w:pPr>
      <w:r>
        <w:drawing>
          <wp:inline distT="0" distB="0" distL="0" distR="0">
            <wp:extent cx="4036695" cy="2328545"/>
            <wp:effectExtent l="0" t="0" r="20955" b="14605"/>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42B3892A">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5BD5D6FD">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7207.35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182.49万元，增长2.60%，其中：基本支出</w:t>
      </w:r>
      <w:r>
        <w:rPr>
          <w:rFonts w:ascii="仿宋_GB2312" w:eastAsia="仿宋_GB2312"/>
          <w:sz w:val="28"/>
          <w:szCs w:val="28"/>
        </w:rPr>
        <w:t>6058.13</w:t>
      </w:r>
      <w:r>
        <w:rPr>
          <w:rFonts w:hint="eastAsia" w:ascii="仿宋_GB2312" w:eastAsia="仿宋_GB2312"/>
          <w:sz w:val="28"/>
          <w:szCs w:val="28"/>
        </w:rPr>
        <w:t>万元，占支出合计的84.05%；项目支出</w:t>
      </w:r>
      <w:r>
        <w:rPr>
          <w:rFonts w:ascii="仿宋_GB2312" w:eastAsia="仿宋_GB2312"/>
          <w:sz w:val="28"/>
          <w:szCs w:val="28"/>
        </w:rPr>
        <w:t>1149.22</w:t>
      </w:r>
      <w:r>
        <w:rPr>
          <w:rFonts w:hint="eastAsia" w:ascii="仿宋_GB2312" w:eastAsia="仿宋_GB2312"/>
          <w:sz w:val="28"/>
          <w:szCs w:val="28"/>
        </w:rPr>
        <w:t>万元，占支出合计的15.95%;上缴上级支出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14:paraId="4E8C4AD6">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147C931B">
      <w:pPr>
        <w:jc w:val="center"/>
        <w:rPr>
          <w:rFonts w:ascii="黑体" w:eastAsia="黑体"/>
          <w:b/>
          <w:sz w:val="28"/>
          <w:szCs w:val="28"/>
        </w:rPr>
      </w:pPr>
      <w:r>
        <w:drawing>
          <wp:inline distT="0" distB="0" distL="114300" distR="114300">
            <wp:extent cx="4572000" cy="2743200"/>
            <wp:effectExtent l="4445" t="4445" r="14605" b="14605"/>
            <wp:docPr id="1" name="图表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0D8E686">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084CCE6C">
      <w:pPr>
        <w:snapToGrid w:val="0"/>
        <w:spacing w:line="520" w:lineRule="exact"/>
        <w:ind w:firstLine="560" w:firstLineChars="200"/>
        <w:rPr>
          <w:rFonts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7207.35</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rPr>
        <w:t>182.49万元，增长2.60%。主要原因：人员经费比上年增加128.88万，公用经费比上年减少5.47万，项目经费比上年增加59.08万。</w:t>
      </w:r>
    </w:p>
    <w:p w14:paraId="1422D36D">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14:paraId="168EF973">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14:paraId="7D0F2FB0">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7207.35</w:t>
      </w:r>
      <w:r>
        <w:rPr>
          <w:rFonts w:hint="eastAsia" w:ascii="仿宋_GB2312" w:eastAsia="仿宋_GB2312"/>
          <w:sz w:val="28"/>
          <w:szCs w:val="28"/>
        </w:rPr>
        <w:t>万元，主要用于以下方面（按大类）：教育支出5052.16万元，占本年财政拨款支出70.10%；社会保障和就业支出920.71万元，占本年财政拨款支出12.77%；卫生健康支出394.49万元，占本年财政拨款支出5.47%；住房保障支出839.99万元，占本年财政拨款支出11.65%。</w:t>
      </w:r>
    </w:p>
    <w:p w14:paraId="6922B77D">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14:paraId="1BC78115">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1、“教育支出”（类）2024年度年初预算4830.88万元，2024年度决算5052.16万元，完成年初预算的104.58%。</w:t>
      </w:r>
    </w:p>
    <w:p w14:paraId="15897BC3">
      <w:pPr>
        <w:autoSpaceDE w:val="0"/>
        <w:autoSpaceDN w:val="0"/>
        <w:adjustRightInd w:val="0"/>
        <w:spacing w:line="580" w:lineRule="exact"/>
        <w:jc w:val="left"/>
        <w:rPr>
          <w:rFonts w:ascii="仿宋_GB2312" w:eastAsia="仿宋_GB2312"/>
          <w:sz w:val="28"/>
          <w:szCs w:val="28"/>
        </w:rPr>
      </w:pPr>
      <w:r>
        <w:rPr>
          <w:rFonts w:hint="eastAsia" w:ascii="仿宋_GB2312" w:eastAsia="仿宋_GB2312"/>
          <w:sz w:val="28"/>
          <w:szCs w:val="28"/>
        </w:rPr>
        <w:t>其中：</w:t>
      </w:r>
    </w:p>
    <w:p w14:paraId="3AD54B05">
      <w:pPr>
        <w:spacing w:line="580" w:lineRule="exact"/>
        <w:ind w:firstLine="560" w:firstLineChars="200"/>
        <w:rPr>
          <w:rFonts w:ascii="仿宋_GB2312" w:eastAsia="仿宋_GB2312"/>
          <w:sz w:val="28"/>
          <w:szCs w:val="28"/>
        </w:rPr>
      </w:pPr>
      <w:r>
        <w:rPr>
          <w:rFonts w:hint="eastAsia" w:ascii="仿宋_GB2312" w:eastAsia="仿宋_GB2312"/>
          <w:sz w:val="28"/>
          <w:szCs w:val="28"/>
        </w:rPr>
        <w:t>“普通教育”（款，下同）2024年度年初预算0.00万元，2024年度决算11.65万元，完成年初预算的0.00%。主要原因：本年度追加了资助经费。</w:t>
      </w:r>
    </w:p>
    <w:p w14:paraId="11FC3EB3">
      <w:pPr>
        <w:spacing w:line="580" w:lineRule="exact"/>
        <w:ind w:firstLine="560" w:firstLineChars="200"/>
        <w:rPr>
          <w:rFonts w:ascii="仿宋_GB2312" w:eastAsia="仿宋_GB2312"/>
          <w:sz w:val="28"/>
          <w:szCs w:val="28"/>
        </w:rPr>
      </w:pPr>
      <w:r>
        <w:rPr>
          <w:rFonts w:hint="eastAsia" w:ascii="仿宋_GB2312" w:eastAsia="仿宋_GB2312"/>
          <w:sz w:val="28"/>
          <w:szCs w:val="28"/>
        </w:rPr>
        <w:t>“特殊教育”（款，下同）2024年度年初预算4820.48万元，2024年度决算5034.48万元，完成年初预算的104.44%。主要原因：本年度追加了资助经费、食堂设备购置经费等。“进修及培训”（款，下同）2024年度年初预算10.40万元，2024年度决算6.04万元，完成年初预算的58.05%。主要原因：本年度安排了部分干部教师赴本市、外省市参加培训。</w:t>
      </w:r>
    </w:p>
    <w:p w14:paraId="015E1E8B">
      <w:pPr>
        <w:spacing w:line="580" w:lineRule="exact"/>
        <w:ind w:firstLine="560" w:firstLineChars="200"/>
        <w:rPr>
          <w:rFonts w:ascii="仿宋_GB2312" w:eastAsia="仿宋_GB2312"/>
          <w:sz w:val="28"/>
          <w:szCs w:val="28"/>
        </w:rPr>
      </w:pPr>
      <w:r>
        <w:rPr>
          <w:rFonts w:hint="eastAsia" w:ascii="仿宋_GB2312" w:eastAsia="仿宋_GB2312"/>
          <w:sz w:val="28"/>
          <w:szCs w:val="28"/>
        </w:rPr>
        <w:t>2、“社会保障和就业支出”(类)2024年度年初预算819.04万元，2024年度决算920.71万元，完成年初预算的112.41%。其中：</w:t>
      </w:r>
    </w:p>
    <w:p w14:paraId="4D6CA0DD">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养老支出”（款）2024年度年初预算819.04万元，2024年度决算888.42万元，完成年初预算的108.47%。主要原因：本年度追加了退休人员一次性补贴。“抚恤”（款）2024年度年初预算0.00万元，2024年度决算32.28万元，完成年初预算的0.00%。主要原因：本年度有退休教师死亡，追加了抚恤金支出。</w:t>
      </w:r>
    </w:p>
    <w:p w14:paraId="35997CB1">
      <w:pPr>
        <w:spacing w:line="580" w:lineRule="exact"/>
        <w:ind w:firstLine="560" w:firstLineChars="200"/>
        <w:rPr>
          <w:rFonts w:ascii="仿宋_GB2312" w:eastAsia="仿宋_GB2312"/>
          <w:sz w:val="28"/>
          <w:szCs w:val="28"/>
        </w:rPr>
      </w:pPr>
      <w:r>
        <w:rPr>
          <w:rFonts w:hint="eastAsia" w:ascii="仿宋_GB2312" w:eastAsia="仿宋_GB2312"/>
          <w:sz w:val="28"/>
          <w:szCs w:val="28"/>
        </w:rPr>
        <w:t>3、“卫生健康支出”(类)2024年度年初预算373.62万元，2024年度决算394.49万元，完成年初预算的105.58%。其中：</w:t>
      </w:r>
    </w:p>
    <w:p w14:paraId="4520F0BB">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“行政事业单位医疗”（款）2024年度年初预算373.62万元，2024年度决算394.49万元，完成年初预算的105.58%。主要原因：生育险从医疗经费中支出，年初预算未包含生育险部分，因此本年度有追加经费。</w:t>
      </w:r>
    </w:p>
    <w:p w14:paraId="56E62B19">
      <w:pPr>
        <w:spacing w:line="580" w:lineRule="exact"/>
        <w:ind w:firstLine="560" w:firstLineChars="200"/>
        <w:rPr>
          <w:rFonts w:ascii="仿宋_GB2312" w:eastAsia="仿宋_GB2312"/>
          <w:sz w:val="28"/>
          <w:szCs w:val="28"/>
        </w:rPr>
      </w:pPr>
      <w:r>
        <w:rPr>
          <w:rFonts w:hint="eastAsia" w:ascii="仿宋_GB2312" w:eastAsia="仿宋_GB2312"/>
          <w:sz w:val="28"/>
          <w:szCs w:val="28"/>
        </w:rPr>
        <w:t>4、“住房保障支出”(类)2024年度年初预算788.86万元，2024年度决算839.99万元，完成年初预算的106.48%。其中：</w:t>
      </w:r>
    </w:p>
    <w:p w14:paraId="3C129CE3">
      <w:pPr>
        <w:spacing w:line="580" w:lineRule="exact"/>
        <w:ind w:firstLine="560" w:firstLineChars="200"/>
        <w:rPr>
          <w:rFonts w:ascii="仿宋_GB2312" w:eastAsia="仿宋_GB2312"/>
          <w:sz w:val="28"/>
          <w:szCs w:val="28"/>
        </w:rPr>
      </w:pPr>
      <w:r>
        <w:rPr>
          <w:rFonts w:hint="eastAsia" w:ascii="仿宋_GB2312" w:eastAsia="仿宋_GB2312"/>
          <w:sz w:val="28"/>
          <w:szCs w:val="28"/>
        </w:rPr>
        <w:t>“住房改革支出”（款）2024年度年初预算788.86万元，2024年度决算839.99万元，完成年初预算的106.48%。主要原因：本年度有教师岗位晋级，追加了住房补贴。</w:t>
      </w:r>
    </w:p>
    <w:p w14:paraId="37B66A98">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14:paraId="4BE03C7C">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（一）政府性基金预算财政拨款支出决算总体情况</w:t>
      </w:r>
    </w:p>
    <w:p w14:paraId="072AC2B5">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本单位无此项经费。</w:t>
      </w:r>
    </w:p>
    <w:p w14:paraId="55EB7392">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（二）政府性基金预算财政拨款支出决算具体情况</w:t>
      </w:r>
    </w:p>
    <w:p w14:paraId="6AB08D2B">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本单位无此项经费。</w:t>
      </w:r>
    </w:p>
    <w:p w14:paraId="664F8E0B">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043601DA">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本单位无此项经费。</w:t>
      </w:r>
      <w:bookmarkStart w:id="0" w:name="_GoBack"/>
      <w:bookmarkEnd w:id="0"/>
    </w:p>
    <w:p w14:paraId="14A3AC01">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14:paraId="125DBE1B">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2024年度使用一般公共预算财政拨款安排基本支出</w:t>
      </w:r>
      <w:r>
        <w:rPr>
          <w:rFonts w:ascii="仿宋_GB2312" w:eastAsia="仿宋_GB2312"/>
          <w:sz w:val="28"/>
          <w:szCs w:val="28"/>
        </w:rPr>
        <w:t>6058.13</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498ABCA3">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14:paraId="352EB54F">
      <w:pPr>
        <w:tabs>
          <w:tab w:val="center" w:pos="6979"/>
        </w:tabs>
        <w:jc w:val="center"/>
        <w:rPr>
          <w:rFonts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14:paraId="43722E72">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14:paraId="09FC32E2">
      <w:pPr>
        <w:spacing w:line="560" w:lineRule="exact"/>
        <w:ind w:firstLine="600"/>
        <w:rPr>
          <w:rFonts w:ascii="仿宋_GB2312" w:eastAsia="仿宋_GB2312"/>
          <w:sz w:val="28"/>
          <w:szCs w:val="28"/>
        </w:rPr>
      </w:pPr>
      <w:r>
        <w:rPr>
          <w:rFonts w:hint="eastAsia" w:ascii="仿宋_GB2312" w:eastAsia="仿宋_GB2312"/>
          <w:sz w:val="28"/>
          <w:szCs w:val="28"/>
        </w:rPr>
        <w:t>2024年度“三公”经费财政拨款决算数</w:t>
      </w:r>
      <w:r>
        <w:rPr>
          <w:rFonts w:ascii="仿宋_GB2312" w:eastAsia="仿宋_GB2312"/>
          <w:sz w:val="28"/>
          <w:szCs w:val="28"/>
        </w:rPr>
        <w:t>1.09</w:t>
      </w:r>
      <w:r>
        <w:rPr>
          <w:rFonts w:hint="eastAsia" w:ascii="仿宋_GB2312" w:eastAsia="仿宋_GB2312"/>
          <w:sz w:val="28"/>
          <w:szCs w:val="28"/>
        </w:rPr>
        <w:t>万元，比2024年度“三公”经费财政拨款年初预算</w:t>
      </w:r>
      <w:r>
        <w:rPr>
          <w:rFonts w:ascii="仿宋_GB2312" w:eastAsia="仿宋_GB2312"/>
          <w:sz w:val="28"/>
          <w:szCs w:val="28"/>
        </w:rPr>
        <w:t>5.4</w:t>
      </w:r>
      <w:r>
        <w:rPr>
          <w:rFonts w:hint="eastAsia" w:ascii="仿宋_GB2312" w:eastAsia="仿宋_GB2312"/>
          <w:sz w:val="28"/>
          <w:szCs w:val="28"/>
        </w:rPr>
        <w:t>万元减少</w:t>
      </w:r>
      <w:r>
        <w:rPr>
          <w:rFonts w:ascii="仿宋_GB2312" w:eastAsia="仿宋_GB2312"/>
          <w:sz w:val="28"/>
          <w:szCs w:val="28"/>
        </w:rPr>
        <w:t>4.31</w:t>
      </w:r>
      <w:r>
        <w:rPr>
          <w:rFonts w:hint="eastAsia" w:ascii="仿宋_GB2312" w:eastAsia="仿宋_GB2312"/>
          <w:sz w:val="28"/>
          <w:szCs w:val="28"/>
        </w:rPr>
        <w:t>万元。其中：</w:t>
      </w:r>
    </w:p>
    <w:p w14:paraId="4D91F49D">
      <w:pPr>
        <w:spacing w:line="560" w:lineRule="exact"/>
        <w:ind w:firstLine="600"/>
        <w:rPr>
          <w:rFonts w:ascii="仿宋_GB2312" w:eastAsia="仿宋_GB2312"/>
          <w:sz w:val="28"/>
          <w:szCs w:val="28"/>
        </w:rPr>
      </w:pPr>
      <w:r>
        <w:rPr>
          <w:rFonts w:hint="eastAsia" w:ascii="仿宋_GB2312" w:eastAsia="仿宋_GB2312"/>
          <w:sz w:val="28"/>
          <w:szCs w:val="28"/>
        </w:rPr>
        <w:t>1.因公出国（境）费用。本单位无此项经费。</w:t>
      </w:r>
    </w:p>
    <w:p w14:paraId="4B38241D">
      <w:pPr>
        <w:spacing w:line="560" w:lineRule="exact"/>
        <w:ind w:firstLine="600"/>
        <w:rPr>
          <w:rFonts w:ascii="仿宋_GB2312" w:eastAsia="仿宋_GB2312"/>
          <w:sz w:val="28"/>
          <w:szCs w:val="28"/>
        </w:rPr>
      </w:pPr>
      <w:r>
        <w:rPr>
          <w:rFonts w:hint="eastAsia" w:ascii="仿宋_GB2312" w:eastAsia="仿宋_GB2312"/>
          <w:sz w:val="28"/>
          <w:szCs w:val="28"/>
        </w:rPr>
        <w:t>2.公务接待费。本单位无此项经费。</w:t>
      </w:r>
    </w:p>
    <w:p w14:paraId="7AA33244">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3.公务用车购置及运行维护费。2024年度决算数</w:t>
      </w:r>
      <w:r>
        <w:rPr>
          <w:rFonts w:ascii="仿宋_GB2312" w:eastAsia="仿宋_GB2312"/>
          <w:sz w:val="28"/>
          <w:szCs w:val="28"/>
        </w:rPr>
        <w:t>1.09</w:t>
      </w:r>
      <w:r>
        <w:rPr>
          <w:rFonts w:hint="eastAsia" w:ascii="仿宋_GB2312" w:eastAsia="仿宋_GB2312"/>
          <w:sz w:val="28"/>
          <w:szCs w:val="28"/>
        </w:rPr>
        <w:t>万元，比2024年度年初预算数</w:t>
      </w:r>
      <w:r>
        <w:rPr>
          <w:rFonts w:ascii="仿宋_GB2312" w:eastAsia="仿宋_GB2312"/>
          <w:sz w:val="28"/>
          <w:szCs w:val="28"/>
        </w:rPr>
        <w:t>5.4</w:t>
      </w:r>
      <w:r>
        <w:rPr>
          <w:rFonts w:hint="eastAsia" w:ascii="仿宋_GB2312" w:eastAsia="仿宋_GB2312"/>
          <w:sz w:val="28"/>
          <w:szCs w:val="28"/>
        </w:rPr>
        <w:t>万元减少</w:t>
      </w:r>
      <w:r>
        <w:rPr>
          <w:rFonts w:ascii="仿宋_GB2312" w:eastAsia="仿宋_GB2312"/>
          <w:sz w:val="28"/>
          <w:szCs w:val="28"/>
        </w:rPr>
        <w:t>4.31</w:t>
      </w:r>
      <w:r>
        <w:rPr>
          <w:rFonts w:hint="eastAsia" w:ascii="仿宋_GB2312" w:eastAsia="仿宋_GB2312"/>
          <w:sz w:val="28"/>
          <w:szCs w:val="28"/>
        </w:rPr>
        <w:t>万元。其中，公务用车购置费2024年度决算数0万元，主要原因：落实政府过紧日子要求，厉行勤俭节约，本单位本年度无新增车辆购置，2024年度购置（更新）0辆。公务用车运行维护费2024年度决算数1.09万元，主要原因：其中公车维修费支出0.26万元，公车保险费0.71万元，其他0.12万元。2024年度公务用车保有量</w:t>
      </w:r>
      <w:r>
        <w:rPr>
          <w:rFonts w:ascii="仿宋_GB2312" w:eastAsia="仿宋_GB2312"/>
          <w:sz w:val="28"/>
          <w:szCs w:val="28"/>
        </w:rPr>
        <w:t>2</w:t>
      </w:r>
      <w:r>
        <w:rPr>
          <w:rFonts w:hint="eastAsia" w:ascii="仿宋_GB2312" w:eastAsia="仿宋_GB2312"/>
          <w:sz w:val="28"/>
          <w:szCs w:val="28"/>
        </w:rPr>
        <w:t>辆。</w:t>
      </w:r>
    </w:p>
    <w:p w14:paraId="173EE49C">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14:paraId="2B903E44">
      <w:pPr>
        <w:ind w:firstLine="537" w:firstLineChars="192"/>
        <w:rPr>
          <w:rFonts w:ascii="仿宋_GB2312" w:eastAsia="仿宋_GB2312"/>
          <w:sz w:val="28"/>
          <w:szCs w:val="28"/>
        </w:rPr>
      </w:pPr>
      <w:r>
        <w:rPr>
          <w:rFonts w:hint="eastAsia" w:ascii="仿宋_GB2312" w:eastAsia="仿宋_GB2312"/>
          <w:sz w:val="28"/>
          <w:szCs w:val="28"/>
        </w:rPr>
        <w:t>我单位不在机关运行经费统计范围之内。</w:t>
      </w:r>
    </w:p>
    <w:p w14:paraId="63EE2500">
      <w:pPr>
        <w:ind w:left="540"/>
        <w:rPr>
          <w:rFonts w:ascii="黑体" w:eastAsia="黑体"/>
          <w:sz w:val="28"/>
          <w:szCs w:val="28"/>
        </w:rPr>
      </w:pPr>
      <w:r>
        <w:rPr>
          <w:rFonts w:hint="eastAsia" w:ascii="黑体" w:eastAsia="黑体"/>
          <w:sz w:val="28"/>
          <w:szCs w:val="28"/>
        </w:rPr>
        <w:t>三、政府采购支出情况</w:t>
      </w:r>
    </w:p>
    <w:p w14:paraId="15B985F5">
      <w:pPr>
        <w:ind w:firstLine="537" w:firstLineChars="192"/>
        <w:rPr>
          <w:rFonts w:ascii="仿宋_GB2312" w:eastAsia="仿宋_GB2312"/>
          <w:sz w:val="28"/>
          <w:szCs w:val="28"/>
        </w:rPr>
      </w:pPr>
      <w:r>
        <w:rPr>
          <w:rFonts w:hint="eastAsia" w:ascii="仿宋_GB2312" w:eastAsia="仿宋_GB2312"/>
          <w:sz w:val="28"/>
          <w:szCs w:val="28"/>
        </w:rPr>
        <w:t>2024年度政府采购支出总额</w:t>
      </w:r>
      <w:r>
        <w:rPr>
          <w:rFonts w:ascii="仿宋_GB2312" w:eastAsia="仿宋_GB2312"/>
          <w:sz w:val="28"/>
          <w:szCs w:val="28"/>
        </w:rPr>
        <w:t>177.78</w:t>
      </w:r>
      <w:r>
        <w:rPr>
          <w:rFonts w:hint="eastAsia" w:ascii="仿宋_GB2312" w:eastAsia="仿宋_GB2312"/>
          <w:sz w:val="28"/>
          <w:szCs w:val="28"/>
        </w:rPr>
        <w:t>万元，其中：政府采购货物支出</w:t>
      </w:r>
      <w:r>
        <w:rPr>
          <w:rFonts w:ascii="仿宋_GB2312" w:eastAsia="仿宋_GB2312"/>
          <w:sz w:val="28"/>
          <w:szCs w:val="28"/>
        </w:rPr>
        <w:t>9.74</w:t>
      </w:r>
      <w:r>
        <w:rPr>
          <w:rFonts w:hint="eastAsia" w:ascii="仿宋_GB2312" w:eastAsia="仿宋_GB2312"/>
          <w:sz w:val="28"/>
          <w:szCs w:val="28"/>
        </w:rPr>
        <w:t>万元，政府采购工程支出</w:t>
      </w:r>
      <w:r>
        <w:rPr>
          <w:rFonts w:ascii="仿宋_GB2312" w:eastAsia="仿宋_GB2312"/>
          <w:sz w:val="28"/>
          <w:szCs w:val="28"/>
        </w:rPr>
        <w:t>105.88</w:t>
      </w:r>
      <w:r>
        <w:rPr>
          <w:rFonts w:hint="eastAsia" w:ascii="仿宋_GB2312" w:eastAsia="仿宋_GB2312"/>
          <w:sz w:val="28"/>
          <w:szCs w:val="28"/>
        </w:rPr>
        <w:t>万元，政府采购服务支出</w:t>
      </w:r>
      <w:r>
        <w:rPr>
          <w:rFonts w:ascii="仿宋_GB2312" w:eastAsia="仿宋_GB2312"/>
          <w:sz w:val="28"/>
          <w:szCs w:val="28"/>
        </w:rPr>
        <w:t>62.16</w:t>
      </w:r>
      <w:r>
        <w:rPr>
          <w:rFonts w:hint="eastAsia" w:ascii="仿宋_GB2312" w:eastAsia="仿宋_GB2312"/>
          <w:sz w:val="28"/>
          <w:szCs w:val="28"/>
        </w:rPr>
        <w:t>万元。授予中小企业合同金额</w:t>
      </w:r>
      <w:r>
        <w:rPr>
          <w:rFonts w:ascii="仿宋_GB2312" w:eastAsia="仿宋_GB2312"/>
          <w:sz w:val="28"/>
          <w:szCs w:val="28"/>
        </w:rPr>
        <w:t>71.89</w:t>
      </w:r>
      <w:r>
        <w:rPr>
          <w:rFonts w:hint="eastAsia" w:ascii="仿宋_GB2312" w:eastAsia="仿宋_GB2312"/>
          <w:sz w:val="28"/>
          <w:szCs w:val="28"/>
        </w:rPr>
        <w:t>万元，占政府采购支出总额的40.44%，其中：授予小微企业合同金额</w:t>
      </w:r>
      <w:r>
        <w:rPr>
          <w:rFonts w:ascii="仿宋_GB2312" w:eastAsia="仿宋_GB2312"/>
          <w:sz w:val="28"/>
          <w:szCs w:val="28"/>
        </w:rPr>
        <w:t>71.89</w:t>
      </w:r>
      <w:r>
        <w:rPr>
          <w:rFonts w:hint="eastAsia" w:ascii="仿宋_GB2312" w:eastAsia="仿宋_GB2312"/>
          <w:sz w:val="28"/>
          <w:szCs w:val="28"/>
        </w:rPr>
        <w:t>万元，占政府采购支出总额的</w:t>
      </w:r>
      <w:r>
        <w:rPr>
          <w:rFonts w:ascii="仿宋_GB2312" w:eastAsia="仿宋_GB2312"/>
          <w:sz w:val="28"/>
          <w:szCs w:val="28"/>
        </w:rPr>
        <w:t>40.44</w:t>
      </w:r>
      <w:r>
        <w:rPr>
          <w:rFonts w:hint="eastAsia" w:ascii="仿宋_GB2312" w:eastAsia="仿宋_GB2312"/>
          <w:sz w:val="28"/>
          <w:szCs w:val="28"/>
        </w:rPr>
        <w:t>%。</w:t>
      </w:r>
    </w:p>
    <w:p w14:paraId="13CEF65E">
      <w:pPr>
        <w:ind w:firstLine="560" w:firstLineChars="200"/>
        <w:rPr>
          <w:rFonts w:ascii="黑体" w:eastAsia="黑体"/>
          <w:sz w:val="28"/>
          <w:szCs w:val="28"/>
          <w:highlight w:val="yellow"/>
        </w:rPr>
      </w:pPr>
      <w:r>
        <w:rPr>
          <w:rFonts w:hint="eastAsia" w:ascii="黑体" w:eastAsia="黑体"/>
          <w:sz w:val="28"/>
          <w:szCs w:val="28"/>
        </w:rPr>
        <w:t>四、国有资产占用情况</w:t>
      </w:r>
    </w:p>
    <w:p w14:paraId="58A38720">
      <w:pPr>
        <w:ind w:firstLine="560" w:firstLineChars="200"/>
        <w:rPr>
          <w:rFonts w:ascii="仿宋_GB2312" w:eastAsia="仿宋_GB2312"/>
          <w:sz w:val="32"/>
          <w:szCs w:val="32"/>
        </w:rPr>
      </w:pPr>
      <w:r>
        <w:rPr>
          <w:rFonts w:hint="eastAsia" w:ascii="仿宋_GB2312" w:eastAsia="仿宋_GB2312"/>
          <w:sz w:val="28"/>
          <w:szCs w:val="28"/>
        </w:rPr>
        <w:t>截至12月31日，北京市西城区培智中心学校共有车辆2台；单位价值100万元（含）以上的设备0台（套）。</w:t>
      </w:r>
    </w:p>
    <w:p w14:paraId="13C5029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684148AB">
      <w:pPr>
        <w:ind w:firstLine="537" w:firstLineChars="192"/>
        <w:rPr>
          <w:rFonts w:ascii="仿宋_GB2312" w:eastAsia="仿宋_GB2312"/>
          <w:sz w:val="28"/>
          <w:szCs w:val="28"/>
        </w:rPr>
      </w:pPr>
      <w:r>
        <w:rPr>
          <w:rFonts w:hint="eastAsia" w:ascii="仿宋_GB2312" w:eastAsia="仿宋_GB2312"/>
          <w:sz w:val="28"/>
          <w:szCs w:val="28"/>
        </w:rPr>
        <w:t>2024年度</w:t>
      </w:r>
      <w:r>
        <w:rPr>
          <w:rFonts w:ascii="仿宋_GB2312" w:eastAsia="仿宋_GB2312"/>
          <w:sz w:val="28"/>
          <w:szCs w:val="28"/>
        </w:rPr>
        <w:t>政府购买服务决算0</w:t>
      </w:r>
      <w:r>
        <w:rPr>
          <w:rFonts w:hint="eastAsia" w:ascii="仿宋_GB2312" w:eastAsia="仿宋_GB2312"/>
          <w:sz w:val="28"/>
          <w:szCs w:val="28"/>
        </w:rPr>
        <w:t>万元。</w:t>
      </w:r>
    </w:p>
    <w:p w14:paraId="64AD158F">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311C24AF">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58365EEA">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3C5B4670">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1998F79B">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376A87AF">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3EDF125E">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1EBCAB82">
      <w:pPr>
        <w:pStyle w:val="20"/>
        <w:ind w:left="440"/>
        <w:rPr>
          <w:rFonts w:ascii="仿宋_GB2312" w:eastAsia="仿宋_GB2312"/>
          <w:sz w:val="28"/>
          <w:szCs w:val="28"/>
        </w:rPr>
      </w:pPr>
      <w:r>
        <w:rPr>
          <w:rFonts w:hint="eastAsia" w:ascii="仿宋_GB2312" w:eastAsia="仿宋_GB2312"/>
          <w:sz w:val="28"/>
          <w:szCs w:val="28"/>
        </w:rPr>
        <w:t>7.教育支出（类）普通教育（款）小学教育（项）：反映本部门举办的小学教育支出。</w:t>
      </w:r>
    </w:p>
    <w:p w14:paraId="74CDEB83">
      <w:pPr>
        <w:pStyle w:val="20"/>
        <w:ind w:left="440"/>
        <w:rPr>
          <w:rFonts w:ascii="仿宋_GB2312" w:eastAsia="仿宋_GB2312"/>
          <w:sz w:val="28"/>
          <w:szCs w:val="28"/>
        </w:rPr>
      </w:pPr>
      <w:r>
        <w:rPr>
          <w:rFonts w:hint="eastAsia" w:ascii="仿宋_GB2312" w:eastAsia="仿宋_GB2312"/>
          <w:sz w:val="28"/>
          <w:szCs w:val="28"/>
        </w:rPr>
        <w:t>8.教育支出（类）普通教育（款）初中教育（项）：反映本部门举办的初中教育支出。</w:t>
      </w:r>
    </w:p>
    <w:p w14:paraId="3DA6A0F3">
      <w:pPr>
        <w:pStyle w:val="20"/>
        <w:ind w:left="440"/>
        <w:rPr>
          <w:rFonts w:hint="eastAsia" w:ascii="仿宋_GB2312" w:eastAsia="仿宋_GB2312"/>
          <w:sz w:val="28"/>
          <w:szCs w:val="28"/>
        </w:rPr>
      </w:pPr>
      <w:r>
        <w:rPr>
          <w:rFonts w:hint="eastAsia" w:ascii="仿宋_GB2312" w:eastAsia="仿宋_GB2312"/>
          <w:sz w:val="28"/>
          <w:szCs w:val="28"/>
        </w:rPr>
        <w:t>9.教育支出（类）普通教育（款）高中教育（项）：反映本部门举办的高中教育支出。</w:t>
      </w:r>
    </w:p>
    <w:p w14:paraId="10F27D06">
      <w:pPr>
        <w:pStyle w:val="20"/>
        <w:ind w:left="440"/>
        <w:rPr>
          <w:rFonts w:ascii="仿宋_GB2312" w:eastAsia="仿宋_GB2312"/>
          <w:sz w:val="28"/>
          <w:szCs w:val="28"/>
        </w:rPr>
      </w:pPr>
      <w:r>
        <w:rPr>
          <w:rFonts w:hint="eastAsia" w:ascii="仿宋_GB2312" w:eastAsia="仿宋_GB2312"/>
          <w:sz w:val="28"/>
          <w:szCs w:val="28"/>
        </w:rPr>
        <w:t>10.教育支出（类）特殊教育（款）特殊学校教育（项）：反映本部门举办盲童学校、聋哑学校、智力落后儿童学校、其他生理缺陷儿童学校的支出。</w:t>
      </w:r>
    </w:p>
    <w:p w14:paraId="1FDB6809">
      <w:pPr>
        <w:ind w:firstLine="420" w:firstLineChars="150"/>
        <w:rPr>
          <w:rFonts w:ascii="仿宋_GB2312" w:eastAsia="仿宋_GB2312"/>
          <w:sz w:val="28"/>
          <w:szCs w:val="28"/>
        </w:rPr>
      </w:pPr>
      <w:r>
        <w:rPr>
          <w:rFonts w:hint="eastAsia" w:ascii="仿宋_GB2312" w:eastAsia="仿宋_GB2312"/>
          <w:sz w:val="28"/>
          <w:szCs w:val="28"/>
        </w:rPr>
        <w:t>11.教育支出（类）进修及培训（款）培训支出（项）：反映本部门安排的用于培训的支出。</w:t>
      </w:r>
    </w:p>
    <w:p w14:paraId="03F686B1">
      <w:pPr>
        <w:ind w:firstLine="420" w:firstLineChars="150"/>
        <w:rPr>
          <w:rFonts w:ascii="仿宋_GB2312" w:eastAsia="仿宋_GB2312"/>
          <w:sz w:val="28"/>
          <w:szCs w:val="28"/>
        </w:rPr>
      </w:pPr>
      <w:r>
        <w:rPr>
          <w:rFonts w:hint="eastAsia" w:ascii="仿宋_GB2312" w:eastAsia="仿宋_GB2312"/>
          <w:sz w:val="28"/>
          <w:szCs w:val="28"/>
        </w:rPr>
        <w:t>12.社会保障和就业支出（类）行政事业单位养老支出（款）事业单位离退休（项）：反映事业单位开支的离退休经费。</w:t>
      </w:r>
    </w:p>
    <w:p w14:paraId="5CD54FE0">
      <w:pPr>
        <w:ind w:firstLine="420" w:firstLineChars="150"/>
        <w:rPr>
          <w:rFonts w:ascii="仿宋_GB2312" w:eastAsia="仿宋_GB2312"/>
          <w:sz w:val="28"/>
          <w:szCs w:val="28"/>
        </w:rPr>
      </w:pPr>
      <w:r>
        <w:rPr>
          <w:rFonts w:hint="eastAsia" w:ascii="仿宋_GB2312" w:eastAsia="仿宋_GB2312"/>
          <w:sz w:val="28"/>
          <w:szCs w:val="28"/>
        </w:rPr>
        <w:t>13.社会保障和就业支出（类）行政事业单位养老支出（款）机关事业单位基本养老保险缴费支出（项）：反映机关事业单位实施养老保险制度由单位缴纳的基本养老保险费支出。</w:t>
      </w:r>
    </w:p>
    <w:p w14:paraId="7FEF786E">
      <w:pPr>
        <w:ind w:firstLine="560" w:firstLineChars="200"/>
        <w:rPr>
          <w:rFonts w:ascii="仿宋_GB2312" w:eastAsia="仿宋_GB2312"/>
          <w:sz w:val="28"/>
          <w:szCs w:val="28"/>
        </w:rPr>
      </w:pPr>
      <w:r>
        <w:rPr>
          <w:rFonts w:hint="eastAsia" w:ascii="仿宋_GB2312" w:eastAsia="仿宋_GB2312"/>
          <w:sz w:val="28"/>
          <w:szCs w:val="28"/>
        </w:rPr>
        <w:t>14.社会保障和就业支出（类）行政事业单位养老支出（款）机关事业单位职业年金缴费支出（项）：反映机关事业单位实施养老保险制度由单位实际缴纳的职业年金支出。</w:t>
      </w:r>
    </w:p>
    <w:p w14:paraId="59D3267E">
      <w:pPr>
        <w:ind w:firstLine="560" w:firstLineChars="200"/>
        <w:rPr>
          <w:rFonts w:ascii="仿宋_GB2312" w:eastAsia="仿宋_GB2312"/>
          <w:sz w:val="28"/>
          <w:szCs w:val="28"/>
        </w:rPr>
      </w:pPr>
      <w:r>
        <w:rPr>
          <w:rFonts w:hint="eastAsia" w:ascii="仿宋_GB2312" w:eastAsia="仿宋_GB2312"/>
          <w:sz w:val="28"/>
          <w:szCs w:val="28"/>
        </w:rPr>
        <w:t>15.社会保障和就业支出（类）抚恤（款）死亡抚恤（项）：反映按规定用于烈士和牺牲、病故人员家属的一次性和定期抚恤金、丧葬补助费以及烈士褒扬金。</w:t>
      </w:r>
    </w:p>
    <w:p w14:paraId="5E71DC8A">
      <w:pPr>
        <w:ind w:firstLine="560" w:firstLineChars="200"/>
        <w:rPr>
          <w:rFonts w:ascii="仿宋_GB2312" w:eastAsia="仿宋_GB2312"/>
          <w:sz w:val="28"/>
          <w:szCs w:val="28"/>
        </w:rPr>
      </w:pPr>
      <w:r>
        <w:rPr>
          <w:rFonts w:hint="eastAsia" w:ascii="仿宋_GB2312" w:eastAsia="仿宋_GB2312"/>
          <w:sz w:val="28"/>
          <w:szCs w:val="28"/>
        </w:rPr>
        <w:t>16.卫生健康支出（类）行政事业单位医疗（款）事业单位医疗（项）：反映财政部门安排的事业单位基本医疗保险缴费经费，未参加医疗保险的事业单位的公费医疗经费，按国家规定享受离休人员待遇的医疗经费。</w:t>
      </w:r>
    </w:p>
    <w:p w14:paraId="04C571A6">
      <w:pPr>
        <w:ind w:firstLine="560" w:firstLineChars="200"/>
        <w:rPr>
          <w:rFonts w:ascii="仿宋_GB2312" w:eastAsia="仿宋_GB2312"/>
          <w:sz w:val="28"/>
          <w:szCs w:val="28"/>
        </w:rPr>
      </w:pPr>
      <w:r>
        <w:rPr>
          <w:rFonts w:hint="eastAsia" w:ascii="仿宋_GB2312" w:eastAsia="仿宋_GB2312"/>
          <w:sz w:val="28"/>
          <w:szCs w:val="28"/>
        </w:rPr>
        <w:t>17.住房保障支出（类）住房改革支出（款）住房公积金（项）：反映行政事业单位按人力资源和社会保障部、财政部规定的基本工资和津贴补贴以及规定比例为职工缴纳的住房公积金。</w:t>
      </w:r>
    </w:p>
    <w:p w14:paraId="74151B01">
      <w:pPr>
        <w:ind w:firstLine="560" w:firstLineChars="200"/>
        <w:rPr>
          <w:rFonts w:ascii="仿宋_GB2312" w:eastAsia="仿宋_GB2312"/>
          <w:sz w:val="28"/>
          <w:szCs w:val="28"/>
        </w:rPr>
      </w:pPr>
      <w:r>
        <w:rPr>
          <w:rFonts w:hint="eastAsia" w:ascii="仿宋_GB2312" w:eastAsia="仿宋_GB2312"/>
          <w:sz w:val="28"/>
          <w:szCs w:val="28"/>
        </w:rPr>
        <w:t>18.住房保障支出（类）住房改革支出（款）提租补贴（项）：反映按房改政策规定的标准，行政事业单位向职工（含离退休人员）发放的租金补助。</w:t>
      </w:r>
    </w:p>
    <w:p w14:paraId="6A49217C">
      <w:pPr>
        <w:ind w:firstLine="560" w:firstLineChars="200"/>
        <w:rPr>
          <w:rFonts w:ascii="仿宋_GB2312" w:eastAsia="仿宋_GB2312"/>
          <w:sz w:val="28"/>
          <w:szCs w:val="28"/>
        </w:rPr>
      </w:pPr>
      <w:r>
        <w:rPr>
          <w:rFonts w:hint="eastAsia" w:ascii="仿宋_GB2312" w:eastAsia="仿宋_GB2312"/>
          <w:sz w:val="28"/>
          <w:szCs w:val="28"/>
        </w:rPr>
        <w:t>19.住房保障支出（类）住房改革支出（款）购房补贴（项）：反映按房改政策规定的标准，行政事业单位向符合条件职工（含离退休人员）发放的用于购买住房的补贴。</w:t>
      </w:r>
    </w:p>
    <w:p w14:paraId="263E289F">
      <w:pPr>
        <w:tabs>
          <w:tab w:val="center" w:pos="6979"/>
        </w:tabs>
        <w:spacing w:line="380" w:lineRule="exact"/>
        <w:jc w:val="center"/>
        <w:rPr>
          <w:rFonts w:ascii="宋体" w:hAnsi="宋体" w:cs="宋体"/>
          <w:b/>
          <w:bCs/>
          <w:kern w:val="0"/>
          <w:sz w:val="28"/>
          <w:szCs w:val="28"/>
        </w:rPr>
      </w:pPr>
    </w:p>
    <w:p w14:paraId="554B57EB">
      <w:pPr>
        <w:rPr>
          <w:rFonts w:ascii="黑体" w:eastAsia="黑体"/>
          <w:sz w:val="32"/>
          <w:szCs w:val="32"/>
        </w:rPr>
      </w:pPr>
    </w:p>
    <w:p w14:paraId="64CC408A">
      <w:pPr>
        <w:ind w:firstLine="640" w:firstLineChars="200"/>
        <w:jc w:val="center"/>
        <w:rPr>
          <w:rFonts w:ascii="黑体" w:eastAsia="黑体"/>
          <w:sz w:val="32"/>
          <w:szCs w:val="32"/>
        </w:rPr>
      </w:pPr>
    </w:p>
    <w:p w14:paraId="2D93F4CC">
      <w:pPr>
        <w:ind w:firstLine="640" w:firstLineChars="200"/>
        <w:jc w:val="center"/>
        <w:rPr>
          <w:rFonts w:ascii="黑体" w:eastAsia="黑体"/>
          <w:sz w:val="32"/>
          <w:szCs w:val="32"/>
        </w:rPr>
      </w:pPr>
      <w:r>
        <w:rPr>
          <w:rFonts w:hint="eastAsia" w:ascii="黑体" w:eastAsia="黑体"/>
          <w:sz w:val="32"/>
          <w:szCs w:val="32"/>
        </w:rPr>
        <w:t>第四部分  2024年度部门绩效评价情况</w:t>
      </w:r>
    </w:p>
    <w:p w14:paraId="6BD65BA3">
      <w:pPr>
        <w:ind w:firstLine="560" w:firstLineChars="200"/>
        <w:rPr>
          <w:rFonts w:ascii="黑体" w:eastAsia="黑体"/>
          <w:sz w:val="28"/>
          <w:szCs w:val="28"/>
          <w:highlight w:val="yellow"/>
        </w:rPr>
      </w:pPr>
    </w:p>
    <w:p w14:paraId="79ED7E31">
      <w:pPr>
        <w:numPr>
          <w:ilvl w:val="0"/>
          <w:numId w:val="1"/>
        </w:numPr>
        <w:ind w:firstLine="560" w:firstLineChars="200"/>
        <w:rPr>
          <w:rFonts w:ascii="黑体" w:eastAsia="黑体"/>
          <w:sz w:val="28"/>
          <w:szCs w:val="28"/>
        </w:rPr>
      </w:pPr>
      <w:r>
        <w:rPr>
          <w:rFonts w:hint="eastAsia" w:ascii="黑体" w:eastAsia="黑体"/>
          <w:sz w:val="28"/>
          <w:szCs w:val="28"/>
        </w:rPr>
        <w:t>部门整体绩效评价报告（参考模板详见附件）</w:t>
      </w:r>
    </w:p>
    <w:p w14:paraId="0788A1C1">
      <w:pPr>
        <w:numPr>
          <w:ilvl w:val="0"/>
          <w:numId w:val="1"/>
        </w:numPr>
        <w:ind w:firstLine="560" w:firstLineChars="200"/>
        <w:rPr>
          <w:rFonts w:ascii="黑体" w:eastAsia="黑体"/>
          <w:sz w:val="28"/>
          <w:szCs w:val="28"/>
        </w:rPr>
      </w:pPr>
      <w:r>
        <w:rPr>
          <w:rFonts w:hint="eastAsia" w:ascii="黑体" w:eastAsia="黑体"/>
          <w:sz w:val="28"/>
          <w:szCs w:val="28"/>
        </w:rPr>
        <w:t>项目支出绩效评价报告（参考模板详见附件）</w:t>
      </w:r>
    </w:p>
    <w:p w14:paraId="71D5C8AF">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（格式详见附件）</w:t>
      </w:r>
    </w:p>
    <w:p w14:paraId="2A6E2C8B">
      <w:pPr>
        <w:numPr>
          <w:ilvl w:val="0"/>
          <w:numId w:val="1"/>
        </w:numPr>
        <w:ind w:firstLine="560" w:firstLineChars="200"/>
        <w:rPr>
          <w:rFonts w:ascii="黑体" w:eastAsia="黑体"/>
          <w:sz w:val="28"/>
          <w:szCs w:val="28"/>
        </w:rPr>
      </w:pPr>
      <w:r>
        <w:rPr>
          <w:rFonts w:hint="eastAsia" w:ascii="黑体" w:eastAsia="黑体"/>
          <w:sz w:val="28"/>
          <w:szCs w:val="28"/>
        </w:rPr>
        <w:t>中央对北京XX转移支付预算执行情况绩效自评报告（参考提纲详见附件）</w:t>
      </w:r>
    </w:p>
    <w:p w14:paraId="31189119">
      <w:pPr>
        <w:spacing w:line="480" w:lineRule="exact"/>
        <w:ind w:firstLine="420"/>
        <w:rPr>
          <w:rFonts w:ascii="黑体" w:eastAsia="黑体"/>
          <w:sz w:val="28"/>
          <w:szCs w:val="28"/>
        </w:rPr>
      </w:pPr>
      <w:r>
        <w:rPr>
          <w:rFonts w:hint="eastAsia" w:ascii="黑体" w:eastAsia="黑体"/>
          <w:sz w:val="28"/>
          <w:szCs w:val="28"/>
        </w:rPr>
        <w:t xml:space="preserve"> （注：有中央转移支付的一级预算部门，公开“一、二、三、四”；没有中央转移支付的一级预算部门，公开“一、二、三”；二级预算单位仅公开“三”。）</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AA28AE">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6C96B7E2">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D71793">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11</w:t>
    </w:r>
    <w:r>
      <w:fldChar w:fldCharType="end"/>
    </w:r>
  </w:p>
  <w:p w14:paraId="58EF0062">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A546D1">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7F4929A0">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ZmNWE4NzRhMTczNjJlZDE5ZTE5YTczN2QxMzcyMjAifQ=="/>
  </w:docVars>
  <w:rsids>
    <w:rsidRoot w:val="00100246"/>
    <w:rsid w:val="00003B03"/>
    <w:rsid w:val="000040E6"/>
    <w:rsid w:val="00011D72"/>
    <w:rsid w:val="00021164"/>
    <w:rsid w:val="000251EF"/>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0A18"/>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66AF6"/>
    <w:rsid w:val="003712DB"/>
    <w:rsid w:val="00373DDC"/>
    <w:rsid w:val="00382A86"/>
    <w:rsid w:val="00383BCC"/>
    <w:rsid w:val="00385243"/>
    <w:rsid w:val="003925D4"/>
    <w:rsid w:val="0039318C"/>
    <w:rsid w:val="00393366"/>
    <w:rsid w:val="003937DC"/>
    <w:rsid w:val="00393D75"/>
    <w:rsid w:val="003A2F2D"/>
    <w:rsid w:val="003A30DC"/>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1DD9"/>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55824"/>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0F85"/>
    <w:rsid w:val="00771795"/>
    <w:rsid w:val="00774925"/>
    <w:rsid w:val="00784B7B"/>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1613"/>
    <w:rsid w:val="007F3196"/>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56779"/>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3315"/>
    <w:rsid w:val="00D25548"/>
    <w:rsid w:val="00D2601F"/>
    <w:rsid w:val="00D27759"/>
    <w:rsid w:val="00D30028"/>
    <w:rsid w:val="00D325D3"/>
    <w:rsid w:val="00D408D6"/>
    <w:rsid w:val="00D511DD"/>
    <w:rsid w:val="00D55C2A"/>
    <w:rsid w:val="00D5640E"/>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E7990"/>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A6588"/>
    <w:rsid w:val="00FB1248"/>
    <w:rsid w:val="00FB208D"/>
    <w:rsid w:val="00FB3CF4"/>
    <w:rsid w:val="00FB4A27"/>
    <w:rsid w:val="00FB4A49"/>
    <w:rsid w:val="00FB69B3"/>
    <w:rsid w:val="00FC3636"/>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9EF086F"/>
    <w:rsid w:val="2EFFE297"/>
    <w:rsid w:val="301437CA"/>
    <w:rsid w:val="349D1F0A"/>
    <w:rsid w:val="34DD0473"/>
    <w:rsid w:val="3C684897"/>
    <w:rsid w:val="3FC5764F"/>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71793A80"/>
    <w:rsid w:val="7357290B"/>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styleId="20">
    <w:name w:val="List Paragraph"/>
    <w:basedOn w:val="1"/>
    <w:qFormat/>
    <w:uiPriority w:val="34"/>
    <w:pPr>
      <w:ind w:left="720"/>
      <w:contextualSpacing/>
    </w:pPr>
    <w:rPr>
      <w:rFonts w:asciiTheme="minorHAnsi" w:hAnsiTheme="minorHAnsi" w:eastAsiaTheme="minorEastAsia" w:cstheme="minorBidi"/>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oleObject" Target="/home/user/Desktop/&#26032;&#24314;Excel&#25991;&#26723;.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7207.35</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zero"/>
    <c:showDLblsOverMax val="0"/>
    <c:extLst>
      <c:ext uri="{0b15fc19-7d7d-44ad-8c2d-2c3a37ce22c3}">
        <chartProps xmlns="https://web.wps.cn/et/2018/main" chartId="{c4b92c7c-ffef-4101-8cb2-e71aece91ffa}"/>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6058.13</c:v>
                </c:pt>
                <c:pt idx="1">
                  <c:v>1149.22</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zero"/>
    <c:showDLblsOverMax val="0"/>
    <c:extLst>
      <c:ext uri="{0b15fc19-7d7d-44ad-8c2d-2c3a37ce22c3}">
        <chartProps xmlns="https://web.wps.cn/et/2018/main" chartId="{bcc86060-2ce4-45ae-bb9d-0f63c6269193}"/>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268</Words>
  <Characters>286</Characters>
  <Lines>36</Lines>
  <Paragraphs>10</Paragraphs>
  <TotalTime>8</TotalTime>
  <ScaleCrop>false</ScaleCrop>
  <LinksUpToDate>false</LinksUpToDate>
  <CharactersWithSpaces>298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2025-08-25T03:47:00Z</dcterms:created>
  <dc:creator>常程</dc:creator>
  <cp:lastModifiedBy>周惠昭</cp:lastModifiedBy>
  <cp:lastPrinted>2020-08-07T11:39:00Z</cp:lastPrinted>
  <dcterms:modified xsi:type="dcterms:W3CDTF">2025-08-25T12:04:03Z</dcterms:modified>
  <dc:title>北京市财政局关于做好向市人大常委会报送2015年度市级部门决算（草案）</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435078ACFECC4A5A8A519EF4C3681114_13</vt:lpwstr>
  </property>
  <property fmtid="{D5CDD505-2E9C-101B-9397-08002B2CF9AE}" pid="4" name="KSOTemplateDocerSaveRecord">
    <vt:lpwstr>eyJoZGlkIjoiMWI0NjZhYzNkM2U2YmU1ZjFmYjhkZmI1NmYyMjZiMGEiLCJ1c2VySWQiOiIxNjAzNDIwMTgyIn0=</vt:lpwstr>
  </property>
</Properties>
</file>