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848EE8">
      <w:pPr>
        <w:jc w:val="center"/>
        <w:rPr>
          <w:rFonts w:ascii="仿宋_GB2312" w:eastAsia="仿宋_GB2312"/>
          <w:b/>
          <w:sz w:val="32"/>
          <w:szCs w:val="32"/>
        </w:rPr>
      </w:pPr>
      <w:bookmarkStart w:id="0" w:name="_GoBack"/>
      <w:bookmarkEnd w:id="0"/>
    </w:p>
    <w:p w14:paraId="474E3BF2">
      <w:pPr>
        <w:jc w:val="center"/>
        <w:rPr>
          <w:rFonts w:ascii="黑体" w:eastAsia="黑体"/>
          <w:sz w:val="72"/>
          <w:szCs w:val="72"/>
        </w:rPr>
      </w:pPr>
    </w:p>
    <w:p w14:paraId="17452C9A">
      <w:pPr>
        <w:jc w:val="center"/>
        <w:rPr>
          <w:rFonts w:ascii="黑体" w:eastAsia="黑体"/>
          <w:sz w:val="72"/>
          <w:szCs w:val="72"/>
        </w:rPr>
      </w:pPr>
    </w:p>
    <w:p w14:paraId="146FCE12">
      <w:pPr>
        <w:jc w:val="center"/>
        <w:rPr>
          <w:rFonts w:ascii="黑体" w:eastAsia="黑体"/>
          <w:sz w:val="72"/>
          <w:szCs w:val="72"/>
        </w:rPr>
      </w:pPr>
    </w:p>
    <w:p w14:paraId="20DE9DCB">
      <w:pPr>
        <w:jc w:val="center"/>
        <w:rPr>
          <w:rFonts w:ascii="黑体" w:eastAsia="黑体"/>
          <w:sz w:val="72"/>
          <w:szCs w:val="72"/>
        </w:rPr>
      </w:pPr>
    </w:p>
    <w:p w14:paraId="5CFE23EA">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50CF293E">
      <w:pPr>
        <w:jc w:val="center"/>
        <w:rPr>
          <w:rFonts w:ascii="黑体" w:eastAsia="黑体"/>
          <w:sz w:val="52"/>
          <w:szCs w:val="52"/>
        </w:rPr>
      </w:pPr>
    </w:p>
    <w:p w14:paraId="2584E458">
      <w:pPr>
        <w:jc w:val="center"/>
        <w:rPr>
          <w:rFonts w:ascii="黑体" w:eastAsia="黑体"/>
          <w:sz w:val="52"/>
          <w:szCs w:val="52"/>
        </w:rPr>
      </w:pPr>
    </w:p>
    <w:p w14:paraId="7E5952FD">
      <w:pPr>
        <w:jc w:val="center"/>
        <w:rPr>
          <w:rFonts w:ascii="黑体" w:eastAsia="黑体"/>
          <w:sz w:val="52"/>
          <w:szCs w:val="52"/>
        </w:rPr>
      </w:pPr>
    </w:p>
    <w:p w14:paraId="095FBEA4">
      <w:pPr>
        <w:jc w:val="center"/>
        <w:rPr>
          <w:rFonts w:ascii="黑体" w:eastAsia="黑体"/>
          <w:sz w:val="52"/>
          <w:szCs w:val="52"/>
        </w:rPr>
      </w:pPr>
    </w:p>
    <w:p w14:paraId="0922255C">
      <w:pPr>
        <w:jc w:val="center"/>
        <w:rPr>
          <w:rFonts w:ascii="黑体" w:eastAsia="黑体"/>
          <w:sz w:val="32"/>
          <w:szCs w:val="32"/>
        </w:rPr>
      </w:pPr>
    </w:p>
    <w:p w14:paraId="6431E6AC">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D6FCA50">
      <w:pPr>
        <w:spacing w:line="500" w:lineRule="exact"/>
        <w:ind w:firstLine="645"/>
        <w:jc w:val="center"/>
        <w:rPr>
          <w:rFonts w:hint="eastAsia" w:ascii="宋体" w:hAnsi="宋体" w:cs="宋体"/>
          <w:b/>
          <w:bCs/>
          <w:kern w:val="0"/>
          <w:sz w:val="36"/>
          <w:szCs w:val="36"/>
        </w:rPr>
      </w:pPr>
    </w:p>
    <w:p w14:paraId="5CC07258">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554BD742">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2C796D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085C71C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02F49C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12810A6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D67ED7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1540E4A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21C2FB5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C32396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7D90218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6FBFFF0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0D21E20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07819CFD">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4A475954">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578D6056">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1C76F2DF">
      <w:pPr>
        <w:tabs>
          <w:tab w:val="center" w:pos="6979"/>
        </w:tabs>
        <w:spacing w:before="156" w:beforeLines="50" w:after="156" w:afterLines="50"/>
        <w:jc w:val="center"/>
        <w:rPr>
          <w:rFonts w:ascii="宋体" w:hAnsi="宋体" w:cs="宋体"/>
          <w:b/>
          <w:bCs/>
          <w:spacing w:val="40"/>
          <w:kern w:val="0"/>
          <w:sz w:val="32"/>
          <w:szCs w:val="32"/>
        </w:rPr>
      </w:pPr>
    </w:p>
    <w:p w14:paraId="22065807">
      <w:pPr>
        <w:tabs>
          <w:tab w:val="center" w:pos="6979"/>
        </w:tabs>
        <w:spacing w:before="156" w:beforeLines="50" w:after="156" w:afterLines="50"/>
        <w:jc w:val="center"/>
        <w:rPr>
          <w:rFonts w:ascii="宋体" w:hAnsi="宋体" w:cs="宋体"/>
          <w:b/>
          <w:bCs/>
          <w:spacing w:val="40"/>
          <w:kern w:val="0"/>
          <w:sz w:val="32"/>
          <w:szCs w:val="32"/>
        </w:rPr>
      </w:pPr>
    </w:p>
    <w:p w14:paraId="6EE28E0A">
      <w:pPr>
        <w:tabs>
          <w:tab w:val="center" w:pos="6979"/>
        </w:tabs>
        <w:spacing w:before="156" w:beforeLines="50" w:after="156" w:afterLines="50"/>
        <w:jc w:val="center"/>
        <w:rPr>
          <w:rFonts w:ascii="宋体" w:hAnsi="宋体" w:cs="宋体"/>
          <w:b/>
          <w:bCs/>
          <w:spacing w:val="40"/>
          <w:kern w:val="0"/>
          <w:sz w:val="32"/>
          <w:szCs w:val="32"/>
        </w:rPr>
      </w:pPr>
    </w:p>
    <w:p w14:paraId="13B9B869">
      <w:pPr>
        <w:tabs>
          <w:tab w:val="center" w:pos="6979"/>
        </w:tabs>
        <w:spacing w:before="156" w:beforeLines="50" w:after="156" w:afterLines="50"/>
        <w:jc w:val="center"/>
        <w:rPr>
          <w:rFonts w:ascii="宋体" w:hAnsi="宋体" w:cs="宋体"/>
          <w:b/>
          <w:bCs/>
          <w:spacing w:val="40"/>
          <w:kern w:val="0"/>
          <w:sz w:val="32"/>
          <w:szCs w:val="32"/>
        </w:rPr>
      </w:pPr>
    </w:p>
    <w:p w14:paraId="5405FC4D">
      <w:pPr>
        <w:tabs>
          <w:tab w:val="center" w:pos="6979"/>
        </w:tabs>
        <w:spacing w:before="156" w:beforeLines="50" w:after="156" w:afterLines="50"/>
        <w:jc w:val="center"/>
        <w:rPr>
          <w:rFonts w:ascii="宋体" w:hAnsi="宋体" w:cs="宋体"/>
          <w:b/>
          <w:bCs/>
          <w:spacing w:val="40"/>
          <w:kern w:val="0"/>
          <w:sz w:val="32"/>
          <w:szCs w:val="32"/>
        </w:rPr>
      </w:pPr>
    </w:p>
    <w:p w14:paraId="69121632">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7C1C87B1">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55B27951">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39B9E6FA">
      <w:pPr>
        <w:tabs>
          <w:tab w:val="center" w:pos="6979"/>
        </w:tabs>
        <w:spacing w:line="580" w:lineRule="exact"/>
        <w:rPr>
          <w:rFonts w:hint="eastAsia" w:ascii="黑体" w:eastAsia="黑体"/>
          <w:b/>
          <w:sz w:val="28"/>
          <w:szCs w:val="28"/>
        </w:rPr>
      </w:pPr>
      <w:r>
        <w:rPr>
          <w:rFonts w:hint="eastAsia" w:ascii="黑体" w:eastAsia="黑体"/>
          <w:b/>
          <w:sz w:val="28"/>
          <w:szCs w:val="28"/>
        </w:rPr>
        <w:t>一、单位基本情况</w:t>
      </w:r>
    </w:p>
    <w:p w14:paraId="049BEA81">
      <w:pPr>
        <w:tabs>
          <w:tab w:val="center" w:pos="6979"/>
        </w:tabs>
        <w:spacing w:line="580" w:lineRule="exact"/>
        <w:ind w:firstLine="560" w:firstLineChars="200"/>
        <w:rPr>
          <w:rFonts w:ascii="黑体" w:eastAsia="黑体"/>
          <w:b/>
          <w:sz w:val="28"/>
          <w:szCs w:val="28"/>
        </w:rPr>
      </w:pPr>
      <w:r>
        <w:rPr>
          <w:rFonts w:hint="eastAsia" w:ascii="仿宋_GB2312" w:eastAsia="仿宋_GB2312"/>
          <w:sz w:val="28"/>
          <w:szCs w:val="28"/>
        </w:rPr>
        <w:t xml:space="preserve">我单位年末独立编制机构数为1个，未变动。各个科室都有明确的任务分工和职责范围，在针对教委各个学校的设备合理配置，固定资产日常管理，总务后勤部分管理工作方面发挥着重要作用。我单位为西城区教育委员会所属全民所有制全额拨款事业单位，受西城区教育委员会委托行使教育技术装备工作的行政职能。中心主要职责：西城区教育系统所属中小学、职高、特教、幼儿园及直属单位教育教学设备预算管理和配置，对学校国有资产开展日常动态管理和指导，指导学校总务后勤的部分管理工作。   </w:t>
      </w:r>
      <w:r>
        <w:rPr>
          <w:rFonts w:ascii="仿宋_GB2312" w:eastAsia="仿宋_GB2312"/>
          <w:b/>
          <w:sz w:val="32"/>
          <w:szCs w:val="32"/>
        </w:rPr>
        <w:t xml:space="preserve">           </w:t>
      </w:r>
      <w:r>
        <w:rPr>
          <w:rFonts w:hint="eastAsia" w:ascii="黑体" w:eastAsia="黑体"/>
          <w:b/>
          <w:sz w:val="28"/>
          <w:szCs w:val="28"/>
        </w:rPr>
        <w:t xml:space="preserve"> </w:t>
      </w:r>
      <w:r>
        <w:rPr>
          <w:rFonts w:ascii="黑体" w:eastAsia="黑体"/>
          <w:b/>
          <w:sz w:val="28"/>
          <w:szCs w:val="28"/>
        </w:rPr>
        <w:t xml:space="preserve">              </w:t>
      </w:r>
    </w:p>
    <w:p w14:paraId="6AE9DDBF">
      <w:pPr>
        <w:tabs>
          <w:tab w:val="center" w:pos="6979"/>
        </w:tabs>
        <w:spacing w:line="580" w:lineRule="exact"/>
        <w:rPr>
          <w:rFonts w:hint="eastAsia" w:ascii="仿宋_GB2312" w:eastAsia="仿宋_GB2312"/>
          <w:b/>
          <w:sz w:val="32"/>
          <w:szCs w:val="32"/>
        </w:rPr>
      </w:pPr>
      <w:r>
        <w:rPr>
          <w:rFonts w:ascii="黑体" w:eastAsia="黑体"/>
          <w:b/>
          <w:sz w:val="28"/>
          <w:szCs w:val="28"/>
        </w:rPr>
        <w:t xml:space="preserve"> </w:t>
      </w:r>
      <w:r>
        <w:rPr>
          <w:rFonts w:hint="eastAsia" w:ascii="黑体" w:eastAsia="黑体"/>
          <w:b/>
          <w:sz w:val="28"/>
          <w:szCs w:val="28"/>
        </w:rPr>
        <w:t>二、收入支出决算总体情况说明</w:t>
      </w:r>
    </w:p>
    <w:p w14:paraId="3F5F9DC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12865.83</w:t>
      </w:r>
      <w:r>
        <w:rPr>
          <w:rFonts w:hint="eastAsia" w:ascii="仿宋_GB2312" w:eastAsia="仿宋_GB2312"/>
          <w:sz w:val="28"/>
          <w:szCs w:val="28"/>
        </w:rPr>
        <w:t>万元，比上年增加332</w:t>
      </w:r>
      <w:r>
        <w:rPr>
          <w:rFonts w:ascii="仿宋_GB2312" w:eastAsia="仿宋_GB2312"/>
          <w:sz w:val="28"/>
          <w:szCs w:val="28"/>
        </w:rPr>
        <w:t>8.19</w:t>
      </w:r>
      <w:r>
        <w:rPr>
          <w:rFonts w:hint="eastAsia" w:ascii="仿宋_GB2312" w:eastAsia="仿宋_GB2312"/>
          <w:sz w:val="28"/>
          <w:szCs w:val="28"/>
        </w:rPr>
        <w:t>万元，增长34.9</w:t>
      </w:r>
      <w:r>
        <w:rPr>
          <w:rFonts w:ascii="仿宋_GB2312" w:eastAsia="仿宋_GB2312"/>
          <w:sz w:val="28"/>
          <w:szCs w:val="28"/>
        </w:rPr>
        <w:t>0</w:t>
      </w:r>
      <w:r>
        <w:rPr>
          <w:rFonts w:hint="eastAsia" w:ascii="仿宋_GB2312" w:eastAsia="仿宋_GB2312"/>
          <w:sz w:val="28"/>
          <w:szCs w:val="28"/>
        </w:rPr>
        <w:t>%。</w:t>
      </w:r>
    </w:p>
    <w:p w14:paraId="699B5BE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41DD79F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12865.83</w:t>
      </w:r>
      <w:r>
        <w:rPr>
          <w:rFonts w:hint="eastAsia" w:ascii="仿宋_GB2312" w:eastAsia="仿宋_GB2312"/>
          <w:sz w:val="28"/>
          <w:szCs w:val="28"/>
        </w:rPr>
        <w:t>万元，比上年增加3329.5万元，增长34.91%。</w:t>
      </w:r>
    </w:p>
    <w:p w14:paraId="2467EF7B">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12865.83</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%。其中：一般公共预算财政拨款收入</w:t>
      </w:r>
      <w:r>
        <w:rPr>
          <w:rFonts w:ascii="仿宋_GB2312" w:eastAsia="仿宋_GB2312"/>
          <w:sz w:val="28"/>
          <w:szCs w:val="28"/>
        </w:rPr>
        <w:t>12865.83</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777E9D2B">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5A342730">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46CFDCA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17A89DE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0C27946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4A942A71">
      <w:pPr>
        <w:pStyle w:val="2"/>
        <w:jc w:val="center"/>
      </w:pPr>
      <w:r>
        <w:rPr>
          <w:rFonts w:hint="eastAsia" w:ascii="仿宋_GB2312" w:eastAsia="仿宋_GB2312"/>
          <w:color w:val="000000"/>
          <w:sz w:val="32"/>
        </w:rPr>
        <w:t>图1：收入预算</w:t>
      </w:r>
    </w:p>
    <w:p w14:paraId="677E2793">
      <w:pPr>
        <w:pStyle w:val="3"/>
        <w:ind w:firstLine="420"/>
        <w:jc w:val="center"/>
      </w:pPr>
      <w:r>
        <w:drawing>
          <wp:inline distT="0" distB="0" distL="114300" distR="114300">
            <wp:extent cx="4590415" cy="2761615"/>
            <wp:effectExtent l="0" t="0" r="8255" b="1905"/>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Rot="1" noChangeAspect="1"/>
                    </pic:cNvPicPr>
                  </pic:nvPicPr>
                  <pic:blipFill>
                    <a:blip r:embed="rId7"/>
                    <a:stretch>
                      <a:fillRect/>
                    </a:stretch>
                  </pic:blipFill>
                  <pic:spPr>
                    <a:xfrm>
                      <a:off x="0" y="0"/>
                      <a:ext cx="4590415" cy="2761615"/>
                    </a:xfrm>
                    <a:prstGeom prst="rect">
                      <a:avLst/>
                    </a:prstGeom>
                    <a:noFill/>
                    <a:ln>
                      <a:noFill/>
                    </a:ln>
                  </pic:spPr>
                </pic:pic>
              </a:graphicData>
            </a:graphic>
          </wp:inline>
        </w:drawing>
      </w:r>
    </w:p>
    <w:p w14:paraId="731045F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1C55EBE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支出合计12865.83万元，比上年增加3329.5万元，增长34.91%，其中：基本支出834.7万元，占支出合计的6.49%；项目支出12031.13万元，占支出合计的93.51%;上缴上级支出0万元，占支出合计的0%；经营支出0万元，占支出合计的0%；对附属单位补助支出0万元，占支出合计的0%。</w:t>
      </w:r>
    </w:p>
    <w:p w14:paraId="4113412A">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461A358D">
      <w:pPr>
        <w:jc w:val="center"/>
        <w:rPr>
          <w:rFonts w:ascii="黑体" w:eastAsia="黑体"/>
          <w:b/>
          <w:sz w:val="28"/>
          <w:szCs w:val="28"/>
        </w:rPr>
      </w:pPr>
      <w:r>
        <w:rPr>
          <w:rFonts w:ascii="黑体" w:eastAsia="黑体"/>
          <w:b/>
          <w:sz w:val="28"/>
          <w:szCs w:val="28"/>
        </w:rPr>
        <w:drawing>
          <wp:inline distT="0" distB="0" distL="114300" distR="114300">
            <wp:extent cx="4590415" cy="2761615"/>
            <wp:effectExtent l="0" t="0" r="8255" b="1905"/>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Rot="1" noChangeAspect="1"/>
                    </pic:cNvPicPr>
                  </pic:nvPicPr>
                  <pic:blipFill>
                    <a:blip r:embed="rId8"/>
                    <a:stretch>
                      <a:fillRect/>
                    </a:stretch>
                  </pic:blipFill>
                  <pic:spPr>
                    <a:xfrm>
                      <a:off x="0" y="0"/>
                      <a:ext cx="4590415" cy="2761615"/>
                    </a:xfrm>
                    <a:prstGeom prst="rect">
                      <a:avLst/>
                    </a:prstGeom>
                    <a:noFill/>
                    <a:ln>
                      <a:noFill/>
                    </a:ln>
                  </pic:spPr>
                </pic:pic>
              </a:graphicData>
            </a:graphic>
          </wp:inline>
        </w:drawing>
      </w:r>
    </w:p>
    <w:p w14:paraId="7C39E39B">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572F388">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2024年度财政拨款收、支总计12865.83万元，比上年增加3329.5万元，增长34.91%。</w:t>
      </w:r>
      <w:r>
        <w:rPr>
          <w:rFonts w:hint="eastAsia" w:ascii="仿宋_GB2312" w:eastAsia="仿宋_GB2312"/>
          <w:sz w:val="28"/>
          <w:szCs w:val="28"/>
          <w:highlight w:val="none"/>
        </w:rPr>
        <w:t>主要原因：由于</w:t>
      </w:r>
      <w:r>
        <w:rPr>
          <w:rFonts w:hint="eastAsia" w:ascii="仿宋_GB2312" w:eastAsia="仿宋_GB2312"/>
          <w:sz w:val="28"/>
          <w:szCs w:val="28"/>
          <w:highlight w:val="none"/>
          <w:lang w:val="en-US" w:eastAsia="zh-CN"/>
        </w:rPr>
        <w:t>教委和财政资金统筹安排，将2023年部分设备尾款安排在2024年支付，所以</w:t>
      </w:r>
      <w:r>
        <w:rPr>
          <w:rFonts w:hint="eastAsia" w:ascii="仿宋_GB2312" w:eastAsia="仿宋_GB2312"/>
          <w:sz w:val="28"/>
          <w:szCs w:val="28"/>
          <w:highlight w:val="none"/>
        </w:rPr>
        <w:t>专项设备采购资金增加，造成财政拨款收入支出总计增加。</w:t>
      </w:r>
    </w:p>
    <w:p w14:paraId="093E82DC">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78B0E61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1CFE9370">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2024年度一般公共预算财政拨款支出12865.83万元，主要用于以下方面（按大类）：教育支出12579.11万元，占本年财政拨款支出97.77%；社会保障和就业支出116.45万元，占本年财政拨款支出0.91%；卫生健康支出55.33万元，占本年财政拨款支出0.43%；住房保障支出114.93万元，占本年财政拨款支出0.89%。</w:t>
      </w:r>
    </w:p>
    <w:p w14:paraId="6AAE299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C20567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1、“教育支出”（类）2024年度年初预算</w:t>
      </w:r>
      <w:r>
        <w:rPr>
          <w:rFonts w:ascii="仿宋_GB2312" w:eastAsia="仿宋_GB2312"/>
          <w:sz w:val="28"/>
          <w:szCs w:val="28"/>
        </w:rPr>
        <w:t>17856.28</w:t>
      </w:r>
      <w:r>
        <w:rPr>
          <w:rFonts w:hint="eastAsia" w:ascii="仿宋_GB2312" w:eastAsia="仿宋_GB2312"/>
          <w:sz w:val="28"/>
          <w:szCs w:val="28"/>
        </w:rPr>
        <w:t>万元，2024年度决算</w:t>
      </w:r>
      <w:r>
        <w:rPr>
          <w:rFonts w:ascii="仿宋_GB2312" w:eastAsia="仿宋_GB2312"/>
          <w:sz w:val="28"/>
          <w:szCs w:val="28"/>
        </w:rPr>
        <w:t>12579.11</w:t>
      </w:r>
      <w:r>
        <w:rPr>
          <w:rFonts w:hint="eastAsia" w:ascii="仿宋_GB2312" w:eastAsia="仿宋_GB2312"/>
          <w:sz w:val="28"/>
          <w:szCs w:val="28"/>
        </w:rPr>
        <w:t>万元，完成年初预算的</w:t>
      </w:r>
      <w:r>
        <w:rPr>
          <w:rFonts w:ascii="仿宋_GB2312" w:eastAsia="仿宋_GB2312"/>
          <w:sz w:val="28"/>
          <w:szCs w:val="28"/>
        </w:rPr>
        <w:t>70.45</w:t>
      </w:r>
      <w:r>
        <w:rPr>
          <w:rFonts w:hint="eastAsia" w:ascii="仿宋_GB2312" w:eastAsia="仿宋_GB2312"/>
          <w:sz w:val="28"/>
          <w:szCs w:val="28"/>
        </w:rPr>
        <w:t>%。其中：</w:t>
      </w:r>
    </w:p>
    <w:p w14:paraId="276614D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“普通教育”（款，下同）2024年度年初预算17854.37万元，2024年度决算</w:t>
      </w:r>
      <w:r>
        <w:rPr>
          <w:rFonts w:ascii="仿宋_GB2312" w:eastAsia="仿宋_GB2312"/>
          <w:sz w:val="28"/>
          <w:szCs w:val="28"/>
        </w:rPr>
        <w:t>12579.06</w:t>
      </w:r>
      <w:r>
        <w:rPr>
          <w:rFonts w:hint="eastAsia" w:ascii="仿宋_GB2312" w:eastAsia="仿宋_GB2312"/>
          <w:sz w:val="28"/>
          <w:szCs w:val="28"/>
        </w:rPr>
        <w:t>万元，完成年初预算的70.45%。主要原因：根据项目实际需求调减了部分年初项目、设备采购完成纯结余资金收回等。</w:t>
      </w:r>
    </w:p>
    <w:p w14:paraId="5203337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“进修及培训”（款，下同）2024年度年初预算</w:t>
      </w:r>
      <w:r>
        <w:rPr>
          <w:rFonts w:ascii="仿宋_GB2312" w:eastAsia="仿宋_GB2312"/>
          <w:sz w:val="28"/>
          <w:szCs w:val="28"/>
        </w:rPr>
        <w:t>1.91</w:t>
      </w:r>
      <w:r>
        <w:rPr>
          <w:rFonts w:hint="eastAsia" w:ascii="仿宋_GB2312" w:eastAsia="仿宋_GB2312"/>
          <w:sz w:val="28"/>
          <w:szCs w:val="28"/>
        </w:rPr>
        <w:t>万元，2024年度决算</w:t>
      </w:r>
      <w:r>
        <w:rPr>
          <w:rFonts w:ascii="仿宋_GB2312" w:eastAsia="仿宋_GB2312"/>
          <w:sz w:val="28"/>
          <w:szCs w:val="28"/>
        </w:rPr>
        <w:t>0.05</w:t>
      </w:r>
      <w:r>
        <w:rPr>
          <w:rFonts w:hint="eastAsia" w:ascii="仿宋_GB2312" w:eastAsia="仿宋_GB2312"/>
          <w:sz w:val="28"/>
          <w:szCs w:val="28"/>
        </w:rPr>
        <w:t>万元，完成年初预算的</w:t>
      </w:r>
      <w:r>
        <w:rPr>
          <w:rFonts w:ascii="仿宋_GB2312" w:eastAsia="仿宋_GB2312"/>
          <w:sz w:val="28"/>
          <w:szCs w:val="28"/>
        </w:rPr>
        <w:t>2.85</w:t>
      </w:r>
      <w:r>
        <w:rPr>
          <w:rFonts w:hint="eastAsia" w:ascii="仿宋_GB2312" w:eastAsia="仿宋_GB2312"/>
          <w:sz w:val="28"/>
          <w:szCs w:val="28"/>
        </w:rPr>
        <w:t>%。主要原因：按照实际需求使用此项资金，本年培训产生支出较少。</w:t>
      </w:r>
    </w:p>
    <w:p w14:paraId="5D482D5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w:t>
      </w:r>
      <w:r>
        <w:rPr>
          <w:rFonts w:hint="eastAsia"/>
        </w:rPr>
        <w:t xml:space="preserve"> </w:t>
      </w:r>
      <w:r>
        <w:rPr>
          <w:rFonts w:hint="eastAsia" w:ascii="仿宋_GB2312" w:eastAsia="仿宋_GB2312"/>
          <w:sz w:val="28"/>
          <w:szCs w:val="28"/>
        </w:rPr>
        <w:t>2024年度年初预算</w:t>
      </w:r>
      <w:r>
        <w:rPr>
          <w:rFonts w:ascii="仿宋_GB2312" w:eastAsia="仿宋_GB2312"/>
          <w:sz w:val="28"/>
          <w:szCs w:val="28"/>
        </w:rPr>
        <w:t>114.41</w:t>
      </w:r>
      <w:r>
        <w:rPr>
          <w:rFonts w:hint="eastAsia" w:ascii="仿宋_GB2312" w:eastAsia="仿宋_GB2312"/>
          <w:sz w:val="28"/>
          <w:szCs w:val="28"/>
        </w:rPr>
        <w:t>万元，2024年度决算</w:t>
      </w:r>
      <w:r>
        <w:rPr>
          <w:rFonts w:ascii="仿宋_GB2312" w:eastAsia="仿宋_GB2312"/>
          <w:sz w:val="28"/>
          <w:szCs w:val="28"/>
        </w:rPr>
        <w:t>116.45</w:t>
      </w:r>
      <w:r>
        <w:rPr>
          <w:rFonts w:hint="eastAsia" w:ascii="仿宋_GB2312" w:eastAsia="仿宋_GB2312"/>
          <w:sz w:val="28"/>
          <w:szCs w:val="28"/>
        </w:rPr>
        <w:t>万元，完成年初预算的</w:t>
      </w:r>
      <w:r>
        <w:rPr>
          <w:rFonts w:ascii="仿宋_GB2312" w:eastAsia="仿宋_GB2312"/>
          <w:sz w:val="28"/>
          <w:szCs w:val="28"/>
        </w:rPr>
        <w:t>101.79</w:t>
      </w:r>
      <w:r>
        <w:rPr>
          <w:rFonts w:hint="eastAsia" w:ascii="仿宋_GB2312" w:eastAsia="仿宋_GB2312"/>
          <w:sz w:val="28"/>
          <w:szCs w:val="28"/>
        </w:rPr>
        <w:t>%。其中：</w:t>
      </w:r>
    </w:p>
    <w:p w14:paraId="15E41A4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“行政事业单位养老支出”（款）2024年度年初预算</w:t>
      </w:r>
      <w:r>
        <w:rPr>
          <w:rFonts w:ascii="仿宋_GB2312" w:eastAsia="仿宋_GB2312"/>
          <w:sz w:val="28"/>
          <w:szCs w:val="28"/>
        </w:rPr>
        <w:t>114.41</w:t>
      </w:r>
      <w:r>
        <w:rPr>
          <w:rFonts w:hint="eastAsia" w:ascii="仿宋_GB2312" w:eastAsia="仿宋_GB2312"/>
          <w:sz w:val="28"/>
          <w:szCs w:val="28"/>
        </w:rPr>
        <w:t>万元，2024年度决算</w:t>
      </w:r>
      <w:r>
        <w:rPr>
          <w:rFonts w:ascii="仿宋_GB2312" w:eastAsia="仿宋_GB2312"/>
          <w:sz w:val="28"/>
          <w:szCs w:val="28"/>
        </w:rPr>
        <w:t>116.45</w:t>
      </w:r>
      <w:r>
        <w:rPr>
          <w:rFonts w:hint="eastAsia" w:ascii="仿宋_GB2312" w:eastAsia="仿宋_GB2312"/>
          <w:sz w:val="28"/>
          <w:szCs w:val="28"/>
        </w:rPr>
        <w:t>万元，完成年初预算的</w:t>
      </w:r>
      <w:r>
        <w:rPr>
          <w:rFonts w:ascii="仿宋_GB2312" w:eastAsia="仿宋_GB2312"/>
          <w:sz w:val="28"/>
          <w:szCs w:val="28"/>
        </w:rPr>
        <w:t>101.79</w:t>
      </w:r>
      <w:r>
        <w:rPr>
          <w:rFonts w:hint="eastAsia" w:ascii="仿宋_GB2312" w:eastAsia="仿宋_GB2312"/>
          <w:sz w:val="28"/>
          <w:szCs w:val="28"/>
        </w:rPr>
        <w:t>%。主要原因：因为基数变动，职工养老保险和职业年金实际支出数比预算有所增加。</w:t>
      </w:r>
    </w:p>
    <w:p w14:paraId="4E94B41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3、“卫生健康支出”(类)</w:t>
      </w:r>
      <w:r>
        <w:rPr>
          <w:rFonts w:hint="eastAsia"/>
        </w:rPr>
        <w:t xml:space="preserve"> </w:t>
      </w:r>
      <w:r>
        <w:rPr>
          <w:rFonts w:hint="eastAsia" w:ascii="仿宋_GB2312" w:eastAsia="仿宋_GB2312"/>
          <w:sz w:val="28"/>
          <w:szCs w:val="28"/>
        </w:rPr>
        <w:t>2024年度年初预算</w:t>
      </w:r>
      <w:r>
        <w:rPr>
          <w:rFonts w:ascii="仿宋_GB2312" w:eastAsia="仿宋_GB2312"/>
          <w:sz w:val="28"/>
          <w:szCs w:val="28"/>
        </w:rPr>
        <w:t>54.01</w:t>
      </w:r>
      <w:r>
        <w:rPr>
          <w:rFonts w:hint="eastAsia" w:ascii="仿宋_GB2312" w:eastAsia="仿宋_GB2312"/>
          <w:sz w:val="28"/>
          <w:szCs w:val="28"/>
        </w:rPr>
        <w:t>万元，2024年度决算</w:t>
      </w:r>
      <w:r>
        <w:rPr>
          <w:rFonts w:ascii="仿宋_GB2312" w:eastAsia="仿宋_GB2312"/>
          <w:sz w:val="28"/>
          <w:szCs w:val="28"/>
        </w:rPr>
        <w:t>55.33</w:t>
      </w:r>
      <w:r>
        <w:rPr>
          <w:rFonts w:hint="eastAsia" w:ascii="仿宋_GB2312" w:eastAsia="仿宋_GB2312"/>
          <w:sz w:val="28"/>
          <w:szCs w:val="28"/>
        </w:rPr>
        <w:t>万元，完成年初预算的</w:t>
      </w:r>
      <w:r>
        <w:rPr>
          <w:rFonts w:ascii="仿宋_GB2312" w:eastAsia="仿宋_GB2312"/>
          <w:sz w:val="28"/>
          <w:szCs w:val="28"/>
        </w:rPr>
        <w:t>102.45</w:t>
      </w:r>
      <w:r>
        <w:rPr>
          <w:rFonts w:hint="eastAsia" w:ascii="仿宋_GB2312" w:eastAsia="仿宋_GB2312"/>
          <w:sz w:val="28"/>
          <w:szCs w:val="28"/>
        </w:rPr>
        <w:t>%。其中：</w:t>
      </w:r>
    </w:p>
    <w:p w14:paraId="25907D9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“行政事业单位医疗”（款）2024年度年初预算54.01万元，2024年度决算55.33万元，完成年初预算的102.45%。主要原因：因为基数变动，职工医疗保险缴费实际支出数比预算有所增加。</w:t>
      </w:r>
    </w:p>
    <w:p w14:paraId="24EA4790">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4、“住房保障支出”(类) 2024年度年初预算</w:t>
      </w:r>
      <w:r>
        <w:rPr>
          <w:rFonts w:ascii="仿宋_GB2312" w:eastAsia="仿宋_GB2312"/>
          <w:sz w:val="28"/>
          <w:szCs w:val="28"/>
        </w:rPr>
        <w:t>106.38</w:t>
      </w:r>
      <w:r>
        <w:rPr>
          <w:rFonts w:hint="eastAsia" w:ascii="仿宋_GB2312" w:eastAsia="仿宋_GB2312"/>
          <w:sz w:val="28"/>
          <w:szCs w:val="28"/>
        </w:rPr>
        <w:t>万元，2024年度决算</w:t>
      </w:r>
      <w:r>
        <w:rPr>
          <w:rFonts w:ascii="仿宋_GB2312" w:eastAsia="仿宋_GB2312"/>
          <w:sz w:val="28"/>
          <w:szCs w:val="28"/>
        </w:rPr>
        <w:t>114.93</w:t>
      </w:r>
      <w:r>
        <w:rPr>
          <w:rFonts w:hint="eastAsia" w:ascii="仿宋_GB2312" w:eastAsia="仿宋_GB2312"/>
          <w:sz w:val="28"/>
          <w:szCs w:val="28"/>
        </w:rPr>
        <w:t>万元，完成年初预算的</w:t>
      </w:r>
      <w:r>
        <w:rPr>
          <w:rFonts w:ascii="仿宋_GB2312" w:eastAsia="仿宋_GB2312"/>
          <w:sz w:val="28"/>
          <w:szCs w:val="28"/>
        </w:rPr>
        <w:t>108.04</w:t>
      </w:r>
      <w:r>
        <w:rPr>
          <w:rFonts w:hint="eastAsia" w:ascii="仿宋_GB2312" w:eastAsia="仿宋_GB2312"/>
          <w:sz w:val="28"/>
          <w:szCs w:val="28"/>
        </w:rPr>
        <w:t>%。其中：</w:t>
      </w:r>
    </w:p>
    <w:p w14:paraId="4BEBF7C3">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“住房改革支出”（款）2024年度年初预算106.38万元，2024年度决算114.93万元，完成年初预算的108.04%。主要原因：追加补发了新增人员住房补贴。</w:t>
      </w:r>
    </w:p>
    <w:p w14:paraId="1A33EA59">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0CF47CF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37F21EA3">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2024年度政府性基金预算财政拨款支出</w:t>
      </w:r>
      <w:r>
        <w:rPr>
          <w:rFonts w:ascii="仿宋_GB2312" w:eastAsia="仿宋_GB2312"/>
          <w:sz w:val="28"/>
          <w:szCs w:val="28"/>
        </w:rPr>
        <w:t>0</w:t>
      </w:r>
      <w:r>
        <w:rPr>
          <w:rFonts w:hint="eastAsia" w:ascii="仿宋_GB2312" w:eastAsia="仿宋_GB2312"/>
          <w:sz w:val="28"/>
          <w:szCs w:val="28"/>
        </w:rPr>
        <w:t>万元。</w:t>
      </w:r>
    </w:p>
    <w:p w14:paraId="6792ECDD">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14:paraId="1E75BAD6">
      <w:pPr>
        <w:tabs>
          <w:tab w:val="center" w:pos="6979"/>
        </w:tabs>
        <w:spacing w:line="580" w:lineRule="exact"/>
        <w:ind w:firstLine="560" w:firstLineChars="200"/>
        <w:rPr>
          <w:rFonts w:hint="eastAsia" w:ascii="仿宋_GB2312" w:eastAsia="仿宋_GB2312"/>
          <w:sz w:val="28"/>
          <w:szCs w:val="28"/>
        </w:rPr>
      </w:pPr>
      <w:r>
        <w:rPr>
          <w:rFonts w:ascii="仿宋_GB2312" w:eastAsia="仿宋_GB2312"/>
          <w:sz w:val="28"/>
          <w:szCs w:val="28"/>
        </w:rPr>
        <w:t>2</w:t>
      </w:r>
      <w:r>
        <w:rPr>
          <w:rFonts w:hint="eastAsia" w:ascii="仿宋_GB2312" w:eastAsia="仿宋_GB2312"/>
          <w:sz w:val="28"/>
          <w:szCs w:val="28"/>
        </w:rPr>
        <w:t>024年度政府性基金预算财政拨款支出0万元。</w:t>
      </w:r>
    </w:p>
    <w:p w14:paraId="3E5C01BA">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D765E93">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3FF2351C">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3E7555BE">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834.70</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6ADC413D">
      <w:pPr>
        <w:autoSpaceDE w:val="0"/>
        <w:autoSpaceDN w:val="0"/>
        <w:adjustRightInd w:val="0"/>
        <w:spacing w:line="580" w:lineRule="exact"/>
        <w:rPr>
          <w:rFonts w:hint="eastAsia" w:ascii="宋体" w:hAnsi="宋体"/>
          <w:b/>
          <w:spacing w:val="40"/>
          <w:sz w:val="32"/>
          <w:szCs w:val="32"/>
        </w:rPr>
      </w:pPr>
      <w:r>
        <w:rPr>
          <w:rFonts w:ascii="仿宋_GB2312" w:eastAsia="仿宋_GB2312"/>
          <w:b/>
          <w:sz w:val="32"/>
          <w:szCs w:val="32"/>
        </w:rPr>
        <w:tab/>
      </w:r>
    </w:p>
    <w:p w14:paraId="10B43195">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22EB5ABC">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5ED4B1B6">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0.6</w:t>
      </w:r>
      <w:r>
        <w:rPr>
          <w:rFonts w:hint="eastAsia" w:ascii="仿宋_GB2312" w:eastAsia="仿宋_GB2312"/>
          <w:sz w:val="28"/>
          <w:szCs w:val="28"/>
        </w:rPr>
        <w:t>万元，比2024年度“三公”经费财政拨款年初预算</w:t>
      </w:r>
      <w:r>
        <w:rPr>
          <w:rFonts w:ascii="仿宋_GB2312" w:eastAsia="仿宋_GB2312"/>
          <w:sz w:val="28"/>
          <w:szCs w:val="28"/>
        </w:rPr>
        <w:t>2.45</w:t>
      </w:r>
      <w:r>
        <w:rPr>
          <w:rFonts w:hint="eastAsia" w:ascii="仿宋_GB2312" w:eastAsia="仿宋_GB2312"/>
          <w:sz w:val="28"/>
          <w:szCs w:val="28"/>
        </w:rPr>
        <w:t>万元减少</w:t>
      </w:r>
      <w:r>
        <w:rPr>
          <w:rFonts w:ascii="仿宋_GB2312" w:eastAsia="仿宋_GB2312"/>
          <w:sz w:val="28"/>
          <w:szCs w:val="28"/>
        </w:rPr>
        <w:t>1.85</w:t>
      </w:r>
      <w:r>
        <w:rPr>
          <w:rFonts w:hint="eastAsia" w:ascii="仿宋_GB2312" w:eastAsia="仿宋_GB2312"/>
          <w:sz w:val="28"/>
          <w:szCs w:val="28"/>
        </w:rPr>
        <w:t>万元。其中：</w:t>
      </w:r>
    </w:p>
    <w:p w14:paraId="418A31EA">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1.因公出国（境）费用。本单位无此项经费。</w:t>
      </w:r>
    </w:p>
    <w:p w14:paraId="75ACBDD7">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2.公务接待费。本单位无此项经费。</w:t>
      </w:r>
    </w:p>
    <w:p w14:paraId="32D98D94">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3.公务用车购置及运行维护费。2024年度决算数</w:t>
      </w:r>
      <w:r>
        <w:rPr>
          <w:rFonts w:ascii="仿宋_GB2312" w:eastAsia="仿宋_GB2312"/>
          <w:sz w:val="28"/>
          <w:szCs w:val="28"/>
        </w:rPr>
        <w:t>0.6</w:t>
      </w:r>
      <w:r>
        <w:rPr>
          <w:rFonts w:hint="eastAsia" w:ascii="仿宋_GB2312" w:eastAsia="仿宋_GB2312"/>
          <w:sz w:val="28"/>
          <w:szCs w:val="28"/>
        </w:rPr>
        <w:t>万元，比2024年度年初预算数</w:t>
      </w:r>
      <w:r>
        <w:rPr>
          <w:rFonts w:ascii="仿宋_GB2312" w:eastAsia="仿宋_GB2312"/>
          <w:sz w:val="28"/>
          <w:szCs w:val="28"/>
        </w:rPr>
        <w:t>2.45</w:t>
      </w:r>
      <w:r>
        <w:rPr>
          <w:rFonts w:hint="eastAsia" w:ascii="仿宋_GB2312" w:eastAsia="仿宋_GB2312"/>
          <w:sz w:val="28"/>
          <w:szCs w:val="28"/>
        </w:rPr>
        <w:t>万元减少1.85万元。其中，公务用车购置费2024年度决算数0万元。公务用车运行维护费2024年度决算数0.6万元，比2024年度年初预算数2.45万元减少1.85万元。主要原因：我单位严格公务用车管理，倡导绿色出行，控制公车运行维护费用。2024年度公务用车保有量</w:t>
      </w:r>
      <w:r>
        <w:rPr>
          <w:rFonts w:ascii="仿宋_GB2312" w:eastAsia="仿宋_GB2312"/>
          <w:sz w:val="28"/>
          <w:szCs w:val="28"/>
        </w:rPr>
        <w:t>1</w:t>
      </w:r>
      <w:r>
        <w:rPr>
          <w:rFonts w:hint="eastAsia" w:ascii="仿宋_GB2312" w:eastAsia="仿宋_GB2312"/>
          <w:sz w:val="28"/>
          <w:szCs w:val="28"/>
        </w:rPr>
        <w:t>辆。</w:t>
      </w:r>
    </w:p>
    <w:p w14:paraId="5292127D">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4619909B">
      <w:pPr>
        <w:ind w:firstLine="537" w:firstLineChars="192"/>
        <w:rPr>
          <w:rFonts w:hint="eastAsia" w:ascii="仿宋_GB2312" w:eastAsia="仿宋_GB2312"/>
          <w:sz w:val="28"/>
          <w:szCs w:val="28"/>
        </w:rPr>
      </w:pPr>
      <w:r>
        <w:rPr>
          <w:rFonts w:hint="eastAsia" w:ascii="仿宋_GB2312" w:eastAsia="仿宋_GB2312"/>
          <w:sz w:val="28"/>
          <w:szCs w:val="28"/>
        </w:rPr>
        <w:t>我单位不在机关运行经费统计范围之内。</w:t>
      </w:r>
    </w:p>
    <w:p w14:paraId="7DECA442">
      <w:pPr>
        <w:ind w:left="540"/>
        <w:rPr>
          <w:rFonts w:hint="eastAsia" w:ascii="黑体" w:eastAsia="黑体"/>
          <w:sz w:val="28"/>
          <w:szCs w:val="28"/>
        </w:rPr>
      </w:pPr>
      <w:r>
        <w:rPr>
          <w:rFonts w:hint="eastAsia" w:ascii="黑体" w:eastAsia="黑体"/>
          <w:sz w:val="28"/>
          <w:szCs w:val="28"/>
        </w:rPr>
        <w:t>三、政府采购支出情况</w:t>
      </w:r>
    </w:p>
    <w:p w14:paraId="585E092D">
      <w:pPr>
        <w:ind w:firstLine="537" w:firstLineChars="192"/>
        <w:rPr>
          <w:rFonts w:hint="eastAsia"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7086.2</w:t>
      </w:r>
      <w:r>
        <w:rPr>
          <w:rFonts w:hint="eastAsia" w:ascii="仿宋_GB2312" w:eastAsia="仿宋_GB2312"/>
          <w:sz w:val="28"/>
          <w:szCs w:val="28"/>
        </w:rPr>
        <w:t>万元，其中：政府采购货物支出</w:t>
      </w:r>
      <w:r>
        <w:rPr>
          <w:rFonts w:ascii="仿宋_GB2312" w:eastAsia="仿宋_GB2312"/>
          <w:sz w:val="28"/>
          <w:szCs w:val="28"/>
        </w:rPr>
        <w:t>7073.58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12.62</w:t>
      </w:r>
      <w:r>
        <w:rPr>
          <w:rFonts w:hint="eastAsia" w:ascii="仿宋_GB2312" w:eastAsia="仿宋_GB2312"/>
          <w:sz w:val="28"/>
          <w:szCs w:val="28"/>
        </w:rPr>
        <w:t>万元。授予中小企业合同金额</w:t>
      </w:r>
      <w:r>
        <w:rPr>
          <w:rFonts w:ascii="仿宋_GB2312" w:eastAsia="仿宋_GB2312"/>
          <w:sz w:val="28"/>
          <w:szCs w:val="28"/>
        </w:rPr>
        <w:t>4705.51</w:t>
      </w:r>
      <w:r>
        <w:rPr>
          <w:rFonts w:hint="eastAsia" w:ascii="仿宋_GB2312" w:eastAsia="仿宋_GB2312"/>
          <w:sz w:val="28"/>
          <w:szCs w:val="28"/>
        </w:rPr>
        <w:t>万元，占政府采购支出总额的66</w:t>
      </w:r>
      <w:r>
        <w:rPr>
          <w:rFonts w:ascii="仿宋_GB2312" w:eastAsia="仿宋_GB2312"/>
          <w:sz w:val="28"/>
          <w:szCs w:val="28"/>
        </w:rPr>
        <w:t>.</w:t>
      </w:r>
      <w:r>
        <w:rPr>
          <w:rFonts w:hint="eastAsia" w:ascii="仿宋_GB2312" w:eastAsia="仿宋_GB2312"/>
          <w:sz w:val="28"/>
          <w:szCs w:val="28"/>
        </w:rPr>
        <w:t>4%，其中：授予小微企业合同金额</w:t>
      </w:r>
      <w:r>
        <w:rPr>
          <w:rFonts w:ascii="仿宋_GB2312" w:eastAsia="仿宋_GB2312"/>
          <w:sz w:val="28"/>
          <w:szCs w:val="28"/>
        </w:rPr>
        <w:t>3157.54</w:t>
      </w:r>
      <w:r>
        <w:rPr>
          <w:rFonts w:hint="eastAsia" w:ascii="仿宋_GB2312" w:eastAsia="仿宋_GB2312"/>
          <w:sz w:val="28"/>
          <w:szCs w:val="28"/>
        </w:rPr>
        <w:t>万元，占政府采购支出总额的</w:t>
      </w:r>
      <w:r>
        <w:rPr>
          <w:rFonts w:ascii="仿宋_GB2312" w:eastAsia="仿宋_GB2312"/>
          <w:sz w:val="28"/>
          <w:szCs w:val="28"/>
        </w:rPr>
        <w:t>44.56</w:t>
      </w:r>
      <w:r>
        <w:rPr>
          <w:rFonts w:hint="eastAsia" w:ascii="仿宋_GB2312" w:eastAsia="仿宋_GB2312"/>
          <w:sz w:val="28"/>
          <w:szCs w:val="28"/>
        </w:rPr>
        <w:t>%。</w:t>
      </w:r>
    </w:p>
    <w:p w14:paraId="3E14172D">
      <w:pPr>
        <w:ind w:firstLine="560" w:firstLineChars="200"/>
        <w:rPr>
          <w:rFonts w:hint="eastAsia" w:ascii="黑体" w:eastAsia="黑体"/>
          <w:sz w:val="28"/>
          <w:szCs w:val="28"/>
          <w:highlight w:val="yellow"/>
        </w:rPr>
      </w:pPr>
      <w:r>
        <w:rPr>
          <w:rFonts w:hint="eastAsia" w:ascii="黑体" w:eastAsia="黑体"/>
          <w:sz w:val="28"/>
          <w:szCs w:val="28"/>
        </w:rPr>
        <w:t>四、国有资产占用情况</w:t>
      </w:r>
    </w:p>
    <w:p w14:paraId="469E3A6A">
      <w:pPr>
        <w:ind w:firstLine="560" w:firstLineChars="200"/>
        <w:rPr>
          <w:rFonts w:ascii="仿宋_GB2312" w:eastAsia="仿宋_GB2312"/>
          <w:sz w:val="32"/>
          <w:szCs w:val="32"/>
        </w:rPr>
      </w:pPr>
      <w:r>
        <w:rPr>
          <w:rFonts w:hint="eastAsia" w:ascii="仿宋_GB2312" w:eastAsia="仿宋_GB2312"/>
          <w:sz w:val="28"/>
          <w:szCs w:val="28"/>
        </w:rPr>
        <w:t>截至12月31日，北京市西城区教育技术装备中心共有车辆</w:t>
      </w:r>
      <w:r>
        <w:rPr>
          <w:rFonts w:ascii="仿宋_GB2312" w:eastAsia="仿宋_GB2312"/>
          <w:sz w:val="28"/>
          <w:szCs w:val="28"/>
        </w:rPr>
        <w:t>1</w:t>
      </w:r>
      <w:r>
        <w:rPr>
          <w:rFonts w:hint="eastAsia" w:ascii="仿宋_GB2312" w:eastAsia="仿宋_GB2312"/>
          <w:sz w:val="28"/>
          <w:szCs w:val="28"/>
        </w:rPr>
        <w:t>台；单位价值100万元（含）以上的设备</w:t>
      </w:r>
      <w:r>
        <w:rPr>
          <w:rFonts w:ascii="仿宋_GB2312" w:eastAsia="仿宋_GB2312"/>
          <w:sz w:val="28"/>
          <w:szCs w:val="28"/>
        </w:rPr>
        <w:t>1</w:t>
      </w:r>
      <w:r>
        <w:rPr>
          <w:rFonts w:hint="eastAsia" w:ascii="仿宋_GB2312" w:eastAsia="仿宋_GB2312"/>
          <w:sz w:val="28"/>
          <w:szCs w:val="28"/>
        </w:rPr>
        <w:t>台（套）。</w:t>
      </w:r>
    </w:p>
    <w:p w14:paraId="25400FA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BC52373">
      <w:pPr>
        <w:ind w:firstLine="537" w:firstLineChars="192"/>
        <w:rPr>
          <w:rFonts w:hint="eastAsia"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154F76EA">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16E10970">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84CDD9C">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00EDAED7">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A5F01F4">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96EB8AC">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629C90EF">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E35C182">
      <w:pPr>
        <w:ind w:firstLine="420" w:firstLineChars="150"/>
        <w:rPr>
          <w:rFonts w:hint="eastAsia" w:ascii="仿宋_GB2312" w:eastAsia="仿宋_GB2312"/>
          <w:sz w:val="28"/>
          <w:szCs w:val="28"/>
        </w:rPr>
      </w:pPr>
      <w:r>
        <w:rPr>
          <w:rFonts w:hint="eastAsia" w:ascii="仿宋_GB2312" w:eastAsia="仿宋_GB2312"/>
          <w:sz w:val="28"/>
          <w:szCs w:val="28"/>
        </w:rPr>
        <w:t xml:space="preserve">7.各单位需根据自身业务职能，补充当年使用的所有支出功能分类项级科目名词解释。 </w:t>
      </w:r>
    </w:p>
    <w:p w14:paraId="7D2695AB">
      <w:pPr>
        <w:ind w:firstLine="560" w:firstLineChars="200"/>
        <w:rPr>
          <w:rFonts w:hint="eastAsia" w:ascii="仿宋_GB2312" w:eastAsia="仿宋_GB2312"/>
          <w:sz w:val="28"/>
          <w:szCs w:val="28"/>
        </w:rPr>
      </w:pPr>
      <w:r>
        <w:rPr>
          <w:rFonts w:hint="eastAsia" w:ascii="仿宋_GB2312" w:eastAsia="仿宋_GB2312"/>
          <w:sz w:val="28"/>
          <w:szCs w:val="28"/>
        </w:rPr>
        <w:t>教育支出（类）普通教育（款）其他普通教育支出（项）2050299：反映除上述项目以外其他用于普通教育方面的支出。。</w:t>
      </w:r>
    </w:p>
    <w:p w14:paraId="3ABF54A8">
      <w:pPr>
        <w:ind w:firstLine="560" w:firstLineChars="200"/>
        <w:rPr>
          <w:rFonts w:hint="eastAsia" w:ascii="仿宋_GB2312" w:eastAsia="仿宋_GB2312"/>
          <w:sz w:val="28"/>
          <w:szCs w:val="28"/>
        </w:rPr>
      </w:pPr>
      <w:r>
        <w:rPr>
          <w:rFonts w:hint="eastAsia" w:ascii="仿宋_GB2312" w:eastAsia="仿宋_GB2312"/>
          <w:sz w:val="28"/>
          <w:szCs w:val="28"/>
        </w:rPr>
        <w:t>教育支出（类）进修及培训（款）培训支出（项）2050803：反映本部门安排的用于培训的支出。</w:t>
      </w:r>
    </w:p>
    <w:p w14:paraId="19DE7D54">
      <w:pPr>
        <w:ind w:firstLine="560" w:firstLineChars="200"/>
        <w:rPr>
          <w:rFonts w:ascii="仿宋_GB2312" w:eastAsia="仿宋_GB2312"/>
          <w:sz w:val="28"/>
          <w:szCs w:val="28"/>
        </w:rPr>
      </w:pPr>
      <w:r>
        <w:rPr>
          <w:rFonts w:hint="eastAsia" w:ascii="仿宋_GB2312" w:eastAsia="仿宋_GB2312"/>
          <w:sz w:val="28"/>
          <w:szCs w:val="28"/>
        </w:rPr>
        <w:t>社会保障和就业支出（类）行政事业单位养老支出（款）事业单位离退休（项）2080502：反映事业单位开支的离退休经费。</w:t>
      </w:r>
    </w:p>
    <w:p w14:paraId="6763379C">
      <w:pPr>
        <w:ind w:firstLine="560" w:firstLineChars="200"/>
        <w:rPr>
          <w:rFonts w:ascii="仿宋_GB2312" w:eastAsia="仿宋_GB2312"/>
          <w:sz w:val="28"/>
          <w:szCs w:val="28"/>
        </w:rPr>
      </w:pPr>
      <w:r>
        <w:rPr>
          <w:rFonts w:hint="eastAsia" w:ascii="仿宋_GB2312" w:eastAsia="仿宋_GB2312"/>
          <w:sz w:val="28"/>
          <w:szCs w:val="28"/>
        </w:rPr>
        <w:t>社会保障和就业支出（类）行政事业单位养老支出（款）机关事业单位基本养老保险缴费支出（项）2080505：反映机关事业单位实施养老保险制度由单位缴纳的基本养老保险费支出。</w:t>
      </w:r>
    </w:p>
    <w:p w14:paraId="51AC8D51">
      <w:pPr>
        <w:ind w:firstLine="560" w:firstLineChars="200"/>
        <w:rPr>
          <w:rFonts w:ascii="仿宋_GB2312" w:eastAsia="仿宋_GB2312"/>
          <w:sz w:val="28"/>
          <w:szCs w:val="28"/>
        </w:rPr>
      </w:pPr>
      <w:r>
        <w:rPr>
          <w:rFonts w:hint="eastAsia" w:ascii="仿宋_GB2312" w:eastAsia="仿宋_GB2312"/>
          <w:sz w:val="28"/>
          <w:szCs w:val="28"/>
        </w:rPr>
        <w:t>社会保障和就业支出（类）行政事业单位养老支出（款）机关事业单位职业年金缴费支出（项）2080506：反映机关事业单位实施养老保险制度由单位实际缴纳的职业年金支出。</w:t>
      </w:r>
    </w:p>
    <w:p w14:paraId="36021930">
      <w:pPr>
        <w:ind w:firstLine="560" w:firstLineChars="200"/>
        <w:rPr>
          <w:rFonts w:ascii="仿宋_GB2312" w:eastAsia="仿宋_GB2312"/>
          <w:sz w:val="28"/>
          <w:szCs w:val="28"/>
        </w:rPr>
      </w:pPr>
      <w:r>
        <w:rPr>
          <w:rFonts w:hint="eastAsia" w:ascii="仿宋_GB2312" w:eastAsia="仿宋_GB2312"/>
          <w:sz w:val="28"/>
          <w:szCs w:val="28"/>
        </w:rPr>
        <w:t>卫生健康支出（类）行政事业单位医疗（款）事业单位医疗（项）2101102：反映财政部门安排的事业单位基本医疗保险缴费经费，未参加医疗保险的事业单位的公费医疗经费，按国家规定享受离休人员待遇的医疗经费。</w:t>
      </w:r>
    </w:p>
    <w:p w14:paraId="2CBC391C">
      <w:pPr>
        <w:ind w:firstLine="560" w:firstLineChars="200"/>
        <w:rPr>
          <w:rFonts w:ascii="仿宋_GB2312" w:eastAsia="仿宋_GB2312"/>
          <w:sz w:val="28"/>
          <w:szCs w:val="28"/>
        </w:rPr>
      </w:pPr>
      <w:r>
        <w:rPr>
          <w:rFonts w:hint="eastAsia" w:ascii="仿宋_GB2312" w:eastAsia="仿宋_GB2312"/>
          <w:sz w:val="28"/>
          <w:szCs w:val="28"/>
        </w:rPr>
        <w:t>住房保障支出（类）住房改革支出（款）住房公积金（项）2210201：反映行政事业单位按人力资源和社会保障部、财政部规定的基本工资和津贴补贴以及规定比例为职工缴纳的住房公积金。</w:t>
      </w:r>
    </w:p>
    <w:p w14:paraId="440A4972">
      <w:pPr>
        <w:ind w:firstLine="560" w:firstLineChars="200"/>
        <w:rPr>
          <w:rFonts w:ascii="仿宋_GB2312" w:eastAsia="仿宋_GB2312"/>
          <w:sz w:val="28"/>
          <w:szCs w:val="28"/>
        </w:rPr>
      </w:pPr>
      <w:r>
        <w:rPr>
          <w:rFonts w:hint="eastAsia" w:ascii="仿宋_GB2312" w:eastAsia="仿宋_GB2312"/>
          <w:sz w:val="28"/>
          <w:szCs w:val="28"/>
        </w:rPr>
        <w:t>住房保障支出（类）住房改革支出（款）提租补贴（项）2210202：反映按房改政策规定的标准，行政事业单位向职工（含离退休人员）发放的租金补助。</w:t>
      </w:r>
    </w:p>
    <w:p w14:paraId="4B7F3A62">
      <w:pPr>
        <w:ind w:firstLine="560" w:firstLineChars="200"/>
        <w:rPr>
          <w:rFonts w:ascii="仿宋_GB2312" w:eastAsia="仿宋_GB2312"/>
          <w:sz w:val="28"/>
          <w:szCs w:val="28"/>
        </w:rPr>
      </w:pPr>
      <w:r>
        <w:rPr>
          <w:rFonts w:hint="eastAsia" w:ascii="仿宋_GB2312" w:eastAsia="仿宋_GB2312"/>
          <w:sz w:val="28"/>
          <w:szCs w:val="28"/>
        </w:rPr>
        <w:t>住房保障支出（类）住房改革支出（款）购房补贴（项）2210203：反映按房改政策规定的标准，行政事业单位向符合条件职工（含离退休人员）发放的用于购买住房的补贴。</w:t>
      </w:r>
    </w:p>
    <w:p w14:paraId="41C16EBC">
      <w:pPr>
        <w:tabs>
          <w:tab w:val="center" w:pos="6979"/>
        </w:tabs>
        <w:spacing w:line="380" w:lineRule="exact"/>
        <w:jc w:val="center"/>
        <w:rPr>
          <w:rFonts w:ascii="仿宋_GB2312" w:eastAsia="仿宋_GB2312"/>
          <w:sz w:val="28"/>
          <w:szCs w:val="28"/>
        </w:rPr>
      </w:pPr>
    </w:p>
    <w:p w14:paraId="6D0FE1CE">
      <w:pPr>
        <w:rPr>
          <w:rFonts w:hint="eastAsia" w:ascii="黑体" w:eastAsia="黑体"/>
          <w:sz w:val="32"/>
          <w:szCs w:val="32"/>
        </w:rPr>
      </w:pPr>
    </w:p>
    <w:p w14:paraId="3C2210FE">
      <w:pPr>
        <w:ind w:firstLine="640" w:firstLineChars="200"/>
        <w:jc w:val="center"/>
        <w:rPr>
          <w:rFonts w:hint="eastAsia" w:ascii="黑体" w:eastAsia="黑体"/>
          <w:sz w:val="32"/>
          <w:szCs w:val="32"/>
        </w:rPr>
      </w:pPr>
    </w:p>
    <w:p w14:paraId="180CDC67">
      <w:pPr>
        <w:ind w:firstLine="640" w:firstLineChars="200"/>
        <w:jc w:val="center"/>
        <w:rPr>
          <w:rFonts w:hint="eastAsia" w:ascii="黑体" w:eastAsia="黑体"/>
          <w:sz w:val="32"/>
          <w:szCs w:val="32"/>
        </w:rPr>
      </w:pPr>
      <w:r>
        <w:rPr>
          <w:rFonts w:hint="eastAsia" w:ascii="黑体" w:eastAsia="黑体"/>
          <w:sz w:val="32"/>
          <w:szCs w:val="32"/>
        </w:rPr>
        <w:t>第四部分  2024年度部门绩效评价情况</w:t>
      </w:r>
    </w:p>
    <w:p w14:paraId="72A74682">
      <w:pPr>
        <w:ind w:firstLine="560" w:firstLineChars="200"/>
        <w:rPr>
          <w:rFonts w:hint="eastAsia" w:ascii="黑体" w:eastAsia="黑体"/>
          <w:sz w:val="28"/>
          <w:szCs w:val="28"/>
          <w:highlight w:val="yellow"/>
        </w:rPr>
      </w:pPr>
    </w:p>
    <w:p w14:paraId="74EDB240">
      <w:pPr>
        <w:numPr>
          <w:ilvl w:val="0"/>
          <w:numId w:val="0"/>
        </w:numPr>
        <w:ind w:firstLine="560" w:firstLineChars="200"/>
        <w:rPr>
          <w:rFonts w:hint="eastAsia" w:ascii="黑体" w:eastAsia="黑体"/>
          <w:sz w:val="28"/>
          <w:szCs w:val="28"/>
        </w:rPr>
      </w:pPr>
      <w:r>
        <w:rPr>
          <w:rFonts w:hint="eastAsia" w:ascii="黑体" w:eastAsia="黑体"/>
          <w:sz w:val="28"/>
          <w:szCs w:val="28"/>
        </w:rPr>
        <w:t>部门整体绩效评价报告（参考模板详见附件）</w:t>
      </w:r>
    </w:p>
    <w:p w14:paraId="26A8E16F">
      <w:pPr>
        <w:numPr>
          <w:ilvl w:val="0"/>
          <w:numId w:val="0"/>
        </w:numPr>
        <w:ind w:firstLine="560" w:firstLineChars="200"/>
        <w:rPr>
          <w:rFonts w:hint="eastAsia" w:ascii="黑体" w:eastAsia="黑体"/>
          <w:sz w:val="28"/>
          <w:szCs w:val="28"/>
        </w:rPr>
      </w:pPr>
      <w:r>
        <w:rPr>
          <w:rFonts w:hint="eastAsia" w:ascii="黑体" w:eastAsia="黑体"/>
          <w:sz w:val="28"/>
          <w:szCs w:val="28"/>
        </w:rPr>
        <w:t>项目支出绩效评价报告（参考模板详见附件）</w:t>
      </w:r>
    </w:p>
    <w:p w14:paraId="1029D775">
      <w:pPr>
        <w:numPr>
          <w:ilvl w:val="0"/>
          <w:numId w:val="0"/>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（格式详见附件）</w:t>
      </w:r>
    </w:p>
    <w:p w14:paraId="1870E1B0">
      <w:pPr>
        <w:numPr>
          <w:ilvl w:val="0"/>
          <w:numId w:val="0"/>
        </w:numPr>
        <w:ind w:firstLine="560" w:firstLineChars="200"/>
        <w:rPr>
          <w:rFonts w:hint="eastAsia" w:ascii="黑体" w:eastAsia="黑体"/>
          <w:sz w:val="28"/>
          <w:szCs w:val="28"/>
        </w:rPr>
      </w:pPr>
      <w:r>
        <w:rPr>
          <w:rFonts w:hint="eastAsia" w:ascii="黑体" w:eastAsia="黑体"/>
          <w:sz w:val="28"/>
          <w:szCs w:val="28"/>
        </w:rPr>
        <w:t>中央对北京XX转移支付预算执行情况绩效自评报告（参考提纲详见附件）</w:t>
      </w:r>
    </w:p>
    <w:p w14:paraId="4E0768E0">
      <w:pPr>
        <w:spacing w:line="480" w:lineRule="exact"/>
        <w:ind w:firstLine="420"/>
        <w:rPr>
          <w:rFonts w:hint="eastAsia" w:ascii="黑体" w:eastAsia="黑体"/>
          <w:sz w:val="28"/>
          <w:szCs w:val="28"/>
        </w:rPr>
      </w:pPr>
      <w:r>
        <w:rPr>
          <w:rFonts w:hint="eastAsia" w:ascii="黑体" w:eastAsia="黑体"/>
          <w:sz w:val="28"/>
          <w:szCs w:val="28"/>
        </w:rPr>
        <w:t xml:space="preserve"> （注：有中央转移支付的一级预算部门，公开“一、二、三、四”；没有中央转移支付的一级预算部门，公开“一、二、三”；二级预算单位仅公开“三”。）</w:t>
      </w:r>
    </w:p>
    <w:p w14:paraId="6068EEC9">
      <w:pPr>
        <w:spacing w:line="480" w:lineRule="exact"/>
        <w:rPr>
          <w:rFonts w:hint="eastAsia" w:ascii="仿宋_GB2312" w:hAnsi="仿宋_GB2312" w:eastAsia="仿宋_GB2312" w:cs="仿宋_GB2312"/>
          <w:sz w:val="32"/>
          <w:szCs w:val="32"/>
        </w:rPr>
      </w:pPr>
    </w:p>
    <w:p w14:paraId="7E76B395">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黑体">
    <w:panose1 w:val="02010609060101010101"/>
    <w:charset w:val="7A"/>
    <w:family w:val="auto"/>
    <w:pitch w:val="default"/>
    <w:sig w:usb0="800002BF" w:usb1="38CF7CFA" w:usb2="00000016" w:usb3="00000000" w:csb0="00040001" w:csb1="00000000"/>
  </w:font>
  <w:font w:name="仿宋_GB2312">
    <w:altName w:val="仿宋"/>
    <w:panose1 w:val="02010609030001010101"/>
    <w:charset w:val="86"/>
    <w:family w:val="modern"/>
    <w:pitch w:val="default"/>
    <w:sig w:usb0="00000001" w:usb1="080E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7A"/>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92D1D1">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lang/>
      </w:rPr>
      <w:t>3</w:t>
    </w:r>
    <w:r>
      <w:fldChar w:fldCharType="end"/>
    </w:r>
  </w:p>
  <w:p w14:paraId="31CD6230">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6E75B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lang/>
      </w:rPr>
      <w:t>13</w:t>
    </w:r>
    <w:r>
      <w:fldChar w:fldCharType="end"/>
    </w:r>
  </w:p>
  <w:p w14:paraId="57D82E41">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AF5C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23EB01AD">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05A1"/>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17DF"/>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61818"/>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1054"/>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284A"/>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2C9"/>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D723C"/>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364B"/>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91"/>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3D06"/>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57113"/>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BF3BCB"/>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1A6D"/>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6944"/>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66E2"/>
    <w:rsid w:val="00EE734C"/>
    <w:rsid w:val="00EF1EA1"/>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0091"/>
    <w:rsid w:val="00FA15F1"/>
    <w:rsid w:val="00FA19F5"/>
    <w:rsid w:val="00FA4A69"/>
    <w:rsid w:val="00FA649A"/>
    <w:rsid w:val="00FB1248"/>
    <w:rsid w:val="00FB208D"/>
    <w:rsid w:val="00FB3598"/>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A53371B"/>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42F2493"/>
    <w:rsid w:val="257A14F5"/>
    <w:rsid w:val="27196C26"/>
    <w:rsid w:val="29EF086F"/>
    <w:rsid w:val="2EFFE297"/>
    <w:rsid w:val="301437CA"/>
    <w:rsid w:val="349D1F0A"/>
    <w:rsid w:val="34DD0473"/>
    <w:rsid w:val="36C64A45"/>
    <w:rsid w:val="38EF2821"/>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69E10155"/>
    <w:rsid w:val="6C6F10B4"/>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11">
    <w:name w:val="Default Paragraph Font"/>
    <w:uiPriority w:val="0"/>
    <w:rPr>
      <w:rFonts w:ascii="Times New Roman" w:hAnsi="Times New Roman" w:eastAsia="宋体" w:cs="Times New Roman"/>
    </w:rPr>
  </w:style>
  <w:style w:type="table" w:default="1" w:styleId="10">
    <w:name w:val="Normal Table"/>
    <w:uiPriority w:val="0"/>
    <w:rPr>
      <w:rFonts w:ascii="Times New Roman" w:hAnsi="Times New Roman" w:eastAsia="宋体" w:cs="Times New Roman"/>
    </w:rPr>
    <w:tblPr>
      <w:tblStyle w:val="10"/>
      <w:tblCellMar>
        <w:top w:w="0" w:type="dxa"/>
        <w:left w:w="108" w:type="dxa"/>
        <w:bottom w:w="0" w:type="dxa"/>
        <w:right w:w="108" w:type="dxa"/>
      </w:tblCellMar>
    </w:tblPr>
  </w:style>
  <w:style w:type="paragraph" w:styleId="3">
    <w:name w:val="Normal Indent"/>
    <w:basedOn w:val="1"/>
    <w:uiPriority w:val="0"/>
    <w:pPr>
      <w:ind w:firstLine="200" w:firstLineChars="200"/>
    </w:pPr>
    <w:rPr>
      <w:rFonts w:ascii="Times New Roman" w:hAnsi="Times New Roman" w:eastAsia="宋体" w:cs="Times New Roman"/>
    </w:rPr>
  </w:style>
  <w:style w:type="paragraph" w:styleId="4">
    <w:name w:val="Body Text Indent"/>
    <w:basedOn w:val="1"/>
    <w:uiPriority w:val="0"/>
    <w:pPr>
      <w:ind w:firstLine="645"/>
    </w:pPr>
    <w:rPr>
      <w:rFonts w:ascii="仿宋_GB2312" w:hAnsi="Calibri" w:eastAsia="仿宋_GB2312" w:cs="Times New Roman"/>
      <w:sz w:val="32"/>
      <w:szCs w:val="32"/>
    </w:rPr>
  </w:style>
  <w:style w:type="paragraph" w:styleId="5">
    <w:name w:val="Date"/>
    <w:basedOn w:val="1"/>
    <w:next w:val="1"/>
    <w:uiPriority w:val="0"/>
    <w:pPr>
      <w:ind w:left="100" w:leftChars="2500"/>
    </w:pPr>
    <w:rPr>
      <w:rFonts w:ascii="Times New Roman" w:hAnsi="Times New Roman" w:eastAsia="宋体" w:cs="Times New Roman"/>
    </w:rPr>
  </w:style>
  <w:style w:type="paragraph" w:styleId="6">
    <w:name w:val="Balloon Text"/>
    <w:basedOn w:val="1"/>
    <w:uiPriority w:val="0"/>
    <w:rPr>
      <w:rFonts w:ascii="Times New Roman" w:hAnsi="Times New Roman" w:eastAsia="宋体" w:cs="Times New Roman"/>
      <w:sz w:val="18"/>
      <w:szCs w:val="18"/>
    </w:rPr>
  </w:style>
  <w:style w:type="paragraph" w:styleId="7">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9">
    <w:name w:val="Normal (Web)"/>
    <w:basedOn w:val="1"/>
    <w:uiPriority w:val="0"/>
    <w:pPr>
      <w:spacing w:before="100" w:beforeAutospacing="1" w:after="100" w:afterAutospacing="1"/>
      <w:ind w:right="238"/>
      <w:jc w:val="left"/>
    </w:pPr>
    <w:rPr>
      <w:rFonts w:ascii="Times New Roman" w:hAnsi="Times New Roman" w:eastAsia="宋体" w:cs="Times New Roman"/>
      <w:b/>
      <w:kern w:val="0"/>
      <w:sz w:val="24"/>
      <w:szCs w:val="20"/>
    </w:rPr>
  </w:style>
  <w:style w:type="character" w:styleId="12">
    <w:name w:val="Strong"/>
    <w:uiPriority w:val="0"/>
    <w:rPr>
      <w:rFonts w:ascii="Times New Roman" w:hAnsi="Times New Roman" w:eastAsia="宋体" w:cs="Times New Roman"/>
      <w:b/>
    </w:rPr>
  </w:style>
  <w:style w:type="character" w:styleId="13">
    <w:name w:val="page number"/>
    <w:uiPriority w:val="0"/>
    <w:rPr>
      <w:rFonts w:ascii="Times New Roman" w:hAnsi="Times New Roman" w:eastAsia="宋体" w:cs="Times New Roman"/>
    </w:rPr>
  </w:style>
  <w:style w:type="character" w:customStyle="1" w:styleId="14">
    <w:name w:val="页脚 Char"/>
    <w:uiPriority w:val="0"/>
    <w:rPr>
      <w:rFonts w:ascii="Times New Roman" w:hAnsi="Times New Roman" w:eastAsia="宋体" w:cs="Times New Roman"/>
      <w:kern w:val="2"/>
      <w:sz w:val="18"/>
      <w:szCs w:val="18"/>
      <w:lang w:val="en-US" w:eastAsia="zh-CN" w:bidi="ar-SA"/>
    </w:rPr>
  </w:style>
  <w:style w:type="character" w:customStyle="1" w:styleId="15">
    <w:name w:val="页眉 Char"/>
    <w:uiPriority w:val="0"/>
    <w:rPr>
      <w:rFonts w:ascii="Calibri" w:hAnsi="Calibri" w:eastAsia="宋体" w:cs="Times New Roman"/>
      <w:kern w:val="2"/>
      <w:sz w:val="18"/>
      <w:szCs w:val="18"/>
      <w:lang w:val="en-US" w:eastAsia="zh-CN" w:bidi="ar-SA"/>
    </w:rPr>
  </w:style>
  <w:style w:type="paragraph" w:customStyle="1" w:styleId="16">
    <w:name w:val="Char Char Char Char Char Char Char"/>
    <w:basedOn w:val="1"/>
    <w:uiPriority w:val="0"/>
    <w:rPr>
      <w:rFonts w:ascii="Tahoma" w:hAnsi="Tahoma" w:eastAsia="宋体" w:cs="Times New Roman"/>
      <w:sz w:val="24"/>
      <w:szCs w:val="20"/>
    </w:rPr>
  </w:style>
  <w:style w:type="paragraph" w:customStyle="1" w:styleId="17">
    <w:name w:val="Char1 Char Char Char"/>
    <w:basedOn w:val="1"/>
    <w:uiPriority w:val="0"/>
    <w:pPr>
      <w:widowControl/>
      <w:spacing w:after="160" w:line="240" w:lineRule="exact"/>
      <w:jc w:val="left"/>
    </w:pPr>
    <w:rPr>
      <w:rFonts w:ascii="Times New Roman" w:hAnsi="Times New Roman" w:eastAsia="宋体" w:cs="Times New Roman"/>
      <w:szCs w:val="20"/>
    </w:rPr>
  </w:style>
  <w:style w:type="paragraph" w:customStyle="1" w:styleId="18">
    <w:name w:val="Char"/>
    <w:basedOn w:val="1"/>
    <w:uiPriority w:val="0"/>
    <w:rPr>
      <w:rFonts w:ascii="Tahoma" w:hAnsi="Tahoma" w:eastAsia="宋体" w:cs="Times New Roman"/>
      <w:sz w:val="24"/>
      <w:szCs w:val="20"/>
    </w:rPr>
  </w:style>
  <w:style w:type="paragraph" w:customStyle="1" w:styleId="19">
    <w:name w:val="Char Char3 Char Char"/>
    <w:basedOn w:val="1"/>
    <w:uiPriority w:val="0"/>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4199</Words>
  <Characters>4788</Characters>
  <Lines>36</Lines>
  <Paragraphs>10</Paragraphs>
  <TotalTime>4</TotalTime>
  <ScaleCrop>false</ScaleCrop>
  <LinksUpToDate>false</LinksUpToDate>
  <CharactersWithSpaces>4839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...Q</cp:lastModifiedBy>
  <cp:lastPrinted>2020-08-07T11:39:00Z</cp:lastPrinted>
  <dcterms:modified xsi:type="dcterms:W3CDTF">2025-08-28T01:48:33Z</dcterms:modified>
  <dc:title>北京市财政局关于做好向市人大常委会报送2015年度市级部门决算（草案）</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271359DE5E8941A0BB06EDCDE385FC4E_13</vt:lpwstr>
  </property>
  <property fmtid="{D5CDD505-2E9C-101B-9397-08002B2CF9AE}" pid="4" name="KSOTemplateDocerSaveRecord">
    <vt:lpwstr>eyJoZGlkIjoiMTY2OGJhYTljNTRhM2FkOTNiYTI0NmZmZGZlZjc5MDciLCJ1c2VySWQiOiIyNDAxNTE3MTcifQ==</vt:lpwstr>
  </property>
</Properties>
</file>