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594AE">
      <w:pPr>
        <w:jc w:val="center"/>
        <w:rPr>
          <w:rFonts w:ascii="仿宋_GB2312" w:eastAsia="仿宋_GB2312"/>
          <w:b/>
          <w:sz w:val="32"/>
          <w:szCs w:val="32"/>
        </w:rPr>
      </w:pPr>
    </w:p>
    <w:p w14:paraId="0BA8E97F">
      <w:pPr>
        <w:jc w:val="center"/>
        <w:rPr>
          <w:rFonts w:ascii="黑体" w:eastAsia="黑体"/>
          <w:sz w:val="72"/>
          <w:szCs w:val="72"/>
        </w:rPr>
      </w:pPr>
    </w:p>
    <w:p w14:paraId="44481F4C">
      <w:pPr>
        <w:jc w:val="center"/>
        <w:rPr>
          <w:rFonts w:ascii="黑体" w:eastAsia="黑体"/>
          <w:sz w:val="72"/>
          <w:szCs w:val="72"/>
        </w:rPr>
      </w:pPr>
    </w:p>
    <w:p w14:paraId="77B87521">
      <w:pPr>
        <w:jc w:val="center"/>
        <w:rPr>
          <w:rFonts w:ascii="黑体" w:eastAsia="黑体"/>
          <w:sz w:val="72"/>
          <w:szCs w:val="72"/>
        </w:rPr>
      </w:pPr>
    </w:p>
    <w:p w14:paraId="3452E33D">
      <w:pPr>
        <w:jc w:val="center"/>
        <w:rPr>
          <w:rFonts w:ascii="黑体" w:eastAsia="黑体"/>
          <w:sz w:val="72"/>
          <w:szCs w:val="72"/>
        </w:rPr>
      </w:pPr>
    </w:p>
    <w:p w14:paraId="55084364">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761307E">
      <w:pPr>
        <w:jc w:val="center"/>
        <w:rPr>
          <w:rFonts w:ascii="黑体" w:eastAsia="黑体"/>
          <w:sz w:val="52"/>
          <w:szCs w:val="52"/>
        </w:rPr>
      </w:pPr>
    </w:p>
    <w:p w14:paraId="28952FF1">
      <w:pPr>
        <w:jc w:val="center"/>
        <w:rPr>
          <w:rFonts w:ascii="黑体" w:eastAsia="黑体"/>
          <w:sz w:val="52"/>
          <w:szCs w:val="52"/>
        </w:rPr>
      </w:pPr>
    </w:p>
    <w:p w14:paraId="02841007">
      <w:pPr>
        <w:jc w:val="center"/>
        <w:rPr>
          <w:rFonts w:ascii="黑体" w:eastAsia="黑体"/>
          <w:sz w:val="52"/>
          <w:szCs w:val="52"/>
        </w:rPr>
      </w:pPr>
    </w:p>
    <w:p w14:paraId="35DDAB75">
      <w:pPr>
        <w:jc w:val="center"/>
        <w:rPr>
          <w:rFonts w:ascii="黑体" w:eastAsia="黑体"/>
          <w:sz w:val="52"/>
          <w:szCs w:val="52"/>
        </w:rPr>
      </w:pPr>
    </w:p>
    <w:p w14:paraId="0B3C6862">
      <w:pPr>
        <w:jc w:val="center"/>
        <w:rPr>
          <w:rFonts w:ascii="黑体" w:eastAsia="黑体"/>
          <w:sz w:val="32"/>
          <w:szCs w:val="32"/>
        </w:rPr>
      </w:pPr>
    </w:p>
    <w:p w14:paraId="20FC064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3C169FD">
      <w:pPr>
        <w:spacing w:line="500" w:lineRule="exact"/>
        <w:ind w:firstLine="645"/>
        <w:jc w:val="center"/>
        <w:rPr>
          <w:rFonts w:ascii="宋体" w:hAnsi="宋体" w:cs="宋体"/>
          <w:b/>
          <w:bCs/>
          <w:kern w:val="0"/>
          <w:sz w:val="36"/>
          <w:szCs w:val="36"/>
        </w:rPr>
      </w:pPr>
    </w:p>
    <w:p w14:paraId="7AA506B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5938110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1231CA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E570E1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F29F03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F9D96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2E02B6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0324F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13EB8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CD8C98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5512E41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3CE28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E3F956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1CDFCCF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321A62E8">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283EE50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BAFF823">
      <w:pPr>
        <w:tabs>
          <w:tab w:val="center" w:pos="6979"/>
        </w:tabs>
        <w:spacing w:before="156" w:beforeLines="50" w:after="156" w:afterLines="50"/>
        <w:jc w:val="center"/>
        <w:rPr>
          <w:rFonts w:ascii="宋体" w:hAnsi="宋体" w:cs="宋体"/>
          <w:b/>
          <w:bCs/>
          <w:spacing w:val="40"/>
          <w:kern w:val="0"/>
          <w:sz w:val="32"/>
          <w:szCs w:val="32"/>
        </w:rPr>
      </w:pPr>
    </w:p>
    <w:p w14:paraId="1216D3B3">
      <w:pPr>
        <w:tabs>
          <w:tab w:val="center" w:pos="6979"/>
        </w:tabs>
        <w:spacing w:before="156" w:beforeLines="50" w:after="156" w:afterLines="50"/>
        <w:jc w:val="center"/>
        <w:rPr>
          <w:rFonts w:ascii="宋体" w:hAnsi="宋体" w:cs="宋体"/>
          <w:b/>
          <w:bCs/>
          <w:spacing w:val="40"/>
          <w:kern w:val="0"/>
          <w:sz w:val="32"/>
          <w:szCs w:val="32"/>
        </w:rPr>
      </w:pPr>
    </w:p>
    <w:p w14:paraId="58848EFD">
      <w:pPr>
        <w:tabs>
          <w:tab w:val="center" w:pos="6979"/>
        </w:tabs>
        <w:spacing w:before="156" w:beforeLines="50" w:after="156" w:afterLines="50"/>
        <w:jc w:val="center"/>
        <w:rPr>
          <w:rFonts w:ascii="宋体" w:hAnsi="宋体" w:cs="宋体"/>
          <w:b/>
          <w:bCs/>
          <w:spacing w:val="40"/>
          <w:kern w:val="0"/>
          <w:sz w:val="32"/>
          <w:szCs w:val="32"/>
        </w:rPr>
      </w:pPr>
    </w:p>
    <w:p w14:paraId="5276297A">
      <w:pPr>
        <w:tabs>
          <w:tab w:val="center" w:pos="6979"/>
        </w:tabs>
        <w:spacing w:before="156" w:beforeLines="50" w:after="156" w:afterLines="50"/>
        <w:jc w:val="center"/>
        <w:rPr>
          <w:rFonts w:ascii="宋体" w:hAnsi="宋体" w:cs="宋体"/>
          <w:b/>
          <w:bCs/>
          <w:spacing w:val="40"/>
          <w:kern w:val="0"/>
          <w:sz w:val="32"/>
          <w:szCs w:val="32"/>
        </w:rPr>
      </w:pPr>
    </w:p>
    <w:p w14:paraId="6785FA12">
      <w:pPr>
        <w:tabs>
          <w:tab w:val="center" w:pos="6979"/>
        </w:tabs>
        <w:spacing w:before="156" w:beforeLines="50" w:after="156" w:afterLines="50"/>
        <w:jc w:val="center"/>
        <w:rPr>
          <w:rFonts w:ascii="宋体" w:hAnsi="宋体" w:cs="宋体"/>
          <w:b/>
          <w:bCs/>
          <w:spacing w:val="40"/>
          <w:kern w:val="0"/>
          <w:sz w:val="32"/>
          <w:szCs w:val="32"/>
        </w:rPr>
      </w:pPr>
    </w:p>
    <w:p w14:paraId="023FEFE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6252AD1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5203CF9">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39BA903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73FABD18">
      <w:pPr>
        <w:pStyle w:val="2"/>
        <w:ind w:firstLine="560" w:firstLineChars="200"/>
        <w:rPr>
          <w:rFonts w:ascii="仿宋_GB2312" w:eastAsia="仿宋_GB2312"/>
          <w:sz w:val="28"/>
          <w:szCs w:val="28"/>
        </w:rPr>
      </w:pPr>
      <w:r>
        <w:rPr>
          <w:rFonts w:hint="eastAsia" w:ascii="仿宋_GB2312" w:hAnsi="Times New Roman" w:eastAsia="仿宋_GB2312"/>
          <w:b w:val="0"/>
          <w:bCs w:val="0"/>
          <w:kern w:val="2"/>
          <w:sz w:val="28"/>
          <w:szCs w:val="28"/>
        </w:rPr>
        <w:t>北京市西城区学生活动管理中心是北京市西城区教育委员会的直属单位。我中心主要职责是统筹管理并组织开展中小学生社会大课堂、“七个一”社会实践、课后服务相关工作并开展国防教育等专项教育活动。</w:t>
      </w:r>
    </w:p>
    <w:p w14:paraId="4E320E3B">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830747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减少39.62万元，下降4.74%。</w:t>
      </w:r>
    </w:p>
    <w:p w14:paraId="3181FFC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8BFA24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795.6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减少34.42万元，下降4.15%。</w:t>
      </w:r>
    </w:p>
    <w:p w14:paraId="2BC3890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795.6</w:t>
      </w:r>
      <w:r>
        <w:rPr>
          <w:rFonts w:hint="eastAsia" w:ascii="仿宋_GB2312" w:eastAsia="仿宋_GB2312"/>
          <w:sz w:val="28"/>
          <w:szCs w:val="28"/>
        </w:rPr>
        <w:t>万元，占收入合计的100%。其中：一般公共预算财政拨款收入</w:t>
      </w:r>
      <w:r>
        <w:rPr>
          <w:rFonts w:ascii="仿宋_GB2312" w:eastAsia="仿宋_GB2312"/>
          <w:sz w:val="28"/>
          <w:szCs w:val="28"/>
        </w:rPr>
        <w:t>795.6</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11B7C64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205BCC5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48CE019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5A1DD5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52A614C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2F60EBB6">
      <w:pPr>
        <w:pStyle w:val="2"/>
        <w:jc w:val="center"/>
      </w:pPr>
      <w:r>
        <w:rPr>
          <w:rFonts w:hint="eastAsia" w:ascii="仿宋_GB2312" w:eastAsia="仿宋_GB2312"/>
          <w:color w:val="000000"/>
          <w:sz w:val="32"/>
        </w:rPr>
        <w:t>图1：收入决算</w:t>
      </w:r>
    </w:p>
    <w:p w14:paraId="6542577D">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EC3868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492861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795.6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减少34.42万元，下降4.15%，其中：基本支出</w:t>
      </w:r>
      <w:r>
        <w:rPr>
          <w:rFonts w:ascii="仿宋_GB2312" w:eastAsia="仿宋_GB2312"/>
          <w:sz w:val="28"/>
          <w:szCs w:val="28"/>
        </w:rPr>
        <w:t>722.3</w:t>
      </w:r>
      <w:r>
        <w:rPr>
          <w:rFonts w:hint="eastAsia" w:ascii="仿宋_GB2312" w:eastAsia="仿宋_GB2312"/>
          <w:sz w:val="28"/>
          <w:szCs w:val="28"/>
        </w:rPr>
        <w:t>万元，占支出合计的90.79%；项目支出</w:t>
      </w:r>
      <w:r>
        <w:rPr>
          <w:rFonts w:ascii="仿宋_GB2312" w:eastAsia="仿宋_GB2312"/>
          <w:sz w:val="28"/>
          <w:szCs w:val="28"/>
        </w:rPr>
        <w:t>73.3</w:t>
      </w:r>
      <w:r>
        <w:rPr>
          <w:rFonts w:hint="eastAsia" w:ascii="仿宋_GB2312" w:eastAsia="仿宋_GB2312"/>
          <w:sz w:val="28"/>
          <w:szCs w:val="28"/>
        </w:rPr>
        <w:t>万元，占支出合计的9.21%;上缴上级支出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1FFB9775">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4F860ED9">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A6773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DB66D1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795.6</w:t>
      </w:r>
      <w:r>
        <w:rPr>
          <w:rFonts w:hint="eastAsia" w:ascii="仿宋_GB2312" w:eastAsia="仿宋_GB2312"/>
          <w:sz w:val="28"/>
          <w:szCs w:val="28"/>
        </w:rPr>
        <w:t>万元，比上年减少34.42万元，下降4.15%。主要原因：人员类支出是我单位财政拨款支出的最主要组成部分。2024年相比2023年，有一位教职工退休，工资福利支出下降，社保和公积金支出随之下降，导致人员类支出减少。</w:t>
      </w:r>
    </w:p>
    <w:p w14:paraId="5C0B53C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742EDE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8F617E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795.6</w:t>
      </w:r>
      <w:r>
        <w:rPr>
          <w:rFonts w:hint="eastAsia" w:ascii="仿宋_GB2312" w:eastAsia="仿宋_GB2312"/>
          <w:sz w:val="28"/>
          <w:szCs w:val="28"/>
        </w:rPr>
        <w:t>万元，主要用于以下方面（按大类）：教育支出531.95万元，占本年财政拨款支出66.86%；社会保障和就业支出119.84万元，占本年财政拨款支出15.06%；卫生健康支出49.43万元，占本年财政拨款支出6.21%；住房保障支出94.38万元，占本年财政拨款支出11.86%。</w:t>
      </w:r>
    </w:p>
    <w:p w14:paraId="2429588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C47BD47">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1、“教育支出”(类)2024年度年初预算526.65万元，2024年度决算531.95万元，完成年初预算的101.01%。其中：</w:t>
      </w:r>
    </w:p>
    <w:p w14:paraId="5F8FB5A9">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“普通教育”（款）2024年度年初预算525.09万元，2024年度决算531.95万元，完成年初预算的101.31%。主要原因：有人员类工资专项补贴，因此决算金额超过年初预算金额。</w:t>
      </w:r>
    </w:p>
    <w:p w14:paraId="4C03303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“进修及培训”（款）2024年度年初预算1.56万元，2024年度决算0万元，完成年初预算的0%。主要原因：本年度未支出进修及培训的相关费用，款项年末上缴财政。</w:t>
      </w:r>
    </w:p>
    <w:p w14:paraId="03D036DE">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“社会保障和就业支出”(类)2024年度年初预算111.70万元，2024年度决算119.84万元，完成年初预算的107.28%。其中：</w:t>
      </w:r>
    </w:p>
    <w:p w14:paraId="470D1E4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款）2024年度年初预算111.70万元，2024年度决算119.84万元，完成年初预算的107.28%。主要原因：2024年度社保由2023年度工资决定，2023年度工资相比上一年有所增加，因此决算金额超过年初预算金额。</w:t>
      </w:r>
    </w:p>
    <w:p w14:paraId="267C54D4">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3、“卫生健康支出”(类)2024年度年初预算47.59万元，2024年度决算49.43万元，完成年初预算的103.87%。其中：</w:t>
      </w:r>
    </w:p>
    <w:p w14:paraId="101349A0">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“行政事业单位医疗”2024年度年初预算47.59万元，2024年度决算49.43万元，完成年初预算的103.87%。主要原因：2024年度医保由2023年度工资决定，2023年度工资相比上一年有所增加，因此决算金额超过年初预算金额。</w:t>
      </w:r>
    </w:p>
    <w:p w14:paraId="2144C134">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4、“住房保障支出”(类)2024年度年初预算91.48万元，2024年度决算94.38万元，完成年初预算的103.17%。其中：</w:t>
      </w:r>
    </w:p>
    <w:p w14:paraId="09467D52">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2024年度年初预算91.48万元，2024年度决算94.38万元，完成年初预算的103.17%。主要原因：2024年度住房保障支出由2023年度工资决定，2023年度工资相比上一年有所增加，因此决算金额超过年初预算金额。</w:t>
      </w:r>
    </w:p>
    <w:p w14:paraId="238C2067">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46AB4A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5FC08D6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1AA21D5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25DDB332">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7061277C">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52D0837">
      <w:pPr>
        <w:spacing w:line="580" w:lineRule="exact"/>
        <w:ind w:firstLine="548" w:firstLineChars="196"/>
        <w:rPr>
          <w:rFonts w:ascii="仿宋_GB2312" w:eastAsia="仿宋_GB2312"/>
          <w:sz w:val="28"/>
          <w:szCs w:val="28"/>
        </w:rPr>
      </w:pPr>
      <w:r>
        <w:rPr>
          <w:rFonts w:hint="eastAsia" w:ascii="仿宋_GB2312" w:eastAsia="仿宋_GB2312"/>
          <w:sz w:val="28"/>
          <w:szCs w:val="28"/>
        </w:rPr>
        <w:t>本单位无此项经费。</w:t>
      </w:r>
    </w:p>
    <w:p w14:paraId="5D7376F2">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DE21CBC">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722.3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F52504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17D8FC68">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060B36C1">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5AFA08AE">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0.72</w:t>
      </w:r>
      <w:r>
        <w:rPr>
          <w:rFonts w:hint="eastAsia" w:ascii="仿宋_GB2312" w:eastAsia="仿宋_GB2312"/>
          <w:sz w:val="28"/>
          <w:szCs w:val="28"/>
        </w:rPr>
        <w:t>万元，比2024年度“三公”经费财政拨款年初预算</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1.73</w:t>
      </w:r>
      <w:r>
        <w:rPr>
          <w:rFonts w:hint="eastAsia" w:ascii="仿宋_GB2312" w:eastAsia="仿宋_GB2312"/>
          <w:sz w:val="28"/>
          <w:szCs w:val="28"/>
        </w:rPr>
        <w:t>万元。其中：</w:t>
      </w:r>
    </w:p>
    <w:p w14:paraId="44EB1335">
      <w:pPr>
        <w:pStyle w:val="20"/>
        <w:numPr>
          <w:ilvl w:val="0"/>
          <w:numId w:val="2"/>
        </w:numPr>
        <w:spacing w:line="560" w:lineRule="exact"/>
        <w:ind w:firstLineChars="0"/>
        <w:rPr>
          <w:rFonts w:ascii="仿宋_GB2312" w:eastAsia="仿宋_GB2312"/>
          <w:sz w:val="28"/>
          <w:szCs w:val="28"/>
        </w:rPr>
      </w:pPr>
      <w:r>
        <w:rPr>
          <w:rFonts w:hint="eastAsia" w:ascii="仿宋_GB2312" w:eastAsia="仿宋_GB2312"/>
          <w:sz w:val="28"/>
          <w:szCs w:val="28"/>
        </w:rPr>
        <w:t>因公出国（境）费用。</w:t>
      </w:r>
    </w:p>
    <w:p w14:paraId="5E65401C">
      <w:pPr>
        <w:pStyle w:val="20"/>
        <w:spacing w:line="560" w:lineRule="exact"/>
        <w:ind w:left="960" w:firstLine="0" w:firstLineChars="0"/>
        <w:rPr>
          <w:rFonts w:ascii="仿宋_GB2312" w:eastAsia="仿宋_GB2312"/>
          <w:sz w:val="28"/>
          <w:szCs w:val="28"/>
        </w:rPr>
      </w:pPr>
      <w:r>
        <w:rPr>
          <w:rFonts w:hint="eastAsia" w:ascii="仿宋_GB2312" w:eastAsia="仿宋_GB2312"/>
          <w:sz w:val="28"/>
          <w:szCs w:val="28"/>
        </w:rPr>
        <w:t>本单位无此项经费。</w:t>
      </w:r>
    </w:p>
    <w:p w14:paraId="660A4C52">
      <w:pPr>
        <w:pStyle w:val="20"/>
        <w:numPr>
          <w:ilvl w:val="0"/>
          <w:numId w:val="2"/>
        </w:numPr>
        <w:spacing w:line="560" w:lineRule="exact"/>
        <w:ind w:firstLineChars="0"/>
        <w:rPr>
          <w:rFonts w:ascii="仿宋_GB2312" w:eastAsia="仿宋_GB2312"/>
          <w:sz w:val="28"/>
          <w:szCs w:val="28"/>
        </w:rPr>
      </w:pPr>
      <w:r>
        <w:rPr>
          <w:rFonts w:hint="eastAsia" w:ascii="仿宋_GB2312" w:eastAsia="仿宋_GB2312"/>
          <w:sz w:val="28"/>
          <w:szCs w:val="28"/>
        </w:rPr>
        <w:t>公务接待费。</w:t>
      </w:r>
    </w:p>
    <w:p w14:paraId="5DE78E00">
      <w:pPr>
        <w:spacing w:line="560" w:lineRule="exact"/>
        <w:ind w:left="600"/>
        <w:rPr>
          <w:rFonts w:ascii="仿宋_GB2312" w:eastAsia="仿宋_GB2312"/>
          <w:sz w:val="28"/>
          <w:szCs w:val="28"/>
        </w:rPr>
      </w:pPr>
      <w:r>
        <w:rPr>
          <w:rFonts w:hint="eastAsia" w:ascii="仿宋_GB2312" w:eastAsia="仿宋_GB2312"/>
          <w:sz w:val="28"/>
          <w:szCs w:val="28"/>
        </w:rPr>
        <w:t>本单位无此项经费。</w:t>
      </w:r>
    </w:p>
    <w:p w14:paraId="1A46F287">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0.72</w:t>
      </w:r>
      <w:r>
        <w:rPr>
          <w:rFonts w:hint="eastAsia" w:ascii="仿宋_GB2312" w:eastAsia="仿宋_GB2312"/>
          <w:sz w:val="28"/>
          <w:szCs w:val="28"/>
        </w:rPr>
        <w:t>万元，比2024年度年初预算数</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1.73</w:t>
      </w:r>
      <w:r>
        <w:rPr>
          <w:rFonts w:hint="eastAsia" w:ascii="仿宋_GB2312" w:eastAsia="仿宋_GB2312"/>
          <w:sz w:val="28"/>
          <w:szCs w:val="28"/>
        </w:rPr>
        <w:t>万元。其中，公务用车购置费2024年度决算数0万元，主要原因：本年度我单位未购置公务用车，2024年度购置（更新）0辆。公务用车运行维护费2024年度决算数0.72万元，主要原因在于，本单位落实政府勤俭节约要求，减少公务车辆的使用频率，以此降低车辆的损耗程度，从而节省了车辆的修理费用。2024年度公务用车保有量1辆。</w:t>
      </w:r>
    </w:p>
    <w:p w14:paraId="2CA3523E">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1E3B745A">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072ED643">
      <w:pPr>
        <w:ind w:left="540"/>
        <w:rPr>
          <w:rFonts w:ascii="黑体" w:eastAsia="黑体"/>
          <w:sz w:val="28"/>
          <w:szCs w:val="28"/>
        </w:rPr>
      </w:pPr>
      <w:r>
        <w:rPr>
          <w:rFonts w:hint="eastAsia" w:ascii="黑体" w:eastAsia="黑体"/>
          <w:sz w:val="28"/>
          <w:szCs w:val="28"/>
        </w:rPr>
        <w:t>三、政府采购支出情况</w:t>
      </w:r>
    </w:p>
    <w:p w14:paraId="03243C50">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3.26</w:t>
      </w:r>
      <w:r>
        <w:rPr>
          <w:rFonts w:hint="eastAsia" w:ascii="仿宋_GB2312" w:eastAsia="仿宋_GB2312"/>
          <w:sz w:val="28"/>
          <w:szCs w:val="28"/>
        </w:rPr>
        <w:t>万元，其中：政府采购货物支出</w:t>
      </w:r>
      <w:r>
        <w:rPr>
          <w:rFonts w:ascii="仿宋_GB2312" w:eastAsia="仿宋_GB2312"/>
          <w:sz w:val="28"/>
          <w:szCs w:val="28"/>
        </w:rPr>
        <w:t>0.14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3.12</w:t>
      </w:r>
      <w:r>
        <w:rPr>
          <w:rFonts w:hint="eastAsia" w:ascii="仿宋_GB2312" w:eastAsia="仿宋_GB2312"/>
          <w:sz w:val="28"/>
          <w:szCs w:val="28"/>
        </w:rPr>
        <w:t>万元。授予中小企业合同金额</w:t>
      </w:r>
      <w:r>
        <w:rPr>
          <w:rFonts w:ascii="仿宋_GB2312" w:eastAsia="仿宋_GB2312"/>
          <w:sz w:val="28"/>
          <w:szCs w:val="28"/>
        </w:rPr>
        <w:t>3.11</w:t>
      </w:r>
      <w:r>
        <w:rPr>
          <w:rFonts w:hint="eastAsia" w:ascii="仿宋_GB2312" w:eastAsia="仿宋_GB2312"/>
          <w:sz w:val="28"/>
          <w:szCs w:val="28"/>
        </w:rPr>
        <w:t>万元，占政府采购支出总额的95.26%，其中：授予小微企业合同金额</w:t>
      </w:r>
      <w:r>
        <w:rPr>
          <w:rFonts w:ascii="仿宋_GB2312" w:eastAsia="仿宋_GB2312"/>
          <w:sz w:val="28"/>
          <w:szCs w:val="28"/>
        </w:rPr>
        <w:t>0.14</w:t>
      </w:r>
      <w:r>
        <w:rPr>
          <w:rFonts w:hint="eastAsia" w:ascii="仿宋_GB2312" w:eastAsia="仿宋_GB2312"/>
          <w:sz w:val="28"/>
          <w:szCs w:val="28"/>
        </w:rPr>
        <w:t>万元，占政府采购支出总额的</w:t>
      </w:r>
      <w:r>
        <w:rPr>
          <w:rFonts w:ascii="仿宋_GB2312" w:eastAsia="仿宋_GB2312"/>
          <w:sz w:val="28"/>
          <w:szCs w:val="28"/>
        </w:rPr>
        <w:t>4.42</w:t>
      </w:r>
      <w:r>
        <w:rPr>
          <w:rFonts w:hint="eastAsia" w:ascii="仿宋_GB2312" w:eastAsia="仿宋_GB2312"/>
          <w:sz w:val="28"/>
          <w:szCs w:val="28"/>
        </w:rPr>
        <w:t>%。</w:t>
      </w:r>
    </w:p>
    <w:p w14:paraId="1140536B">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4167195">
      <w:pPr>
        <w:ind w:firstLine="560" w:firstLineChars="200"/>
        <w:rPr>
          <w:rFonts w:ascii="仿宋_GB2312" w:eastAsia="仿宋_GB2312"/>
          <w:sz w:val="32"/>
          <w:szCs w:val="32"/>
        </w:rPr>
      </w:pPr>
      <w:r>
        <w:rPr>
          <w:rFonts w:hint="eastAsia" w:ascii="仿宋_GB2312" w:eastAsia="仿宋_GB2312"/>
          <w:sz w:val="28"/>
          <w:szCs w:val="28"/>
        </w:rPr>
        <w:t>截至12月31日，北京市西城区学生活动管理中心共有车辆1台；单位价值100万元（含）以上的设备2台（套）。</w:t>
      </w:r>
    </w:p>
    <w:p w14:paraId="4F7AB3C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C9A3B3F">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5BD3CE07">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A484AAD">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E2EE48D">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CC9AEB">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EEE7827">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4F4AE32">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BA81AFB">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E39A568">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7.各单位需根据自身业务职能，补充当年使用的所有支出功能分类项级科目名词解释，例如：</w:t>
      </w:r>
    </w:p>
    <w:p w14:paraId="1ADEAF10">
      <w:pPr>
        <w:ind w:firstLine="632" w:firstLineChars="200"/>
        <w:rPr>
          <w:rFonts w:ascii="仿宋_GB2312" w:eastAsia="仿宋_GB2312"/>
          <w:sz w:val="28"/>
          <w:szCs w:val="28"/>
        </w:rPr>
      </w:pPr>
      <w:r>
        <w:rPr>
          <w:rFonts w:hint="eastAsia" w:ascii="仿宋_GB2312" w:eastAsia="仿宋_GB2312"/>
          <w:b/>
          <w:color w:val="000000"/>
          <w:spacing w:val="-2"/>
          <w:sz w:val="32"/>
          <w:szCs w:val="32"/>
        </w:rPr>
        <w:t>一般公共服务支出（类）人大事务（款）行政运行（项）：反映行政单位（包括实行公务员管理的事业单位）的基本支出</w:t>
      </w:r>
      <w:r>
        <w:rPr>
          <w:rFonts w:hint="eastAsia" w:ascii="仿宋_GB2312" w:eastAsia="仿宋_GB2312"/>
          <w:sz w:val="28"/>
          <w:szCs w:val="28"/>
        </w:rPr>
        <w:t>。</w:t>
      </w:r>
    </w:p>
    <w:p w14:paraId="7BF45604">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教育支出（类）普通教育（款）其他普通教育支出（项）：反映除上述项目以外其他用于普通教育方面的支出。</w:t>
      </w:r>
    </w:p>
    <w:p w14:paraId="4F447B43">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教育支出（类）普通教育（款）其他普通教育支出（项）：反映除上述项目以外其他用于普通教育方面的支出。</w:t>
      </w:r>
    </w:p>
    <w:p w14:paraId="4A69B9E5">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w:t>
      </w:r>
    </w:p>
    <w:p w14:paraId="51CEF763">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7111D438">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5266FE14">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4FFBFB7F">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3B079546">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79071E6A">
      <w:pPr>
        <w:pStyle w:val="20"/>
        <w:numPr>
          <w:ilvl w:val="0"/>
          <w:numId w:val="3"/>
        </w:numPr>
        <w:ind w:firstLine="560" w:firstLineChars="0"/>
        <w:contextualSpacing/>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0B9BD502">
      <w:pPr>
        <w:rPr>
          <w:rFonts w:ascii="黑体" w:eastAsia="黑体"/>
          <w:sz w:val="32"/>
          <w:szCs w:val="32"/>
        </w:rPr>
      </w:pPr>
    </w:p>
    <w:p w14:paraId="7B55D83B">
      <w:pPr>
        <w:tabs>
          <w:tab w:val="center" w:pos="6979"/>
        </w:tabs>
        <w:spacing w:line="380" w:lineRule="exact"/>
        <w:jc w:val="center"/>
        <w:rPr>
          <w:rFonts w:ascii="宋体" w:hAnsi="宋体" w:cs="宋体"/>
          <w:b/>
          <w:bCs/>
          <w:kern w:val="0"/>
          <w:sz w:val="28"/>
          <w:szCs w:val="28"/>
        </w:rPr>
      </w:pPr>
    </w:p>
    <w:p w14:paraId="447FD050">
      <w:pPr>
        <w:tabs>
          <w:tab w:val="center" w:pos="6979"/>
        </w:tabs>
        <w:spacing w:line="380" w:lineRule="exact"/>
        <w:jc w:val="center"/>
        <w:rPr>
          <w:rFonts w:ascii="宋体" w:hAnsi="宋体" w:cs="宋体"/>
          <w:b/>
          <w:bCs/>
          <w:kern w:val="0"/>
          <w:sz w:val="28"/>
          <w:szCs w:val="28"/>
        </w:rPr>
      </w:pPr>
    </w:p>
    <w:p w14:paraId="5CE5ADE0">
      <w:pPr>
        <w:rPr>
          <w:rFonts w:ascii="黑体" w:eastAsia="黑体"/>
          <w:sz w:val="32"/>
          <w:szCs w:val="32"/>
        </w:rPr>
      </w:pPr>
    </w:p>
    <w:p w14:paraId="0938A74F">
      <w:pPr>
        <w:ind w:firstLine="640" w:firstLineChars="200"/>
        <w:jc w:val="center"/>
        <w:rPr>
          <w:rFonts w:ascii="黑体" w:eastAsia="黑体"/>
          <w:sz w:val="32"/>
          <w:szCs w:val="32"/>
        </w:rPr>
      </w:pPr>
    </w:p>
    <w:p w14:paraId="78020B6F">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21CB2C32">
      <w:pPr>
        <w:ind w:firstLine="560" w:firstLineChars="200"/>
        <w:rPr>
          <w:rFonts w:ascii="黑体" w:eastAsia="黑体"/>
          <w:sz w:val="28"/>
          <w:szCs w:val="28"/>
          <w:highlight w:val="yellow"/>
        </w:rPr>
      </w:pPr>
    </w:p>
    <w:p w14:paraId="011E6C6D">
      <w:pPr>
        <w:numPr>
          <w:ilvl w:val="0"/>
          <w:numId w:val="4"/>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3E09E918">
      <w:pPr>
        <w:numPr>
          <w:ilvl w:val="0"/>
          <w:numId w:val="4"/>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4AA9C10C">
      <w:pPr>
        <w:numPr>
          <w:ilvl w:val="0"/>
          <w:numId w:val="4"/>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3F97E3DF">
      <w:pPr>
        <w:numPr>
          <w:ilvl w:val="0"/>
          <w:numId w:val="4"/>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3FE0CA61">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14DEAB7A">
      <w:pPr>
        <w:spacing w:line="480" w:lineRule="exact"/>
        <w:rPr>
          <w:rFonts w:ascii="仿宋_GB2312" w:hAnsi="仿宋_GB2312" w:eastAsia="仿宋_GB2312" w:cs="仿宋_GB2312"/>
          <w:sz w:val="32"/>
          <w:szCs w:val="32"/>
        </w:rPr>
      </w:pPr>
    </w:p>
    <w:p w14:paraId="243C1DB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FF91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1E7E2E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83FC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4E2EFB2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5B30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A86CF1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B4DA8103"/>
    <w:multiLevelType w:val="singleLevel"/>
    <w:tmpl w:val="B4DA8103"/>
    <w:lvl w:ilvl="0" w:tentative="0">
      <w:start w:val="2"/>
      <w:numFmt w:val="decimal"/>
      <w:suff w:val="nothing"/>
      <w:lvlText w:val="%1、"/>
      <w:lvlJc w:val="left"/>
    </w:lvl>
  </w:abstractNum>
  <w:abstractNum w:abstractNumId="2">
    <w:nsid w:val="37903E57"/>
    <w:multiLevelType w:val="multilevel"/>
    <w:tmpl w:val="37903E57"/>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7B9B4398"/>
    <w:multiLevelType w:val="multilevel"/>
    <w:tmpl w:val="7B9B439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570A"/>
    <w:rsid w:val="0010682D"/>
    <w:rsid w:val="001073C6"/>
    <w:rsid w:val="00107DB5"/>
    <w:rsid w:val="00113613"/>
    <w:rsid w:val="0011483D"/>
    <w:rsid w:val="00115724"/>
    <w:rsid w:val="00130995"/>
    <w:rsid w:val="00131FF9"/>
    <w:rsid w:val="00132320"/>
    <w:rsid w:val="00135B6A"/>
    <w:rsid w:val="001369A7"/>
    <w:rsid w:val="001428C5"/>
    <w:rsid w:val="00142987"/>
    <w:rsid w:val="001503D8"/>
    <w:rsid w:val="00157540"/>
    <w:rsid w:val="001637CF"/>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0EF5"/>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2E84"/>
    <w:rsid w:val="00234314"/>
    <w:rsid w:val="00236C6D"/>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7B05"/>
    <w:rsid w:val="002D03C6"/>
    <w:rsid w:val="002D0FDF"/>
    <w:rsid w:val="002D1A42"/>
    <w:rsid w:val="002D3955"/>
    <w:rsid w:val="002D68A9"/>
    <w:rsid w:val="002E06AE"/>
    <w:rsid w:val="002E4B75"/>
    <w:rsid w:val="002E68DD"/>
    <w:rsid w:val="002F17C2"/>
    <w:rsid w:val="002F32EE"/>
    <w:rsid w:val="002F4054"/>
    <w:rsid w:val="002F5574"/>
    <w:rsid w:val="00301D20"/>
    <w:rsid w:val="00301DE1"/>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545B"/>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253E"/>
    <w:rsid w:val="004A4EC7"/>
    <w:rsid w:val="004B0003"/>
    <w:rsid w:val="004C020A"/>
    <w:rsid w:val="004C03A3"/>
    <w:rsid w:val="004C44B8"/>
    <w:rsid w:val="004C7629"/>
    <w:rsid w:val="004D0D5D"/>
    <w:rsid w:val="004D4553"/>
    <w:rsid w:val="004E27DD"/>
    <w:rsid w:val="004E3350"/>
    <w:rsid w:val="004E5292"/>
    <w:rsid w:val="004F2C5B"/>
    <w:rsid w:val="004F641B"/>
    <w:rsid w:val="004F71F3"/>
    <w:rsid w:val="005052FA"/>
    <w:rsid w:val="005069E1"/>
    <w:rsid w:val="00507E59"/>
    <w:rsid w:val="005122B5"/>
    <w:rsid w:val="0052381C"/>
    <w:rsid w:val="005346B3"/>
    <w:rsid w:val="0054051C"/>
    <w:rsid w:val="0054653D"/>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331E"/>
    <w:rsid w:val="005E00DC"/>
    <w:rsid w:val="005E3BBC"/>
    <w:rsid w:val="005E3EC6"/>
    <w:rsid w:val="005E4E07"/>
    <w:rsid w:val="005E4E46"/>
    <w:rsid w:val="005E5275"/>
    <w:rsid w:val="005E7DC8"/>
    <w:rsid w:val="005E7EC9"/>
    <w:rsid w:val="005F7087"/>
    <w:rsid w:val="00611BE4"/>
    <w:rsid w:val="0061219B"/>
    <w:rsid w:val="00621419"/>
    <w:rsid w:val="00626429"/>
    <w:rsid w:val="00626446"/>
    <w:rsid w:val="00626BE8"/>
    <w:rsid w:val="00631827"/>
    <w:rsid w:val="00632804"/>
    <w:rsid w:val="006376DA"/>
    <w:rsid w:val="0064143D"/>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48B0"/>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2BD5"/>
    <w:rsid w:val="0079279F"/>
    <w:rsid w:val="00793E69"/>
    <w:rsid w:val="007A063C"/>
    <w:rsid w:val="007A16B0"/>
    <w:rsid w:val="007A19EA"/>
    <w:rsid w:val="007A2DB5"/>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08D5"/>
    <w:rsid w:val="008050EF"/>
    <w:rsid w:val="0080652C"/>
    <w:rsid w:val="0080715F"/>
    <w:rsid w:val="008113D6"/>
    <w:rsid w:val="00812BA7"/>
    <w:rsid w:val="00813A87"/>
    <w:rsid w:val="00813F63"/>
    <w:rsid w:val="00815F57"/>
    <w:rsid w:val="0081760B"/>
    <w:rsid w:val="008218AC"/>
    <w:rsid w:val="00825359"/>
    <w:rsid w:val="00825E13"/>
    <w:rsid w:val="008266A9"/>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33A6"/>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1E15"/>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DDC"/>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0A30"/>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3479"/>
    <w:rsid w:val="00A14C18"/>
    <w:rsid w:val="00A25898"/>
    <w:rsid w:val="00A3071D"/>
    <w:rsid w:val="00A3182E"/>
    <w:rsid w:val="00A31A89"/>
    <w:rsid w:val="00A32F06"/>
    <w:rsid w:val="00A34934"/>
    <w:rsid w:val="00A34EFE"/>
    <w:rsid w:val="00A36546"/>
    <w:rsid w:val="00A4069C"/>
    <w:rsid w:val="00A413B5"/>
    <w:rsid w:val="00A428CB"/>
    <w:rsid w:val="00A429CB"/>
    <w:rsid w:val="00A44E87"/>
    <w:rsid w:val="00A5063C"/>
    <w:rsid w:val="00A52749"/>
    <w:rsid w:val="00A5422E"/>
    <w:rsid w:val="00A56EC1"/>
    <w:rsid w:val="00A6350C"/>
    <w:rsid w:val="00A6370B"/>
    <w:rsid w:val="00A63A73"/>
    <w:rsid w:val="00A6655C"/>
    <w:rsid w:val="00A66CBB"/>
    <w:rsid w:val="00A6704E"/>
    <w:rsid w:val="00A67EA4"/>
    <w:rsid w:val="00A75F06"/>
    <w:rsid w:val="00A773FF"/>
    <w:rsid w:val="00A83AA1"/>
    <w:rsid w:val="00A906F4"/>
    <w:rsid w:val="00A9343A"/>
    <w:rsid w:val="00A9706C"/>
    <w:rsid w:val="00A97B34"/>
    <w:rsid w:val="00AA1B5C"/>
    <w:rsid w:val="00AA7A27"/>
    <w:rsid w:val="00AB3FB0"/>
    <w:rsid w:val="00AB465D"/>
    <w:rsid w:val="00AB713D"/>
    <w:rsid w:val="00AC114C"/>
    <w:rsid w:val="00AC1478"/>
    <w:rsid w:val="00AC46F7"/>
    <w:rsid w:val="00AC6C2D"/>
    <w:rsid w:val="00AC6E17"/>
    <w:rsid w:val="00AD2FF3"/>
    <w:rsid w:val="00AD7764"/>
    <w:rsid w:val="00AD7FE2"/>
    <w:rsid w:val="00AE1284"/>
    <w:rsid w:val="00AE1B18"/>
    <w:rsid w:val="00AE1FB9"/>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887"/>
    <w:rsid w:val="00B46965"/>
    <w:rsid w:val="00B54ED0"/>
    <w:rsid w:val="00B55D47"/>
    <w:rsid w:val="00B6204E"/>
    <w:rsid w:val="00B649EC"/>
    <w:rsid w:val="00B64B8D"/>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266F"/>
    <w:rsid w:val="00C04380"/>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2073"/>
    <w:rsid w:val="00CD5FFB"/>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4C5C"/>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D696C"/>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444B"/>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899"/>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3B75"/>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9885587"/>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2747033"/>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795.6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f6649ef-c067-49c8-bc82-df57b3e567d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722.3</c:v>
                </c:pt>
                <c:pt idx="1">
                  <c:v>73.3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3c4818e-4216-4bd5-b76c-a1aac44dd07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4231</Words>
  <Characters>4719</Characters>
  <Lines>5</Lines>
  <Paragraphs>9</Paragraphs>
  <TotalTime>63</TotalTime>
  <ScaleCrop>false</ScaleCrop>
  <LinksUpToDate>false</LinksUpToDate>
  <CharactersWithSpaces>4739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2025-08-28T04:13:16Z</dcterms:modified>
  <dc:title>北京市财政局关于做好向市人大常委会报送2015年度市级部门决算（草案）</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0C491DD3B8694E73BA9BF4FB7B973A35_13</vt:lpwstr>
  </property>
  <property fmtid="{D5CDD505-2E9C-101B-9397-08002B2CF9AE}" pid="4" name="KSOTemplateDocerSaveRecord">
    <vt:lpwstr>eyJoZGlkIjoiMTY2OGJhYTljNTRhM2FkOTNiYTI0NmZmZGZlZjc5MDciLCJ1c2VySWQiOiIyNDAxNTE3MTcifQ==</vt:lpwstr>
  </property>
</Properties>
</file>