
<file path=[Content_Types].xml><?xml version="1.0" encoding="utf-8"?>
<Types xmlns="http://schemas.openxmlformats.org/package/2006/content-types">
  <Default Extension="xlsx" ContentType="application/vnd.openxmlformats-officedocument.spreadsheetml.sheet"/>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F23D506">
      <w:pPr>
        <w:jc w:val="center"/>
        <w:rPr>
          <w:rFonts w:ascii="仿宋_GB2312" w:eastAsia="仿宋_GB2312"/>
          <w:b/>
          <w:sz w:val="32"/>
          <w:szCs w:val="32"/>
        </w:rPr>
      </w:pPr>
      <w:bookmarkStart w:id="0" w:name="_GoBack"/>
      <w:bookmarkEnd w:id="0"/>
    </w:p>
    <w:p w14:paraId="59B5C313">
      <w:pPr>
        <w:jc w:val="center"/>
        <w:rPr>
          <w:rFonts w:ascii="黑体" w:eastAsia="黑体"/>
          <w:sz w:val="72"/>
          <w:szCs w:val="72"/>
        </w:rPr>
      </w:pPr>
    </w:p>
    <w:p w14:paraId="76DCE699">
      <w:pPr>
        <w:jc w:val="center"/>
        <w:rPr>
          <w:rFonts w:ascii="黑体" w:eastAsia="黑体"/>
          <w:sz w:val="72"/>
          <w:szCs w:val="72"/>
        </w:rPr>
      </w:pPr>
    </w:p>
    <w:p w14:paraId="6839E37A">
      <w:pPr>
        <w:jc w:val="center"/>
        <w:rPr>
          <w:rFonts w:ascii="黑体" w:eastAsia="黑体"/>
          <w:sz w:val="72"/>
          <w:szCs w:val="72"/>
        </w:rPr>
      </w:pPr>
    </w:p>
    <w:p w14:paraId="064EF946">
      <w:pPr>
        <w:jc w:val="center"/>
        <w:rPr>
          <w:rFonts w:ascii="黑体" w:eastAsia="黑体"/>
          <w:sz w:val="72"/>
          <w:szCs w:val="72"/>
        </w:rPr>
      </w:pPr>
    </w:p>
    <w:p w14:paraId="59A7BB0C">
      <w:pPr>
        <w:jc w:val="center"/>
        <w:rPr>
          <w:rFonts w:ascii="黑体" w:eastAsia="黑体"/>
          <w:sz w:val="72"/>
          <w:szCs w:val="72"/>
        </w:rPr>
      </w:pPr>
      <w:r>
        <w:rPr>
          <w:rFonts w:hint="eastAsia" w:ascii="黑体" w:eastAsia="黑体"/>
          <w:sz w:val="72"/>
          <w:szCs w:val="72"/>
        </w:rPr>
        <w:t>202</w:t>
      </w:r>
      <w:r>
        <w:rPr>
          <w:rFonts w:hint="eastAsia" w:ascii="黑体" w:eastAsia="黑体"/>
          <w:sz w:val="72"/>
          <w:szCs w:val="72"/>
          <w:lang w:val="en-US" w:eastAsia="zh-CN"/>
        </w:rPr>
        <w:t>4</w:t>
      </w:r>
      <w:r>
        <w:rPr>
          <w:rFonts w:hint="eastAsia" w:ascii="黑体" w:eastAsia="黑体"/>
          <w:sz w:val="72"/>
          <w:szCs w:val="72"/>
        </w:rPr>
        <w:t>年度部门决算（</w:t>
      </w:r>
      <w:r>
        <w:rPr>
          <w:rFonts w:hint="eastAsia" w:ascii="黑体" w:eastAsia="黑体"/>
          <w:sz w:val="72"/>
          <w:szCs w:val="72"/>
          <w:lang w:val="en-US" w:eastAsia="zh-CN"/>
        </w:rPr>
        <w:t>公开</w:t>
      </w:r>
      <w:r>
        <w:rPr>
          <w:rFonts w:ascii="黑体" w:eastAsia="黑体"/>
          <w:sz w:val="72"/>
          <w:szCs w:val="72"/>
        </w:rPr>
        <w:t>）</w:t>
      </w:r>
    </w:p>
    <w:p w14:paraId="1FBFF379">
      <w:pPr>
        <w:jc w:val="center"/>
        <w:rPr>
          <w:rFonts w:ascii="黑体" w:eastAsia="黑体"/>
          <w:sz w:val="52"/>
          <w:szCs w:val="52"/>
        </w:rPr>
      </w:pPr>
    </w:p>
    <w:p w14:paraId="2E9722DA">
      <w:pPr>
        <w:jc w:val="center"/>
        <w:rPr>
          <w:rFonts w:ascii="黑体" w:eastAsia="黑体"/>
          <w:sz w:val="52"/>
          <w:szCs w:val="52"/>
        </w:rPr>
      </w:pPr>
    </w:p>
    <w:p w14:paraId="587BE079">
      <w:pPr>
        <w:jc w:val="center"/>
        <w:rPr>
          <w:rFonts w:ascii="黑体" w:eastAsia="黑体"/>
          <w:sz w:val="52"/>
          <w:szCs w:val="52"/>
        </w:rPr>
      </w:pPr>
    </w:p>
    <w:p w14:paraId="3B571511">
      <w:pPr>
        <w:jc w:val="center"/>
        <w:rPr>
          <w:rFonts w:ascii="黑体" w:eastAsia="黑体"/>
          <w:sz w:val="52"/>
          <w:szCs w:val="52"/>
        </w:rPr>
      </w:pPr>
    </w:p>
    <w:p w14:paraId="43A57086">
      <w:pPr>
        <w:jc w:val="center"/>
        <w:rPr>
          <w:rFonts w:ascii="黑体" w:eastAsia="黑体"/>
          <w:sz w:val="32"/>
          <w:szCs w:val="32"/>
        </w:rPr>
      </w:pPr>
    </w:p>
    <w:p w14:paraId="4965832C">
      <w:pPr>
        <w:spacing w:line="500" w:lineRule="exact"/>
        <w:ind w:firstLine="645"/>
        <w:jc w:val="center"/>
        <w:rPr>
          <w:rFonts w:ascii="宋体" w:hAnsi="宋体" w:cs="宋体"/>
          <w:b/>
          <w:bCs/>
          <w:kern w:val="0"/>
          <w:sz w:val="44"/>
          <w:szCs w:val="36"/>
        </w:rPr>
      </w:pPr>
      <w:r>
        <w:rPr>
          <w:rFonts w:hint="eastAsia" w:ascii="宋体" w:hAnsi="宋体" w:cs="宋体"/>
          <w:b/>
          <w:bCs/>
          <w:kern w:val="0"/>
          <w:sz w:val="44"/>
          <w:szCs w:val="36"/>
        </w:rPr>
        <w:t>目    录</w:t>
      </w:r>
    </w:p>
    <w:p w14:paraId="076D4450">
      <w:pPr>
        <w:spacing w:line="500" w:lineRule="exact"/>
        <w:ind w:firstLine="645"/>
        <w:jc w:val="center"/>
        <w:rPr>
          <w:rFonts w:hint="eastAsia" w:ascii="宋体" w:hAnsi="宋体" w:cs="宋体"/>
          <w:b/>
          <w:bCs/>
          <w:kern w:val="0"/>
          <w:sz w:val="36"/>
          <w:szCs w:val="36"/>
        </w:rPr>
      </w:pPr>
    </w:p>
    <w:p w14:paraId="6A507B00">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第一部分 202</w:t>
      </w:r>
      <w:r>
        <w:rPr>
          <w:rFonts w:hint="eastAsia" w:ascii="宋体" w:hAnsi="宋体" w:cs="宋体"/>
          <w:bCs/>
          <w:spacing w:val="40"/>
          <w:kern w:val="0"/>
          <w:sz w:val="32"/>
          <w:szCs w:val="32"/>
          <w:lang w:val="en-US" w:eastAsia="zh-CN"/>
        </w:rPr>
        <w:t>4</w:t>
      </w:r>
      <w:r>
        <w:rPr>
          <w:rFonts w:hint="eastAsia" w:ascii="宋体" w:hAnsi="宋体" w:cs="宋体"/>
          <w:bCs/>
          <w:spacing w:val="40"/>
          <w:kern w:val="0"/>
          <w:sz w:val="32"/>
          <w:szCs w:val="32"/>
        </w:rPr>
        <w:t>年度部门决算报表</w:t>
      </w:r>
    </w:p>
    <w:p w14:paraId="427ADF6B">
      <w:pPr>
        <w:tabs>
          <w:tab w:val="center" w:pos="6979"/>
        </w:tabs>
        <w:spacing w:line="500" w:lineRule="exact"/>
        <w:ind w:firstLine="2400" w:firstLineChars="600"/>
        <w:jc w:val="left"/>
        <w:rPr>
          <w:rFonts w:hint="eastAsia"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14:paraId="715EA63B">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14:paraId="7253F590">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14:paraId="30C46A46">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14:paraId="795BB6E4">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五、一般公共预算财政拨款支出决算表</w:t>
      </w:r>
    </w:p>
    <w:p w14:paraId="35FD3C06">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w:t>
      </w:r>
      <w:r>
        <w:rPr>
          <w:rFonts w:ascii="仿宋_GB2312" w:hAnsi="仿宋" w:eastAsia="仿宋_GB2312" w:cs="宋体"/>
          <w:bCs/>
          <w:spacing w:val="40"/>
          <w:kern w:val="0"/>
          <w:sz w:val="32"/>
          <w:szCs w:val="32"/>
        </w:rPr>
        <w:t>基本支出决算表</w:t>
      </w:r>
    </w:p>
    <w:p w14:paraId="1205F3E9">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七</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14:paraId="3330992A">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八</w:t>
      </w:r>
      <w:r>
        <w:rPr>
          <w:rFonts w:hint="eastAsia" w:ascii="仿宋_GB2312" w:hAnsi="仿宋" w:eastAsia="仿宋_GB2312" w:cs="宋体"/>
          <w:bCs/>
          <w:spacing w:val="40"/>
          <w:kern w:val="0"/>
          <w:sz w:val="32"/>
          <w:szCs w:val="32"/>
        </w:rPr>
        <w:t>、</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14:paraId="49A80F8F">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九</w:t>
      </w:r>
      <w:r>
        <w:rPr>
          <w:rFonts w:hint="eastAsia" w:ascii="仿宋_GB2312" w:hAnsi="仿宋" w:eastAsia="仿宋_GB2312" w:cs="宋体"/>
          <w:bCs/>
          <w:spacing w:val="40"/>
          <w:kern w:val="0"/>
          <w:sz w:val="32"/>
          <w:szCs w:val="32"/>
        </w:rPr>
        <w:t>、国有资本经营预算财政拨款支出决算表</w:t>
      </w:r>
    </w:p>
    <w:p w14:paraId="0FBA74B1">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十、财政拨款“三公”经费支出决算表</w:t>
      </w:r>
    </w:p>
    <w:p w14:paraId="30FCB27E">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十一、政府采购情况表</w:t>
      </w:r>
    </w:p>
    <w:p w14:paraId="392C4407">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w:t>
      </w:r>
      <w:r>
        <w:rPr>
          <w:rFonts w:hint="eastAsia" w:ascii="仿宋_GB2312" w:hAnsi="仿宋" w:eastAsia="仿宋_GB2312" w:cs="宋体"/>
          <w:bCs/>
          <w:spacing w:val="40"/>
          <w:kern w:val="0"/>
          <w:sz w:val="32"/>
          <w:szCs w:val="32"/>
          <w:lang w:eastAsia="zh-CN"/>
        </w:rPr>
        <w:t>二</w:t>
      </w:r>
      <w:r>
        <w:rPr>
          <w:rFonts w:hint="eastAsia" w:ascii="仿宋_GB2312" w:hAnsi="仿宋" w:eastAsia="仿宋_GB2312" w:cs="宋体"/>
          <w:bCs/>
          <w:spacing w:val="40"/>
          <w:kern w:val="0"/>
          <w:sz w:val="32"/>
          <w:szCs w:val="32"/>
        </w:rPr>
        <w:t>、政府购买服务决算公开情况表</w:t>
      </w:r>
    </w:p>
    <w:p w14:paraId="6683801B">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年度部门决算说明</w:t>
      </w:r>
    </w:p>
    <w:p w14:paraId="5A900357">
      <w:pPr>
        <w:tabs>
          <w:tab w:val="center" w:pos="6979"/>
        </w:tabs>
        <w:spacing w:line="500" w:lineRule="exact"/>
        <w:ind w:firstLine="1600" w:firstLineChars="400"/>
        <w:jc w:val="left"/>
        <w:rPr>
          <w:rFonts w:hint="eastAsia"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w:t>
      </w:r>
      <w:r>
        <w:rPr>
          <w:rFonts w:hint="eastAsia" w:ascii="宋体" w:hAnsi="宋体" w:cs="宋体"/>
          <w:spacing w:val="40"/>
          <w:kern w:val="0"/>
          <w:sz w:val="32"/>
          <w:szCs w:val="32"/>
        </w:rPr>
        <w:t>其他重要事项的情况说明</w:t>
      </w:r>
    </w:p>
    <w:p w14:paraId="36182F59">
      <w:pPr>
        <w:tabs>
          <w:tab w:val="center" w:pos="6979"/>
        </w:tabs>
        <w:spacing w:line="500" w:lineRule="exact"/>
        <w:ind w:firstLine="1600" w:firstLineChars="400"/>
        <w:jc w:val="left"/>
        <w:rPr>
          <w:rFonts w:hint="eastAsia" w:ascii="宋体" w:hAnsi="宋体" w:cs="宋体"/>
          <w:spacing w:val="40"/>
          <w:kern w:val="0"/>
          <w:sz w:val="36"/>
          <w:szCs w:val="32"/>
        </w:rPr>
      </w:pPr>
      <w:r>
        <w:rPr>
          <w:rFonts w:hint="eastAsia" w:ascii="宋体" w:hAnsi="宋体" w:cs="宋体"/>
          <w:spacing w:val="40"/>
          <w:kern w:val="0"/>
          <w:sz w:val="32"/>
          <w:szCs w:val="32"/>
        </w:rPr>
        <w:t>第四部分 202</w:t>
      </w:r>
      <w:r>
        <w:rPr>
          <w:rFonts w:hint="eastAsia" w:ascii="宋体" w:hAnsi="宋体" w:cs="宋体"/>
          <w:spacing w:val="40"/>
          <w:kern w:val="0"/>
          <w:sz w:val="32"/>
          <w:szCs w:val="32"/>
          <w:lang w:val="en-US" w:eastAsia="zh-CN"/>
        </w:rPr>
        <w:t>4</w:t>
      </w:r>
      <w:r>
        <w:rPr>
          <w:rFonts w:hint="eastAsia" w:ascii="宋体" w:hAnsi="宋体" w:cs="宋体"/>
          <w:spacing w:val="40"/>
          <w:kern w:val="0"/>
          <w:sz w:val="32"/>
          <w:szCs w:val="32"/>
        </w:rPr>
        <w:t>年度部门绩效评价情况</w:t>
      </w:r>
    </w:p>
    <w:p w14:paraId="4CAAACF3">
      <w:pPr>
        <w:tabs>
          <w:tab w:val="center" w:pos="6979"/>
        </w:tabs>
        <w:spacing w:before="156" w:beforeLines="50" w:after="156" w:afterLines="50"/>
        <w:jc w:val="center"/>
        <w:rPr>
          <w:rFonts w:ascii="宋体" w:hAnsi="宋体" w:cs="宋体"/>
          <w:b/>
          <w:bCs/>
          <w:spacing w:val="40"/>
          <w:kern w:val="0"/>
          <w:sz w:val="32"/>
          <w:szCs w:val="32"/>
        </w:rPr>
      </w:pPr>
    </w:p>
    <w:p w14:paraId="516272DA">
      <w:pPr>
        <w:tabs>
          <w:tab w:val="center" w:pos="6979"/>
        </w:tabs>
        <w:spacing w:before="156" w:beforeLines="50" w:after="156" w:afterLines="50"/>
        <w:jc w:val="center"/>
        <w:rPr>
          <w:rFonts w:ascii="宋体" w:hAnsi="宋体" w:cs="宋体"/>
          <w:b/>
          <w:bCs/>
          <w:spacing w:val="40"/>
          <w:kern w:val="0"/>
          <w:sz w:val="32"/>
          <w:szCs w:val="32"/>
        </w:rPr>
      </w:pPr>
    </w:p>
    <w:p w14:paraId="63E5E044">
      <w:pPr>
        <w:tabs>
          <w:tab w:val="center" w:pos="6979"/>
        </w:tabs>
        <w:spacing w:before="156" w:beforeLines="50" w:after="156" w:afterLines="50"/>
        <w:jc w:val="center"/>
        <w:rPr>
          <w:rFonts w:ascii="宋体" w:hAnsi="宋体" w:cs="宋体"/>
          <w:b/>
          <w:bCs/>
          <w:spacing w:val="40"/>
          <w:kern w:val="0"/>
          <w:sz w:val="32"/>
          <w:szCs w:val="32"/>
        </w:rPr>
      </w:pPr>
    </w:p>
    <w:p w14:paraId="080C30E4">
      <w:pPr>
        <w:tabs>
          <w:tab w:val="center" w:pos="6979"/>
        </w:tabs>
        <w:spacing w:before="156" w:beforeLines="50" w:after="156" w:afterLines="50"/>
        <w:jc w:val="center"/>
        <w:rPr>
          <w:rFonts w:ascii="宋体" w:hAnsi="宋体" w:cs="宋体"/>
          <w:b/>
          <w:bCs/>
          <w:spacing w:val="40"/>
          <w:kern w:val="0"/>
          <w:sz w:val="32"/>
          <w:szCs w:val="32"/>
        </w:rPr>
      </w:pPr>
    </w:p>
    <w:p w14:paraId="7146C17D">
      <w:pPr>
        <w:tabs>
          <w:tab w:val="center" w:pos="6979"/>
        </w:tabs>
        <w:spacing w:before="156" w:beforeLines="50" w:after="156" w:afterLines="50"/>
        <w:jc w:val="center"/>
        <w:rPr>
          <w:rFonts w:ascii="宋体" w:hAnsi="宋体" w:cs="宋体"/>
          <w:b/>
          <w:bCs/>
          <w:spacing w:val="40"/>
          <w:kern w:val="0"/>
          <w:sz w:val="32"/>
          <w:szCs w:val="32"/>
        </w:rPr>
      </w:pPr>
    </w:p>
    <w:p w14:paraId="61DE8BED">
      <w:pPr>
        <w:tabs>
          <w:tab w:val="center" w:pos="6979"/>
        </w:tabs>
        <w:spacing w:before="156" w:beforeLines="50" w:after="156" w:afterLines="50"/>
        <w:jc w:val="center"/>
        <w:rPr>
          <w:rFonts w:ascii="宋体" w:hAnsi="宋体" w:cs="宋体"/>
          <w:b/>
          <w:bCs/>
          <w:spacing w:val="40"/>
          <w:kern w:val="0"/>
          <w:sz w:val="32"/>
          <w:szCs w:val="32"/>
        </w:rPr>
      </w:pPr>
      <w:r>
        <w:rPr>
          <w:rFonts w:hint="eastAsia" w:ascii="宋体" w:hAnsi="宋体" w:cs="宋体"/>
          <w:b/>
          <w:bCs/>
          <w:spacing w:val="40"/>
          <w:kern w:val="0"/>
          <w:sz w:val="44"/>
          <w:szCs w:val="44"/>
        </w:rPr>
        <w:t xml:space="preserve">第一部分 </w:t>
      </w:r>
      <w:r>
        <w:rPr>
          <w:rFonts w:hint="eastAsia" w:ascii="宋体" w:hAnsi="宋体" w:cs="宋体"/>
          <w:b/>
          <w:bCs/>
          <w:spacing w:val="40"/>
          <w:kern w:val="0"/>
          <w:sz w:val="44"/>
          <w:szCs w:val="44"/>
          <w:lang w:eastAsia="zh-CN"/>
        </w:rPr>
        <w:t>2024</w:t>
      </w:r>
      <w:r>
        <w:rPr>
          <w:rFonts w:hint="eastAsia" w:ascii="宋体" w:hAnsi="宋体" w:cs="宋体"/>
          <w:b/>
          <w:bCs/>
          <w:spacing w:val="40"/>
          <w:kern w:val="0"/>
          <w:sz w:val="44"/>
          <w:szCs w:val="44"/>
        </w:rPr>
        <w:t>年度部门决算报表</w:t>
      </w:r>
    </w:p>
    <w:p w14:paraId="6E2AC5B8">
      <w:pPr>
        <w:pStyle w:val="2"/>
        <w:rPr>
          <w:b w:val="0"/>
          <w:bCs w:val="0"/>
        </w:rPr>
        <w:sectPr>
          <w:footerReference r:id="rId3" w:type="default"/>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sz w:val="28"/>
          <w:szCs w:val="28"/>
        </w:rPr>
        <w:t xml:space="preserve">   </w:t>
      </w:r>
      <w:r>
        <w:rPr>
          <w:rFonts w:hint="eastAsia" w:ascii="仿宋_GB2312" w:eastAsia="仿宋_GB2312"/>
          <w:b w:val="0"/>
          <w:bCs w:val="0"/>
          <w:sz w:val="28"/>
          <w:szCs w:val="28"/>
        </w:rPr>
        <w:t>报表详见附件。</w:t>
      </w:r>
    </w:p>
    <w:p w14:paraId="528127F4">
      <w:pPr>
        <w:tabs>
          <w:tab w:val="center" w:pos="6979"/>
        </w:tabs>
        <w:spacing w:before="156" w:beforeLines="50" w:after="156" w:afterLines="50"/>
        <w:jc w:val="center"/>
        <w:rPr>
          <w:rFonts w:hint="eastAsia"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年度部门决算说明</w:t>
      </w:r>
    </w:p>
    <w:p w14:paraId="22374C3A">
      <w:pPr>
        <w:tabs>
          <w:tab w:val="center" w:pos="6979"/>
        </w:tabs>
        <w:spacing w:line="580" w:lineRule="exact"/>
        <w:ind w:firstLine="700" w:firstLineChars="250"/>
        <w:rPr>
          <w:rFonts w:hint="eastAsia" w:ascii="仿宋_GB2312" w:eastAsia="仿宋_GB2312"/>
          <w:sz w:val="28"/>
          <w:szCs w:val="28"/>
          <w:highlight w:val="lightGray"/>
        </w:rPr>
      </w:pPr>
      <w:r>
        <w:rPr>
          <w:rFonts w:hint="eastAsia" w:ascii="黑体" w:eastAsia="黑体"/>
          <w:b/>
          <w:sz w:val="28"/>
          <w:szCs w:val="28"/>
        </w:rPr>
        <w:t>一、部门/单位基本情况</w:t>
      </w:r>
    </w:p>
    <w:p w14:paraId="305C6521">
      <w:pPr>
        <w:pStyle w:val="5"/>
        <w:spacing w:line="560" w:lineRule="exact"/>
        <w:ind w:firstLine="560" w:firstLineChars="200"/>
        <w:rPr>
          <w:rFonts w:ascii="仿宋_GB2312" w:hAnsi="Times New Roman" w:eastAsia="仿宋_GB2312" w:cs="Times New Roman"/>
          <w:sz w:val="28"/>
          <w:szCs w:val="28"/>
          <w:highlight w:val="none"/>
        </w:rPr>
      </w:pPr>
      <w:r>
        <w:rPr>
          <w:rFonts w:hint="eastAsia" w:ascii="仿宋_GB2312" w:hAnsi="Times New Roman" w:eastAsia="仿宋_GB2312" w:cs="Times New Roman"/>
          <w:sz w:val="28"/>
          <w:szCs w:val="28"/>
          <w:highlight w:val="none"/>
        </w:rPr>
        <w:t>北京市西城区教育委员会人力资源服务中心根据西编发﹝2015﹞22号文件批复职责如下：</w:t>
      </w:r>
    </w:p>
    <w:p w14:paraId="63A061C7">
      <w:pPr>
        <w:pStyle w:val="5"/>
        <w:spacing w:line="560" w:lineRule="exact"/>
        <w:ind w:firstLine="560" w:firstLineChars="200"/>
        <w:rPr>
          <w:rFonts w:ascii="仿宋_GB2312" w:hAnsi="Times New Roman" w:eastAsia="仿宋_GB2312" w:cs="Times New Roman"/>
          <w:sz w:val="28"/>
          <w:szCs w:val="28"/>
          <w:highlight w:val="none"/>
        </w:rPr>
      </w:pPr>
      <w:r>
        <w:rPr>
          <w:rFonts w:hint="eastAsia" w:ascii="仿宋_GB2312" w:hAnsi="Times New Roman" w:eastAsia="仿宋_GB2312" w:cs="Times New Roman"/>
          <w:sz w:val="28"/>
          <w:szCs w:val="28"/>
          <w:highlight w:val="none"/>
        </w:rPr>
        <w:t>1、均衡开发利用教育人才资源，为区教委所属各单位用人需求提供保障；</w:t>
      </w:r>
    </w:p>
    <w:p w14:paraId="1AD3F160">
      <w:pPr>
        <w:pStyle w:val="5"/>
        <w:spacing w:line="560" w:lineRule="exact"/>
        <w:ind w:firstLine="560" w:firstLineChars="200"/>
        <w:rPr>
          <w:rFonts w:ascii="仿宋_GB2312" w:hAnsi="Times New Roman" w:eastAsia="仿宋_GB2312" w:cs="Times New Roman"/>
          <w:sz w:val="28"/>
          <w:szCs w:val="28"/>
          <w:highlight w:val="none"/>
        </w:rPr>
      </w:pPr>
      <w:r>
        <w:rPr>
          <w:rFonts w:hint="eastAsia" w:ascii="仿宋_GB2312" w:hAnsi="Times New Roman" w:eastAsia="仿宋_GB2312" w:cs="Times New Roman"/>
          <w:sz w:val="28"/>
          <w:szCs w:val="28"/>
          <w:highlight w:val="none"/>
        </w:rPr>
        <w:t>2、负责本系统人员数据库的建立完善和使用管理，完成人事、人才相关数据的统计汇总；</w:t>
      </w:r>
    </w:p>
    <w:p w14:paraId="4FDFC0CC">
      <w:pPr>
        <w:pStyle w:val="5"/>
        <w:spacing w:line="560" w:lineRule="exact"/>
        <w:ind w:firstLine="560" w:firstLineChars="200"/>
        <w:rPr>
          <w:rFonts w:ascii="仿宋_GB2312" w:hAnsi="Times New Roman" w:eastAsia="仿宋_GB2312" w:cs="Times New Roman"/>
          <w:sz w:val="28"/>
          <w:szCs w:val="28"/>
          <w:highlight w:val="none"/>
        </w:rPr>
      </w:pPr>
      <w:r>
        <w:rPr>
          <w:rFonts w:hint="eastAsia" w:ascii="仿宋_GB2312" w:hAnsi="Times New Roman" w:eastAsia="仿宋_GB2312" w:cs="Times New Roman"/>
          <w:sz w:val="28"/>
          <w:szCs w:val="28"/>
          <w:highlight w:val="none"/>
        </w:rPr>
        <w:t>3、承担教师资格认定工作；</w:t>
      </w:r>
    </w:p>
    <w:p w14:paraId="55F4328B">
      <w:pPr>
        <w:pStyle w:val="5"/>
        <w:spacing w:line="560" w:lineRule="exact"/>
        <w:ind w:firstLine="560" w:firstLineChars="200"/>
        <w:rPr>
          <w:rFonts w:ascii="仿宋_GB2312" w:hAnsi="Times New Roman" w:eastAsia="仿宋_GB2312" w:cs="Times New Roman"/>
          <w:sz w:val="28"/>
          <w:szCs w:val="28"/>
          <w:highlight w:val="none"/>
        </w:rPr>
      </w:pPr>
      <w:r>
        <w:rPr>
          <w:rFonts w:hint="eastAsia" w:ascii="仿宋_GB2312" w:hAnsi="Times New Roman" w:eastAsia="仿宋_GB2312" w:cs="Times New Roman"/>
          <w:sz w:val="28"/>
          <w:szCs w:val="28"/>
          <w:highlight w:val="none"/>
        </w:rPr>
        <w:t>4、承担本系统教职工聘用合同制等相关人事政策的咨询工作；</w:t>
      </w:r>
    </w:p>
    <w:p w14:paraId="1443CF92">
      <w:pPr>
        <w:pStyle w:val="5"/>
        <w:spacing w:line="560" w:lineRule="exact"/>
        <w:ind w:firstLine="560" w:firstLineChars="200"/>
        <w:rPr>
          <w:rFonts w:ascii="仿宋_GB2312" w:hAnsi="Times New Roman" w:eastAsia="仿宋_GB2312" w:cs="Times New Roman"/>
          <w:sz w:val="28"/>
          <w:szCs w:val="28"/>
          <w:highlight w:val="none"/>
        </w:rPr>
      </w:pPr>
      <w:r>
        <w:rPr>
          <w:rFonts w:hint="eastAsia" w:ascii="仿宋_GB2312" w:hAnsi="Times New Roman" w:eastAsia="仿宋_GB2312" w:cs="Times New Roman"/>
          <w:sz w:val="28"/>
          <w:szCs w:val="28"/>
          <w:highlight w:val="none"/>
        </w:rPr>
        <w:t>5、负责指导协调本系统单位人事档案的管理工作；</w:t>
      </w:r>
    </w:p>
    <w:p w14:paraId="46CCC9C9">
      <w:pPr>
        <w:pStyle w:val="5"/>
        <w:spacing w:line="560" w:lineRule="exact"/>
        <w:ind w:firstLine="560" w:firstLineChars="200"/>
        <w:rPr>
          <w:rFonts w:ascii="仿宋_GB2312" w:hAnsi="Times New Roman" w:eastAsia="仿宋_GB2312" w:cs="Times New Roman"/>
          <w:sz w:val="28"/>
          <w:szCs w:val="28"/>
          <w:highlight w:val="none"/>
        </w:rPr>
      </w:pPr>
      <w:r>
        <w:rPr>
          <w:rFonts w:hint="eastAsia" w:ascii="仿宋_GB2312" w:hAnsi="Times New Roman" w:eastAsia="仿宋_GB2312" w:cs="Times New Roman"/>
          <w:sz w:val="28"/>
          <w:szCs w:val="28"/>
          <w:highlight w:val="none"/>
        </w:rPr>
        <w:t>6、完成区教委相关业务部门交办的有关工作。</w:t>
      </w:r>
    </w:p>
    <w:p w14:paraId="7BC02453">
      <w:pPr>
        <w:tabs>
          <w:tab w:val="center" w:pos="6979"/>
        </w:tabs>
        <w:spacing w:line="580" w:lineRule="exact"/>
        <w:rPr>
          <w:rFonts w:hint="eastAsia" w:ascii="黑体" w:eastAsia="黑体"/>
          <w:b/>
          <w:sz w:val="28"/>
          <w:szCs w:val="28"/>
        </w:rPr>
      </w:pPr>
      <w:r>
        <w:rPr>
          <w:rFonts w:hint="eastAsia" w:ascii="仿宋_GB2312" w:eastAsia="仿宋_GB2312"/>
          <w:b/>
          <w:sz w:val="32"/>
          <w:szCs w:val="32"/>
        </w:rPr>
        <w:t xml:space="preserve">   </w:t>
      </w:r>
      <w:r>
        <w:rPr>
          <w:rFonts w:hint="eastAsia" w:ascii="黑体" w:eastAsia="黑体"/>
          <w:b/>
          <w:sz w:val="28"/>
          <w:szCs w:val="28"/>
        </w:rPr>
        <w:t>二、收入支出决算总体情况说明</w:t>
      </w:r>
    </w:p>
    <w:p w14:paraId="357967AC">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470</w:t>
      </w:r>
      <w:r>
        <w:rPr>
          <w:rFonts w:hint="eastAsia" w:ascii="仿宋_GB2312" w:eastAsia="仿宋_GB2312"/>
          <w:sz w:val="28"/>
          <w:szCs w:val="28"/>
        </w:rPr>
        <w:t>万元，</w:t>
      </w:r>
      <w:r>
        <w:rPr>
          <w:rFonts w:ascii="仿宋_GB2312" w:eastAsia="仿宋_GB2312"/>
          <w:sz w:val="28"/>
          <w:szCs w:val="28"/>
          <w:highlight w:val="none"/>
        </w:rPr>
        <w:t>比上年增加</w:t>
      </w:r>
      <w:r>
        <w:rPr>
          <w:rFonts w:hint="eastAsia" w:ascii="仿宋_GB2312" w:eastAsia="仿宋_GB2312"/>
          <w:sz w:val="28"/>
          <w:szCs w:val="28"/>
          <w:highlight w:val="none"/>
        </w:rPr>
        <w:t>21.76万元，增长4.8</w:t>
      </w:r>
      <w:r>
        <w:rPr>
          <w:rFonts w:hint="eastAsia" w:ascii="仿宋_GB2312" w:eastAsia="仿宋_GB2312"/>
          <w:sz w:val="28"/>
          <w:szCs w:val="28"/>
          <w:highlight w:val="none"/>
          <w:lang w:val="en-US" w:eastAsia="zh-CN"/>
        </w:rPr>
        <w:t>5</w:t>
      </w:r>
      <w:r>
        <w:rPr>
          <w:rFonts w:hint="eastAsia" w:ascii="仿宋_GB2312" w:eastAsia="仿宋_GB2312"/>
          <w:sz w:val="28"/>
          <w:szCs w:val="28"/>
          <w:highlight w:val="none"/>
        </w:rPr>
        <w:t>%。</w:t>
      </w:r>
    </w:p>
    <w:p w14:paraId="4C71FCCE">
      <w:pPr>
        <w:tabs>
          <w:tab w:val="center" w:pos="6979"/>
        </w:tabs>
        <w:spacing w:line="580" w:lineRule="exact"/>
        <w:ind w:firstLine="570"/>
        <w:rPr>
          <w:rFonts w:hint="eastAsia" w:ascii="仿宋_GB2312" w:eastAsia="仿宋_GB2312"/>
          <w:sz w:val="28"/>
          <w:szCs w:val="28"/>
          <w:highlight w:val="none"/>
        </w:rPr>
      </w:pPr>
      <w:r>
        <w:rPr>
          <w:rFonts w:hint="eastAsia" w:ascii="仿宋_GB2312" w:eastAsia="仿宋_GB2312"/>
          <w:sz w:val="28"/>
          <w:szCs w:val="28"/>
          <w:highlight w:val="none"/>
        </w:rPr>
        <w:t>（一</w:t>
      </w:r>
      <w:r>
        <w:rPr>
          <w:rFonts w:ascii="仿宋_GB2312" w:eastAsia="仿宋_GB2312"/>
          <w:sz w:val="28"/>
          <w:szCs w:val="28"/>
          <w:highlight w:val="none"/>
        </w:rPr>
        <w:t>）</w:t>
      </w:r>
      <w:r>
        <w:rPr>
          <w:rFonts w:hint="eastAsia" w:ascii="仿宋_GB2312" w:eastAsia="仿宋_GB2312"/>
          <w:sz w:val="28"/>
          <w:szCs w:val="28"/>
          <w:highlight w:val="none"/>
        </w:rPr>
        <w:t>收入决算</w:t>
      </w:r>
      <w:r>
        <w:rPr>
          <w:rFonts w:ascii="仿宋_GB2312" w:eastAsia="仿宋_GB2312"/>
          <w:sz w:val="28"/>
          <w:szCs w:val="28"/>
          <w:highlight w:val="none"/>
        </w:rPr>
        <w:t>说明</w:t>
      </w:r>
    </w:p>
    <w:p w14:paraId="2520F5C9">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年度本年收入合计</w:t>
      </w:r>
      <w:r>
        <w:rPr>
          <w:rFonts w:ascii="仿宋_GB2312" w:eastAsia="仿宋_GB2312"/>
          <w:sz w:val="28"/>
          <w:szCs w:val="28"/>
        </w:rPr>
        <w:t>469.84</w:t>
      </w:r>
      <w:r>
        <w:rPr>
          <w:rFonts w:hint="eastAsia" w:ascii="仿宋_GB2312" w:eastAsia="仿宋_GB2312"/>
          <w:sz w:val="28"/>
          <w:szCs w:val="28"/>
        </w:rPr>
        <w:t>万元，</w:t>
      </w:r>
      <w:r>
        <w:rPr>
          <w:rFonts w:ascii="仿宋_GB2312" w:eastAsia="仿宋_GB2312"/>
          <w:sz w:val="28"/>
          <w:szCs w:val="28"/>
          <w:highlight w:val="none"/>
        </w:rPr>
        <w:t>比上年增加</w:t>
      </w:r>
      <w:r>
        <w:rPr>
          <w:rFonts w:hint="eastAsia" w:ascii="仿宋_GB2312" w:eastAsia="仿宋_GB2312"/>
          <w:sz w:val="28"/>
          <w:szCs w:val="28"/>
          <w:highlight w:val="none"/>
        </w:rPr>
        <w:t>21.76万元，增长4.86%。</w:t>
      </w:r>
    </w:p>
    <w:p w14:paraId="5EBCBF30">
      <w:pPr>
        <w:numPr>
          <w:ilvl w:val="0"/>
          <w:numId w:val="0"/>
        </w:numPr>
        <w:tabs>
          <w:tab w:val="center" w:pos="6979"/>
        </w:tabs>
        <w:spacing w:line="580" w:lineRule="exact"/>
        <w:ind w:firstLine="560" w:firstLineChars="200"/>
        <w:rPr>
          <w:rFonts w:hint="eastAsia" w:ascii="仿宋_GB2312" w:eastAsia="仿宋_GB2312"/>
          <w:sz w:val="28"/>
          <w:szCs w:val="28"/>
          <w:lang w:eastAsia="zh-CN"/>
        </w:rPr>
      </w:pPr>
      <w:r>
        <w:rPr>
          <w:rFonts w:hint="eastAsia" w:ascii="仿宋_GB2312" w:eastAsia="仿宋_GB2312"/>
          <w:sz w:val="28"/>
          <w:szCs w:val="28"/>
          <w:lang w:val="en-US" w:eastAsia="zh-CN"/>
        </w:rPr>
        <w:t>1.</w:t>
      </w:r>
      <w:r>
        <w:rPr>
          <w:rFonts w:hint="eastAsia" w:ascii="仿宋_GB2312" w:eastAsia="仿宋_GB2312"/>
          <w:sz w:val="28"/>
          <w:szCs w:val="28"/>
        </w:rPr>
        <w:t>财政拨款收入</w:t>
      </w:r>
      <w:r>
        <w:rPr>
          <w:rFonts w:ascii="仿宋_GB2312" w:eastAsia="仿宋_GB2312"/>
          <w:sz w:val="28"/>
          <w:szCs w:val="28"/>
        </w:rPr>
        <w:t>469.84</w:t>
      </w:r>
      <w:r>
        <w:rPr>
          <w:rFonts w:hint="eastAsia" w:ascii="仿宋_GB2312" w:eastAsia="仿宋_GB2312"/>
          <w:sz w:val="28"/>
          <w:szCs w:val="28"/>
        </w:rPr>
        <w:t>万元，占收入合计的</w:t>
      </w:r>
      <w:r>
        <w:rPr>
          <w:rFonts w:hint="eastAsia" w:ascii="仿宋_GB2312" w:eastAsia="仿宋_GB2312"/>
          <w:sz w:val="28"/>
          <w:szCs w:val="28"/>
          <w:lang w:eastAsia="zh-CN"/>
        </w:rPr>
        <w:t>100%。</w:t>
      </w:r>
      <w:r>
        <w:rPr>
          <w:rFonts w:hint="eastAsia" w:ascii="仿宋_GB2312" w:eastAsia="仿宋_GB2312"/>
          <w:sz w:val="28"/>
          <w:szCs w:val="28"/>
        </w:rPr>
        <w:t>其中：</w:t>
      </w:r>
      <w:r>
        <w:rPr>
          <w:rFonts w:hint="eastAsia" w:ascii="仿宋_GB2312" w:eastAsia="仿宋_GB2312"/>
          <w:sz w:val="28"/>
          <w:szCs w:val="28"/>
          <w:lang w:eastAsia="zh-CN"/>
        </w:rPr>
        <w:t>一般公共预算财政拨款收入</w:t>
      </w:r>
      <w:r>
        <w:rPr>
          <w:rFonts w:ascii="仿宋_GB2312" w:eastAsia="仿宋_GB2312"/>
          <w:sz w:val="28"/>
          <w:szCs w:val="28"/>
        </w:rPr>
        <w:t>469.84</w:t>
      </w:r>
      <w:r>
        <w:rPr>
          <w:rFonts w:hint="eastAsia" w:ascii="仿宋_GB2312" w:eastAsia="仿宋_GB2312"/>
          <w:sz w:val="28"/>
          <w:szCs w:val="28"/>
        </w:rPr>
        <w:t>万元，占收入合计的</w:t>
      </w:r>
      <w:r>
        <w:rPr>
          <w:rFonts w:hint="eastAsia" w:ascii="仿宋_GB2312" w:eastAsia="仿宋_GB2312"/>
          <w:sz w:val="28"/>
          <w:szCs w:val="28"/>
          <w:lang w:eastAsia="zh-CN"/>
        </w:rPr>
        <w:t>100</w:t>
      </w:r>
      <w:r>
        <w:rPr>
          <w:rFonts w:hint="eastAsia" w:ascii="仿宋_GB2312" w:eastAsia="仿宋_GB2312"/>
          <w:sz w:val="28"/>
          <w:szCs w:val="28"/>
        </w:rPr>
        <w:t>%；</w:t>
      </w:r>
      <w:r>
        <w:rPr>
          <w:rFonts w:hint="eastAsia" w:ascii="仿宋_GB2312" w:eastAsia="仿宋_GB2312"/>
          <w:sz w:val="28"/>
          <w:szCs w:val="28"/>
          <w:lang w:eastAsia="zh-CN"/>
        </w:rPr>
        <w:t>政府性基金预算财政拨款收入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r>
        <w:rPr>
          <w:rFonts w:hint="eastAsia" w:ascii="仿宋_GB2312" w:eastAsia="仿宋_GB2312"/>
          <w:sz w:val="28"/>
          <w:szCs w:val="28"/>
          <w:lang w:eastAsia="zh-CN"/>
        </w:rPr>
        <w:t>国有资本经营预算财政拨款收入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14:paraId="5C6ADAC1">
      <w:pPr>
        <w:numPr>
          <w:ilvl w:val="0"/>
          <w:numId w:val="0"/>
        </w:num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2.</w:t>
      </w:r>
      <w:r>
        <w:rPr>
          <w:rFonts w:hint="eastAsia" w:ascii="仿宋_GB2312" w:eastAsia="仿宋_GB2312"/>
          <w:sz w:val="28"/>
          <w:szCs w:val="28"/>
        </w:rPr>
        <w:t>上级补助收入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14:paraId="222A9F6A">
      <w:pPr>
        <w:numPr>
          <w:ilvl w:val="0"/>
          <w:numId w:val="0"/>
        </w:num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3.</w:t>
      </w:r>
      <w:r>
        <w:rPr>
          <w:rFonts w:hint="eastAsia" w:ascii="仿宋_GB2312" w:eastAsia="仿宋_GB2312"/>
          <w:sz w:val="28"/>
          <w:szCs w:val="28"/>
        </w:rPr>
        <w:t>事业收入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14:paraId="6AA80687">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4.经营收入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14:paraId="016D163F">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5.附属单位上缴收入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14:paraId="4AFFD2BB">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6.其他收入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14:paraId="48526090">
      <w:pPr>
        <w:pStyle w:val="2"/>
        <w:ind w:firstLine="0"/>
        <w:jc w:val="center"/>
      </w:pPr>
      <w:r>
        <w:rPr>
          <w:rFonts w:hint="eastAsia" w:ascii="仿宋_GB2312" w:eastAsia="仿宋_GB2312"/>
          <w:color w:val="000000"/>
          <w:sz w:val="32"/>
          <w:szCs w:val="32"/>
          <w:highlight w:val="none"/>
          <w:lang w:val="en-US" w:eastAsia="zh-CN"/>
        </w:rPr>
        <w:t>图1：收入决算</w:t>
      </w:r>
    </w:p>
    <w:p w14:paraId="12378AFE">
      <w:pPr>
        <w:pStyle w:val="3"/>
        <w:ind w:firstLine="420"/>
        <w:jc w:val="center"/>
      </w:pPr>
      <w:r>
        <w:drawing>
          <wp:inline distT="0" distB="0" distL="0" distR="0">
            <wp:extent cx="4036695" cy="2328545"/>
            <wp:effectExtent l="0" t="0" r="20955" b="14605"/>
            <wp:docPr id="3" name="图表 3"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14:paraId="65005DF2">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14:paraId="6B113752">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年度本年支出合计</w:t>
      </w:r>
      <w:r>
        <w:rPr>
          <w:rFonts w:ascii="仿宋_GB2312" w:eastAsia="仿宋_GB2312"/>
          <w:sz w:val="28"/>
          <w:szCs w:val="28"/>
        </w:rPr>
        <w:t>469.84</w:t>
      </w:r>
      <w:r>
        <w:rPr>
          <w:rFonts w:hint="eastAsia" w:ascii="仿宋_GB2312" w:eastAsia="仿宋_GB2312"/>
          <w:sz w:val="28"/>
          <w:szCs w:val="28"/>
        </w:rPr>
        <w:t>万元，</w:t>
      </w:r>
      <w:r>
        <w:rPr>
          <w:rFonts w:ascii="仿宋_GB2312" w:eastAsia="仿宋_GB2312"/>
          <w:sz w:val="28"/>
          <w:szCs w:val="28"/>
        </w:rPr>
        <w:t>比上年</w:t>
      </w:r>
      <w:r>
        <w:rPr>
          <w:rFonts w:ascii="仿宋_GB2312" w:eastAsia="仿宋_GB2312"/>
          <w:sz w:val="28"/>
          <w:szCs w:val="28"/>
          <w:highlight w:val="none"/>
        </w:rPr>
        <w:t>增加</w:t>
      </w:r>
      <w:r>
        <w:rPr>
          <w:rFonts w:hint="eastAsia" w:ascii="仿宋_GB2312" w:eastAsia="仿宋_GB2312"/>
          <w:sz w:val="28"/>
          <w:szCs w:val="28"/>
          <w:highlight w:val="none"/>
        </w:rPr>
        <w:t>21.76万元，增长4.86%</w:t>
      </w:r>
      <w:r>
        <w:rPr>
          <w:rFonts w:hint="eastAsia" w:ascii="仿宋_GB2312" w:eastAsia="仿宋_GB2312"/>
          <w:sz w:val="28"/>
          <w:szCs w:val="28"/>
        </w:rPr>
        <w:t>，其中：基本支出</w:t>
      </w:r>
      <w:r>
        <w:rPr>
          <w:rFonts w:ascii="仿宋_GB2312" w:eastAsia="仿宋_GB2312"/>
          <w:sz w:val="28"/>
          <w:szCs w:val="28"/>
        </w:rPr>
        <w:t>463.23</w:t>
      </w:r>
      <w:r>
        <w:rPr>
          <w:rFonts w:hint="eastAsia" w:ascii="仿宋_GB2312" w:eastAsia="仿宋_GB2312"/>
          <w:sz w:val="28"/>
          <w:szCs w:val="28"/>
        </w:rPr>
        <w:t>万元，占支出合计的</w:t>
      </w:r>
      <w:r>
        <w:rPr>
          <w:rFonts w:hint="eastAsia" w:ascii="仿宋_GB2312" w:eastAsia="仿宋_GB2312"/>
          <w:sz w:val="28"/>
          <w:szCs w:val="28"/>
          <w:lang w:eastAsia="zh-CN"/>
        </w:rPr>
        <w:t>98.59</w:t>
      </w:r>
      <w:r>
        <w:rPr>
          <w:rFonts w:hint="eastAsia" w:ascii="仿宋_GB2312" w:eastAsia="仿宋_GB2312"/>
          <w:sz w:val="28"/>
          <w:szCs w:val="28"/>
        </w:rPr>
        <w:t>%；项目支出</w:t>
      </w:r>
      <w:r>
        <w:rPr>
          <w:rFonts w:ascii="仿宋_GB2312" w:eastAsia="仿宋_GB2312"/>
          <w:sz w:val="28"/>
          <w:szCs w:val="28"/>
        </w:rPr>
        <w:t>6.61</w:t>
      </w:r>
      <w:r>
        <w:rPr>
          <w:rFonts w:hint="eastAsia" w:ascii="仿宋_GB2312" w:eastAsia="仿宋_GB2312"/>
          <w:sz w:val="28"/>
          <w:szCs w:val="28"/>
        </w:rPr>
        <w:t>万元，占支出合计的</w:t>
      </w:r>
      <w:r>
        <w:rPr>
          <w:rFonts w:hint="eastAsia" w:ascii="仿宋_GB2312" w:eastAsia="仿宋_GB2312"/>
          <w:sz w:val="28"/>
          <w:szCs w:val="28"/>
          <w:lang w:eastAsia="zh-CN"/>
        </w:rPr>
        <w:t>1.41</w:t>
      </w:r>
      <w:r>
        <w:rPr>
          <w:rFonts w:hint="eastAsia" w:ascii="仿宋_GB2312" w:eastAsia="仿宋_GB2312"/>
          <w:sz w:val="28"/>
          <w:szCs w:val="28"/>
        </w:rPr>
        <w:t>%;上缴上级支出</w:t>
      </w:r>
      <w:r>
        <w:rPr>
          <w:rFonts w:ascii="仿宋_GB2312" w:eastAsia="仿宋_GB2312"/>
          <w:sz w:val="28"/>
          <w:szCs w:val="28"/>
        </w:rPr>
        <w:t>0</w:t>
      </w:r>
      <w:r>
        <w:rPr>
          <w:rFonts w:hint="eastAsia" w:ascii="仿宋_GB2312" w:eastAsia="仿宋_GB2312"/>
          <w:sz w:val="28"/>
          <w:szCs w:val="28"/>
        </w:rPr>
        <w:t>万元，占支出合计的</w:t>
      </w:r>
      <w:r>
        <w:rPr>
          <w:rFonts w:hint="eastAsia" w:ascii="仿宋_GB2312" w:eastAsia="仿宋_GB2312"/>
          <w:sz w:val="28"/>
          <w:szCs w:val="28"/>
          <w:lang w:eastAsia="zh-CN"/>
        </w:rPr>
        <w:t>0</w:t>
      </w:r>
      <w:r>
        <w:rPr>
          <w:rFonts w:hint="eastAsia" w:ascii="仿宋_GB2312" w:eastAsia="仿宋_GB2312"/>
          <w:sz w:val="28"/>
          <w:szCs w:val="28"/>
        </w:rPr>
        <w:t>%；经营支出</w:t>
      </w:r>
      <w:r>
        <w:rPr>
          <w:rFonts w:ascii="仿宋_GB2312" w:eastAsia="仿宋_GB2312"/>
          <w:sz w:val="28"/>
          <w:szCs w:val="28"/>
        </w:rPr>
        <w:t>0</w:t>
      </w:r>
      <w:r>
        <w:rPr>
          <w:rFonts w:hint="eastAsia" w:ascii="仿宋_GB2312" w:eastAsia="仿宋_GB2312"/>
          <w:sz w:val="28"/>
          <w:szCs w:val="28"/>
        </w:rPr>
        <w:t>万元，占支出合计的</w:t>
      </w:r>
      <w:r>
        <w:rPr>
          <w:rFonts w:hint="eastAsia" w:ascii="仿宋_GB2312" w:eastAsia="仿宋_GB2312"/>
          <w:sz w:val="28"/>
          <w:szCs w:val="28"/>
          <w:lang w:eastAsia="zh-CN"/>
        </w:rPr>
        <w:t>0</w:t>
      </w:r>
      <w:r>
        <w:rPr>
          <w:rFonts w:hint="eastAsia" w:ascii="仿宋_GB2312" w:eastAsia="仿宋_GB2312"/>
          <w:sz w:val="28"/>
          <w:szCs w:val="28"/>
        </w:rPr>
        <w:t>%；对附属单位补助支出</w:t>
      </w:r>
      <w:r>
        <w:rPr>
          <w:rFonts w:ascii="仿宋_GB2312" w:eastAsia="仿宋_GB2312"/>
          <w:sz w:val="28"/>
          <w:szCs w:val="28"/>
        </w:rPr>
        <w:t>0</w:t>
      </w:r>
      <w:r>
        <w:rPr>
          <w:rFonts w:hint="eastAsia" w:ascii="仿宋_GB2312" w:eastAsia="仿宋_GB2312"/>
          <w:sz w:val="28"/>
          <w:szCs w:val="28"/>
        </w:rPr>
        <w:t>万元，占支出合计的</w:t>
      </w:r>
      <w:r>
        <w:rPr>
          <w:rFonts w:hint="eastAsia" w:ascii="仿宋_GB2312" w:eastAsia="仿宋_GB2312"/>
          <w:sz w:val="28"/>
          <w:szCs w:val="28"/>
          <w:lang w:eastAsia="zh-CN"/>
        </w:rPr>
        <w:t>0</w:t>
      </w:r>
      <w:r>
        <w:rPr>
          <w:rFonts w:hint="eastAsia" w:ascii="仿宋_GB2312" w:eastAsia="仿宋_GB2312"/>
          <w:sz w:val="28"/>
          <w:szCs w:val="28"/>
        </w:rPr>
        <w:t>%。</w:t>
      </w:r>
    </w:p>
    <w:p w14:paraId="1463217E">
      <w:pPr>
        <w:pStyle w:val="2"/>
        <w:ind w:firstLine="642"/>
        <w:jc w:val="center"/>
        <w:rPr>
          <w:rFonts w:ascii="仿宋_GB2312" w:eastAsia="仿宋_GB2312"/>
          <w:color w:val="000000"/>
          <w:sz w:val="32"/>
        </w:rPr>
      </w:pPr>
      <w:r>
        <w:rPr>
          <w:rFonts w:hint="eastAsia" w:ascii="仿宋_GB2312" w:eastAsia="仿宋_GB2312"/>
          <w:color w:val="000000"/>
          <w:sz w:val="32"/>
        </w:rPr>
        <w:t>图2：基本支出和项目支出情况</w:t>
      </w:r>
    </w:p>
    <w:p w14:paraId="2FEDA81D">
      <w:pPr>
        <w:jc w:val="center"/>
        <w:rPr>
          <w:rFonts w:ascii="黑体" w:eastAsia="黑体"/>
          <w:b/>
          <w:sz w:val="28"/>
          <w:szCs w:val="28"/>
        </w:rPr>
      </w:pPr>
      <w:r>
        <w:drawing>
          <wp:inline distT="0" distB="0" distL="114300" distR="114300">
            <wp:extent cx="4572000" cy="2743200"/>
            <wp:effectExtent l="4445" t="4445" r="14605" b="14605"/>
            <wp:docPr id="1" name="图表 3" title="{{pieChart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5A5E46A2">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三</w:t>
      </w:r>
      <w:r>
        <w:rPr>
          <w:rFonts w:ascii="黑体" w:eastAsia="黑体"/>
          <w:b/>
          <w:sz w:val="28"/>
          <w:szCs w:val="28"/>
        </w:rPr>
        <w:t>、财政拨款</w:t>
      </w:r>
      <w:r>
        <w:rPr>
          <w:rFonts w:hint="eastAsia" w:ascii="黑体" w:eastAsia="黑体"/>
          <w:b/>
          <w:sz w:val="28"/>
          <w:szCs w:val="28"/>
        </w:rPr>
        <w:t>收入支出决算</w:t>
      </w:r>
      <w:r>
        <w:rPr>
          <w:rFonts w:ascii="黑体" w:eastAsia="黑体"/>
          <w:b/>
          <w:sz w:val="28"/>
          <w:szCs w:val="28"/>
        </w:rPr>
        <w:t>总体情况说明</w:t>
      </w:r>
    </w:p>
    <w:p w14:paraId="1C0D2430">
      <w:pPr>
        <w:tabs>
          <w:tab w:val="center" w:pos="6979"/>
        </w:tabs>
        <w:spacing w:line="580" w:lineRule="exact"/>
        <w:ind w:firstLine="570"/>
        <w:rPr>
          <w:rFonts w:hint="eastAsia" w:ascii="仿宋_GB2312" w:eastAsia="仿宋_GB2312"/>
          <w:sz w:val="28"/>
          <w:szCs w:val="28"/>
          <w:highlight w:val="none"/>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年度财政拨款收、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469.84</w:t>
      </w:r>
      <w:r>
        <w:rPr>
          <w:rFonts w:hint="eastAsia" w:ascii="仿宋_GB2312" w:eastAsia="仿宋_GB2312"/>
          <w:sz w:val="28"/>
          <w:szCs w:val="28"/>
        </w:rPr>
        <w:t>万元，</w:t>
      </w:r>
      <w:r>
        <w:rPr>
          <w:rFonts w:hint="eastAsia" w:ascii="仿宋_GB2312" w:eastAsia="仿宋_GB2312"/>
          <w:sz w:val="28"/>
          <w:szCs w:val="28"/>
          <w:highlight w:val="none"/>
        </w:rPr>
        <w:t>比上年</w:t>
      </w:r>
      <w:r>
        <w:rPr>
          <w:rFonts w:ascii="仿宋_GB2312" w:eastAsia="仿宋_GB2312"/>
          <w:sz w:val="28"/>
          <w:szCs w:val="28"/>
          <w:highlight w:val="none"/>
        </w:rPr>
        <w:t>增加</w:t>
      </w:r>
      <w:r>
        <w:rPr>
          <w:rFonts w:hint="eastAsia" w:ascii="仿宋_GB2312" w:eastAsia="仿宋_GB2312"/>
          <w:sz w:val="28"/>
          <w:szCs w:val="28"/>
          <w:highlight w:val="none"/>
        </w:rPr>
        <w:t>21.76万元，增长4.86%。主要原因：本年</w:t>
      </w:r>
      <w:r>
        <w:rPr>
          <w:rFonts w:hint="eastAsia" w:ascii="仿宋_GB2312" w:eastAsia="仿宋_GB2312"/>
          <w:sz w:val="28"/>
          <w:szCs w:val="28"/>
          <w:highlight w:val="none"/>
          <w:lang w:val="en-US" w:eastAsia="zh-CN"/>
        </w:rPr>
        <w:t>因薪级滚动等因素导致</w:t>
      </w:r>
      <w:r>
        <w:rPr>
          <w:rFonts w:hint="eastAsia" w:ascii="仿宋_GB2312" w:eastAsia="仿宋_GB2312"/>
          <w:sz w:val="28"/>
          <w:szCs w:val="28"/>
          <w:highlight w:val="none"/>
        </w:rPr>
        <w:t>工资收入</w:t>
      </w:r>
      <w:r>
        <w:rPr>
          <w:rFonts w:hint="eastAsia" w:ascii="仿宋_GB2312" w:eastAsia="仿宋_GB2312"/>
          <w:sz w:val="28"/>
          <w:szCs w:val="28"/>
          <w:highlight w:val="none"/>
          <w:lang w:val="en-US" w:eastAsia="zh-CN"/>
        </w:rPr>
        <w:t>以及</w:t>
      </w:r>
      <w:r>
        <w:rPr>
          <w:rFonts w:hint="eastAsia" w:ascii="仿宋_GB2312" w:eastAsia="仿宋_GB2312"/>
          <w:sz w:val="28"/>
          <w:szCs w:val="28"/>
          <w:highlight w:val="none"/>
        </w:rPr>
        <w:t>社保、医保、公积金缴费基数提高。</w:t>
      </w:r>
    </w:p>
    <w:p w14:paraId="3DA88EAD">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四、一般公共预算财政拨款支出决算情况说明</w:t>
      </w:r>
    </w:p>
    <w:p w14:paraId="7F0158CC">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（一）一般公共预算财政拨款支出决算总体情况</w:t>
      </w:r>
    </w:p>
    <w:p w14:paraId="062D1752">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年度一般公共预算财政拨款支出</w:t>
      </w:r>
      <w:r>
        <w:rPr>
          <w:rFonts w:ascii="仿宋_GB2312" w:eastAsia="仿宋_GB2312"/>
          <w:sz w:val="28"/>
          <w:szCs w:val="28"/>
        </w:rPr>
        <w:t>469.84</w:t>
      </w:r>
      <w:r>
        <w:rPr>
          <w:rFonts w:hint="eastAsia" w:ascii="仿宋_GB2312" w:eastAsia="仿宋_GB2312"/>
          <w:sz w:val="28"/>
          <w:szCs w:val="28"/>
        </w:rPr>
        <w:t>万元，主要用于以下方面（按大类）：</w:t>
      </w:r>
      <w:r>
        <w:rPr>
          <w:rFonts w:hint="eastAsia" w:ascii="仿宋_GB2312" w:eastAsia="仿宋_GB2312"/>
          <w:sz w:val="28"/>
          <w:szCs w:val="28"/>
          <w:highlight w:val="none"/>
        </w:rPr>
        <w:t>教育支出310.92万元，占本年财政拨款支出66.18%；社会保障和就业支出55.5万元，占本年财政拨款支出11.81%；卫生健康支出36.22万元，占本年财政拨款支出7.71%；住房保障支出67.2万元，占本年财政拨款支出14.3%。</w:t>
      </w:r>
    </w:p>
    <w:p w14:paraId="1028C963">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（二）一般公共预算财政拨款支出决算具体情况</w:t>
      </w:r>
    </w:p>
    <w:p w14:paraId="67B0582B">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highlight w:val="none"/>
        </w:rPr>
        <w:t>1、“教育支出”（类）2024年度</w:t>
      </w:r>
      <w:r>
        <w:rPr>
          <w:rFonts w:hint="eastAsia" w:ascii="仿宋_GB2312" w:eastAsia="仿宋_GB2312"/>
          <w:sz w:val="28"/>
          <w:szCs w:val="28"/>
        </w:rPr>
        <w:t>年初预算</w:t>
      </w:r>
      <w:r>
        <w:rPr>
          <w:rFonts w:hint="eastAsia" w:ascii="仿宋_GB2312" w:eastAsia="仿宋_GB2312"/>
          <w:sz w:val="28"/>
          <w:szCs w:val="28"/>
          <w:lang w:val="en-US" w:eastAsia="zh-CN"/>
        </w:rPr>
        <w:t>299.01</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310.92</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103.99</w:t>
      </w:r>
      <w:r>
        <w:rPr>
          <w:rFonts w:hint="eastAsia" w:ascii="仿宋_GB2312" w:eastAsia="仿宋_GB2312"/>
          <w:sz w:val="28"/>
          <w:szCs w:val="28"/>
        </w:rPr>
        <w:t>%。其中：</w:t>
      </w:r>
    </w:p>
    <w:p w14:paraId="21BD7AB8">
      <w:pPr>
        <w:tabs>
          <w:tab w:val="center" w:pos="6979"/>
        </w:tabs>
        <w:spacing w:line="580" w:lineRule="exact"/>
        <w:ind w:firstLine="570"/>
        <w:rPr>
          <w:rFonts w:hint="eastAsia" w:ascii="仿宋_GB2312" w:eastAsia="仿宋_GB2312"/>
          <w:sz w:val="28"/>
          <w:szCs w:val="28"/>
          <w:highlight w:val="none"/>
        </w:rPr>
      </w:pPr>
      <w:r>
        <w:rPr>
          <w:rFonts w:hint="eastAsia" w:ascii="仿宋_GB2312" w:eastAsia="仿宋_GB2312"/>
          <w:sz w:val="28"/>
          <w:szCs w:val="28"/>
          <w:lang w:val="en-US" w:eastAsia="zh-CN"/>
        </w:rPr>
        <w:t xml:space="preserve">“普通教育” </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297.88</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310.70</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104.30</w:t>
      </w:r>
      <w:r>
        <w:rPr>
          <w:rFonts w:hint="eastAsia" w:ascii="仿宋_GB2312" w:eastAsia="仿宋_GB2312"/>
          <w:sz w:val="28"/>
          <w:szCs w:val="28"/>
        </w:rPr>
        <w:t>%。主要原因：</w:t>
      </w:r>
      <w:r>
        <w:rPr>
          <w:rFonts w:hint="eastAsia" w:ascii="仿宋_GB2312" w:eastAsia="仿宋_GB2312"/>
          <w:sz w:val="28"/>
          <w:szCs w:val="28"/>
          <w:highlight w:val="none"/>
        </w:rPr>
        <w:t>本年</w:t>
      </w:r>
      <w:r>
        <w:rPr>
          <w:rFonts w:hint="eastAsia" w:ascii="仿宋_GB2312" w:eastAsia="仿宋_GB2312"/>
          <w:sz w:val="28"/>
          <w:szCs w:val="28"/>
          <w:highlight w:val="none"/>
          <w:lang w:val="en-US" w:eastAsia="zh-CN"/>
        </w:rPr>
        <w:t>因薪级滚动等因素导致</w:t>
      </w:r>
      <w:r>
        <w:rPr>
          <w:rFonts w:hint="eastAsia" w:ascii="仿宋_GB2312" w:eastAsia="仿宋_GB2312"/>
          <w:sz w:val="28"/>
          <w:szCs w:val="28"/>
          <w:highlight w:val="none"/>
        </w:rPr>
        <w:t>工资收入</w:t>
      </w:r>
      <w:r>
        <w:rPr>
          <w:rFonts w:hint="eastAsia" w:ascii="仿宋_GB2312" w:eastAsia="仿宋_GB2312"/>
          <w:sz w:val="28"/>
          <w:szCs w:val="28"/>
          <w:highlight w:val="none"/>
          <w:lang w:val="en-US" w:eastAsia="zh-CN"/>
        </w:rPr>
        <w:t>以及</w:t>
      </w:r>
      <w:r>
        <w:rPr>
          <w:rFonts w:hint="eastAsia" w:ascii="仿宋_GB2312" w:eastAsia="仿宋_GB2312"/>
          <w:sz w:val="28"/>
          <w:szCs w:val="28"/>
          <w:highlight w:val="none"/>
        </w:rPr>
        <w:t>社保、医保、公积金缴费基数</w:t>
      </w:r>
      <w:r>
        <w:rPr>
          <w:rFonts w:hint="eastAsia" w:ascii="仿宋_GB2312" w:eastAsia="仿宋_GB2312"/>
          <w:sz w:val="28"/>
          <w:szCs w:val="28"/>
          <w:highlight w:val="none"/>
          <w:lang w:val="en-US" w:eastAsia="zh-CN"/>
        </w:rPr>
        <w:t>调整</w:t>
      </w:r>
      <w:r>
        <w:rPr>
          <w:rFonts w:hint="eastAsia" w:ascii="仿宋_GB2312" w:eastAsia="仿宋_GB2312"/>
          <w:sz w:val="28"/>
          <w:szCs w:val="28"/>
          <w:highlight w:val="none"/>
        </w:rPr>
        <w:t>。</w:t>
      </w:r>
    </w:p>
    <w:p w14:paraId="5E7733E5">
      <w:pPr>
        <w:spacing w:line="580" w:lineRule="exact"/>
        <w:ind w:firstLine="560" w:firstLineChars="200"/>
        <w:rPr>
          <w:rFonts w:hint="eastAsia" w:ascii="仿宋_GB2312" w:eastAsia="仿宋_GB2312"/>
          <w:sz w:val="28"/>
          <w:szCs w:val="28"/>
        </w:rPr>
      </w:pPr>
      <w:r>
        <w:rPr>
          <w:rFonts w:hint="eastAsia" w:ascii="仿宋_GB2312" w:eastAsia="仿宋_GB2312"/>
          <w:sz w:val="28"/>
          <w:szCs w:val="28"/>
          <w:highlight w:val="none"/>
          <w:lang w:eastAsia="zh-CN"/>
        </w:rPr>
        <w:t>“</w:t>
      </w:r>
      <w:r>
        <w:rPr>
          <w:rFonts w:hint="eastAsia" w:ascii="仿宋_GB2312" w:eastAsia="仿宋_GB2312"/>
          <w:sz w:val="28"/>
          <w:szCs w:val="28"/>
          <w:highlight w:val="none"/>
          <w:lang w:val="en-US" w:eastAsia="zh-CN"/>
        </w:rPr>
        <w:t>进修及培训</w:t>
      </w:r>
      <w:r>
        <w:rPr>
          <w:rFonts w:hint="eastAsia" w:ascii="仿宋_GB2312" w:eastAsia="仿宋_GB2312"/>
          <w:sz w:val="28"/>
          <w:szCs w:val="28"/>
          <w:highlight w:val="none"/>
          <w:lang w:eastAsia="zh-CN"/>
        </w:rPr>
        <w:t>”</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1.13</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0.22</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19.87</w:t>
      </w:r>
      <w:r>
        <w:rPr>
          <w:rFonts w:hint="eastAsia" w:ascii="仿宋_GB2312" w:eastAsia="仿宋_GB2312"/>
          <w:sz w:val="28"/>
          <w:szCs w:val="28"/>
        </w:rPr>
        <w:t>%。主要原因：202</w:t>
      </w:r>
      <w:r>
        <w:rPr>
          <w:rFonts w:hint="eastAsia" w:ascii="仿宋_GB2312" w:eastAsia="仿宋_GB2312"/>
          <w:sz w:val="28"/>
          <w:szCs w:val="28"/>
          <w:lang w:val="en-US" w:eastAsia="zh-CN"/>
        </w:rPr>
        <w:t>4</w:t>
      </w:r>
      <w:r>
        <w:rPr>
          <w:rFonts w:hint="eastAsia" w:ascii="仿宋_GB2312" w:eastAsia="仿宋_GB2312"/>
          <w:sz w:val="28"/>
          <w:szCs w:val="28"/>
        </w:rPr>
        <w:t>年未安排过多培训费支出。</w:t>
      </w:r>
    </w:p>
    <w:p w14:paraId="56A696B6">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highlight w:val="none"/>
        </w:rPr>
        <w:t>2、“社会保障和就业支出”（类）2024年度</w:t>
      </w:r>
      <w:r>
        <w:rPr>
          <w:rFonts w:hint="eastAsia" w:ascii="仿宋_GB2312" w:eastAsia="仿宋_GB2312"/>
          <w:sz w:val="28"/>
          <w:szCs w:val="28"/>
        </w:rPr>
        <w:t>年初预算</w:t>
      </w:r>
      <w:r>
        <w:rPr>
          <w:rFonts w:hint="eastAsia" w:ascii="仿宋_GB2312" w:eastAsia="仿宋_GB2312"/>
          <w:sz w:val="28"/>
          <w:szCs w:val="28"/>
          <w:lang w:val="en-US" w:eastAsia="zh-CN"/>
        </w:rPr>
        <w:t>55.60</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55.50</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99.81</w:t>
      </w:r>
      <w:r>
        <w:rPr>
          <w:rFonts w:hint="eastAsia" w:ascii="仿宋_GB2312" w:eastAsia="仿宋_GB2312"/>
          <w:sz w:val="28"/>
          <w:szCs w:val="28"/>
        </w:rPr>
        <w:t>%。</w:t>
      </w:r>
    </w:p>
    <w:p w14:paraId="512BBFBA">
      <w:pPr>
        <w:autoSpaceDE w:val="0"/>
        <w:autoSpaceDN w:val="0"/>
        <w:adjustRightInd w:val="0"/>
        <w:spacing w:line="580" w:lineRule="exact"/>
        <w:jc w:val="left"/>
        <w:rPr>
          <w:rFonts w:hint="eastAsia" w:ascii="仿宋_GB2312" w:eastAsia="仿宋_GB2312"/>
          <w:sz w:val="28"/>
          <w:szCs w:val="28"/>
        </w:rPr>
      </w:pPr>
      <w:r>
        <w:rPr>
          <w:rFonts w:hint="eastAsia" w:ascii="仿宋_GB2312" w:eastAsia="仿宋_GB2312"/>
          <w:sz w:val="28"/>
          <w:szCs w:val="28"/>
        </w:rPr>
        <w:t>其中：</w:t>
      </w:r>
    </w:p>
    <w:p w14:paraId="438EE855">
      <w:pPr>
        <w:spacing w:line="580" w:lineRule="exact"/>
        <w:ind w:firstLine="560" w:firstLineChars="200"/>
        <w:rPr>
          <w:rFonts w:hint="eastAsia" w:ascii="仿宋_GB2312" w:eastAsia="仿宋_GB2312"/>
          <w:sz w:val="28"/>
          <w:szCs w:val="28"/>
          <w:highlight w:val="none"/>
          <w:lang w:eastAsia="zh-CN"/>
        </w:rPr>
      </w:pPr>
      <w:r>
        <w:rPr>
          <w:rFonts w:hint="eastAsia" w:ascii="仿宋_GB2312" w:eastAsia="仿宋_GB2312"/>
          <w:sz w:val="28"/>
          <w:szCs w:val="28"/>
          <w:highlight w:val="none"/>
          <w:lang w:eastAsia="zh-CN"/>
        </w:rPr>
        <w:t>“</w:t>
      </w:r>
      <w:r>
        <w:rPr>
          <w:rFonts w:hint="eastAsia" w:ascii="仿宋_GB2312" w:eastAsia="仿宋_GB2312"/>
          <w:sz w:val="28"/>
          <w:szCs w:val="28"/>
          <w:highlight w:val="none"/>
          <w:lang w:val="en-US" w:eastAsia="zh-CN"/>
        </w:rPr>
        <w:t>行政事业单位养老支出</w:t>
      </w:r>
      <w:r>
        <w:rPr>
          <w:rFonts w:hint="eastAsia" w:ascii="仿宋_GB2312" w:eastAsia="仿宋_GB2312"/>
          <w:sz w:val="28"/>
          <w:szCs w:val="28"/>
          <w:highlight w:val="none"/>
          <w:lang w:eastAsia="zh-CN"/>
        </w:rPr>
        <w:t>”</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55.60</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55.50</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99.81</w:t>
      </w:r>
      <w:r>
        <w:rPr>
          <w:rFonts w:hint="eastAsia" w:ascii="仿宋_GB2312" w:eastAsia="仿宋_GB2312"/>
          <w:sz w:val="28"/>
          <w:szCs w:val="28"/>
        </w:rPr>
        <w:t>%。主要原因：</w:t>
      </w:r>
      <w:r>
        <w:rPr>
          <w:rFonts w:hint="eastAsia" w:ascii="仿宋_GB2312" w:eastAsia="仿宋_GB2312"/>
          <w:sz w:val="28"/>
          <w:szCs w:val="28"/>
          <w:lang w:val="en-US" w:eastAsia="zh-CN"/>
        </w:rPr>
        <w:t>养老保险及职业年金缴费基数调整</w:t>
      </w:r>
      <w:r>
        <w:rPr>
          <w:rFonts w:hint="eastAsia" w:ascii="仿宋_GB2312" w:eastAsia="仿宋_GB2312"/>
          <w:sz w:val="28"/>
          <w:szCs w:val="28"/>
        </w:rPr>
        <w:t>。</w:t>
      </w:r>
    </w:p>
    <w:p w14:paraId="237801B2">
      <w:pPr>
        <w:numPr>
          <w:ilvl w:val="0"/>
          <w:numId w:val="1"/>
        </w:numPr>
        <w:autoSpaceDE w:val="0"/>
        <w:autoSpaceDN w:val="0"/>
        <w:adjustRightInd w:val="0"/>
        <w:spacing w:line="580" w:lineRule="exact"/>
        <w:ind w:firstLine="560" w:firstLineChars="200"/>
        <w:jc w:val="left"/>
        <w:rPr>
          <w:rFonts w:hint="eastAsia" w:ascii="仿宋_GB2312" w:eastAsia="仿宋_GB2312"/>
          <w:sz w:val="28"/>
          <w:szCs w:val="28"/>
          <w:lang w:eastAsia="zh-CN"/>
        </w:rPr>
      </w:pPr>
      <w:r>
        <w:rPr>
          <w:rFonts w:hint="eastAsia" w:ascii="仿宋_GB2312" w:eastAsia="仿宋_GB2312"/>
          <w:sz w:val="28"/>
          <w:szCs w:val="28"/>
          <w:highlight w:val="none"/>
        </w:rPr>
        <w:t>“卫生健康支出”（类）2024年度</w:t>
      </w:r>
      <w:r>
        <w:rPr>
          <w:rFonts w:hint="eastAsia" w:ascii="仿宋_GB2312" w:eastAsia="仿宋_GB2312"/>
          <w:sz w:val="28"/>
          <w:szCs w:val="28"/>
        </w:rPr>
        <w:t>年初预算</w:t>
      </w:r>
      <w:r>
        <w:rPr>
          <w:rFonts w:hint="eastAsia" w:ascii="仿宋_GB2312" w:eastAsia="仿宋_GB2312"/>
          <w:sz w:val="28"/>
          <w:szCs w:val="28"/>
          <w:lang w:val="en-US" w:eastAsia="zh-CN"/>
        </w:rPr>
        <w:t>30.61</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36.22</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118.33</w:t>
      </w:r>
      <w:r>
        <w:rPr>
          <w:rFonts w:hint="eastAsia" w:ascii="仿宋_GB2312" w:eastAsia="仿宋_GB2312"/>
          <w:sz w:val="28"/>
          <w:szCs w:val="28"/>
        </w:rPr>
        <w:t>%。其中</w:t>
      </w:r>
      <w:r>
        <w:rPr>
          <w:rFonts w:hint="eastAsia" w:ascii="仿宋_GB2312" w:eastAsia="仿宋_GB2312"/>
          <w:sz w:val="28"/>
          <w:szCs w:val="28"/>
          <w:lang w:eastAsia="zh-CN"/>
        </w:rPr>
        <w:t>：</w:t>
      </w:r>
    </w:p>
    <w:p w14:paraId="0F8BA47F">
      <w:pPr>
        <w:numPr>
          <w:ilvl w:val="0"/>
          <w:numId w:val="0"/>
        </w:numPr>
        <w:autoSpaceDE w:val="0"/>
        <w:autoSpaceDN w:val="0"/>
        <w:adjustRightInd w:val="0"/>
        <w:spacing w:line="580" w:lineRule="exact"/>
        <w:ind w:firstLine="560" w:firstLineChars="200"/>
        <w:jc w:val="left"/>
        <w:rPr>
          <w:rFonts w:hint="eastAsia" w:ascii="仿宋_GB2312" w:eastAsia="仿宋_GB2312"/>
          <w:sz w:val="28"/>
          <w:szCs w:val="28"/>
          <w:highlight w:val="none"/>
          <w:lang w:eastAsia="zh-CN"/>
        </w:rPr>
      </w:pPr>
      <w:r>
        <w:rPr>
          <w:rFonts w:hint="eastAsia" w:ascii="仿宋_GB2312" w:eastAsia="仿宋_GB2312"/>
          <w:sz w:val="28"/>
          <w:szCs w:val="28"/>
          <w:highlight w:val="none"/>
          <w:lang w:val="en-US" w:eastAsia="zh-CN"/>
        </w:rPr>
        <w:t>“行政事业单位医疗”</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30.61</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36.22</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118.33</w:t>
      </w:r>
      <w:r>
        <w:rPr>
          <w:rFonts w:hint="eastAsia" w:ascii="仿宋_GB2312" w:eastAsia="仿宋_GB2312"/>
          <w:sz w:val="28"/>
          <w:szCs w:val="28"/>
        </w:rPr>
        <w:t>%。主要原因：</w:t>
      </w:r>
      <w:r>
        <w:rPr>
          <w:rFonts w:hint="eastAsia" w:ascii="仿宋_GB2312" w:eastAsia="仿宋_GB2312"/>
          <w:sz w:val="28"/>
          <w:szCs w:val="28"/>
          <w:highlight w:val="none"/>
        </w:rPr>
        <w:t>本年</w:t>
      </w:r>
      <w:r>
        <w:rPr>
          <w:rFonts w:hint="eastAsia" w:ascii="仿宋_GB2312" w:eastAsia="仿宋_GB2312"/>
          <w:sz w:val="28"/>
          <w:szCs w:val="28"/>
          <w:highlight w:val="none"/>
          <w:lang w:val="en-US" w:eastAsia="zh-CN"/>
        </w:rPr>
        <w:t>因薪级滚动等因素导致</w:t>
      </w:r>
      <w:r>
        <w:rPr>
          <w:rFonts w:hint="eastAsia" w:ascii="仿宋_GB2312" w:eastAsia="仿宋_GB2312"/>
          <w:sz w:val="28"/>
          <w:szCs w:val="28"/>
          <w:highlight w:val="none"/>
        </w:rPr>
        <w:t>工资收入</w:t>
      </w:r>
      <w:r>
        <w:rPr>
          <w:rFonts w:hint="eastAsia" w:ascii="仿宋_GB2312" w:eastAsia="仿宋_GB2312"/>
          <w:sz w:val="28"/>
          <w:szCs w:val="28"/>
          <w:highlight w:val="none"/>
          <w:lang w:val="en-US" w:eastAsia="zh-CN"/>
        </w:rPr>
        <w:t>以及</w:t>
      </w:r>
      <w:r>
        <w:rPr>
          <w:rFonts w:hint="eastAsia" w:ascii="仿宋_GB2312" w:eastAsia="仿宋_GB2312"/>
          <w:sz w:val="28"/>
          <w:szCs w:val="28"/>
          <w:highlight w:val="none"/>
        </w:rPr>
        <w:t>社保、医保</w:t>
      </w:r>
      <w:r>
        <w:rPr>
          <w:rFonts w:hint="eastAsia" w:ascii="仿宋_GB2312" w:eastAsia="仿宋_GB2312"/>
          <w:sz w:val="28"/>
          <w:szCs w:val="28"/>
          <w:lang w:val="en-US" w:eastAsia="zh-CN"/>
        </w:rPr>
        <w:t>等缴费基数调整</w:t>
      </w:r>
      <w:r>
        <w:rPr>
          <w:rFonts w:hint="eastAsia" w:ascii="仿宋_GB2312" w:eastAsia="仿宋_GB2312"/>
          <w:sz w:val="28"/>
          <w:szCs w:val="28"/>
        </w:rPr>
        <w:t>。</w:t>
      </w:r>
    </w:p>
    <w:p w14:paraId="57224955">
      <w:pPr>
        <w:numPr>
          <w:ilvl w:val="0"/>
          <w:numId w:val="1"/>
        </w:numPr>
        <w:autoSpaceDE w:val="0"/>
        <w:autoSpaceDN w:val="0"/>
        <w:adjustRightInd w:val="0"/>
        <w:spacing w:line="580" w:lineRule="exact"/>
        <w:ind w:firstLine="560" w:firstLineChars="200"/>
        <w:jc w:val="left"/>
        <w:rPr>
          <w:rFonts w:hint="eastAsia" w:ascii="仿宋_GB2312" w:eastAsia="仿宋_GB2312"/>
          <w:sz w:val="28"/>
          <w:szCs w:val="28"/>
          <w:highlight w:val="none"/>
          <w:lang w:eastAsia="zh-CN"/>
        </w:rPr>
      </w:pPr>
      <w:r>
        <w:rPr>
          <w:rFonts w:hint="eastAsia" w:ascii="仿宋_GB2312" w:eastAsia="仿宋_GB2312"/>
          <w:sz w:val="28"/>
          <w:szCs w:val="28"/>
          <w:highlight w:val="none"/>
        </w:rPr>
        <w:t>“住房保障支出”（类）2024年度</w:t>
      </w:r>
      <w:r>
        <w:rPr>
          <w:rFonts w:hint="eastAsia" w:ascii="仿宋_GB2312" w:eastAsia="仿宋_GB2312"/>
          <w:sz w:val="28"/>
          <w:szCs w:val="28"/>
        </w:rPr>
        <w:t>初预算</w:t>
      </w:r>
      <w:r>
        <w:rPr>
          <w:rFonts w:hint="eastAsia" w:ascii="仿宋_GB2312" w:eastAsia="仿宋_GB2312"/>
          <w:sz w:val="28"/>
          <w:szCs w:val="28"/>
          <w:lang w:val="en-US" w:eastAsia="zh-CN"/>
        </w:rPr>
        <w:t>60.11</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67.20</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118.80</w:t>
      </w:r>
      <w:r>
        <w:rPr>
          <w:rFonts w:hint="eastAsia" w:ascii="仿宋_GB2312" w:eastAsia="仿宋_GB2312"/>
          <w:sz w:val="28"/>
          <w:szCs w:val="28"/>
        </w:rPr>
        <w:t>%。其中</w:t>
      </w:r>
      <w:r>
        <w:rPr>
          <w:rFonts w:hint="eastAsia" w:ascii="仿宋_GB2312" w:eastAsia="仿宋_GB2312"/>
          <w:sz w:val="28"/>
          <w:szCs w:val="28"/>
          <w:lang w:eastAsia="zh-CN"/>
        </w:rPr>
        <w:t>：</w:t>
      </w:r>
    </w:p>
    <w:p w14:paraId="22CFD356">
      <w:pPr>
        <w:numPr>
          <w:ilvl w:val="0"/>
          <w:numId w:val="0"/>
        </w:numPr>
        <w:autoSpaceDE w:val="0"/>
        <w:autoSpaceDN w:val="0"/>
        <w:adjustRightInd w:val="0"/>
        <w:spacing w:line="580" w:lineRule="exact"/>
        <w:ind w:firstLine="560" w:firstLineChars="200"/>
        <w:jc w:val="left"/>
        <w:rPr>
          <w:rFonts w:hint="eastAsia" w:ascii="仿宋_GB2312" w:eastAsia="仿宋_GB2312"/>
          <w:sz w:val="28"/>
          <w:szCs w:val="28"/>
          <w:highlight w:val="none"/>
          <w:lang w:eastAsia="zh-CN"/>
        </w:rPr>
      </w:pPr>
      <w:r>
        <w:rPr>
          <w:rFonts w:hint="eastAsia" w:ascii="仿宋_GB2312" w:eastAsia="仿宋_GB2312"/>
          <w:sz w:val="28"/>
          <w:szCs w:val="28"/>
          <w:highlight w:val="none"/>
          <w:lang w:val="en-US" w:eastAsia="zh-CN"/>
        </w:rPr>
        <w:t>“住房改革支出”</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60.11</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67.20</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118.80</w:t>
      </w:r>
      <w:r>
        <w:rPr>
          <w:rFonts w:hint="eastAsia" w:ascii="仿宋_GB2312" w:eastAsia="仿宋_GB2312"/>
          <w:sz w:val="28"/>
          <w:szCs w:val="28"/>
        </w:rPr>
        <w:t>%。主要原因：</w:t>
      </w:r>
      <w:r>
        <w:rPr>
          <w:rFonts w:hint="eastAsia" w:ascii="仿宋_GB2312" w:eastAsia="仿宋_GB2312"/>
          <w:sz w:val="28"/>
          <w:szCs w:val="28"/>
          <w:highlight w:val="none"/>
        </w:rPr>
        <w:t>本年</w:t>
      </w:r>
      <w:r>
        <w:rPr>
          <w:rFonts w:hint="eastAsia" w:ascii="仿宋_GB2312" w:eastAsia="仿宋_GB2312"/>
          <w:sz w:val="28"/>
          <w:szCs w:val="28"/>
          <w:highlight w:val="none"/>
          <w:lang w:val="en-US" w:eastAsia="zh-CN"/>
        </w:rPr>
        <w:t>因薪级滚动等因素导致</w:t>
      </w:r>
      <w:r>
        <w:rPr>
          <w:rFonts w:hint="eastAsia" w:ascii="仿宋_GB2312" w:eastAsia="仿宋_GB2312"/>
          <w:sz w:val="28"/>
          <w:szCs w:val="28"/>
          <w:highlight w:val="none"/>
        </w:rPr>
        <w:t>工资收入</w:t>
      </w:r>
      <w:r>
        <w:rPr>
          <w:rFonts w:hint="eastAsia" w:ascii="仿宋_GB2312" w:eastAsia="仿宋_GB2312"/>
          <w:sz w:val="28"/>
          <w:szCs w:val="28"/>
          <w:highlight w:val="none"/>
          <w:lang w:val="en-US" w:eastAsia="zh-CN"/>
        </w:rPr>
        <w:t>以及公积金缴费基数调整</w:t>
      </w:r>
      <w:r>
        <w:rPr>
          <w:rFonts w:hint="eastAsia" w:ascii="仿宋_GB2312" w:eastAsia="仿宋_GB2312"/>
          <w:sz w:val="28"/>
          <w:szCs w:val="28"/>
        </w:rPr>
        <w:t>。</w:t>
      </w:r>
    </w:p>
    <w:p w14:paraId="1FA01010">
      <w:pPr>
        <w:spacing w:line="580" w:lineRule="exact"/>
        <w:ind w:firstLine="560" w:firstLineChars="200"/>
        <w:rPr>
          <w:rFonts w:hint="eastAsia" w:ascii="仿宋_GB2312" w:eastAsia="仿宋_GB2312"/>
          <w:sz w:val="28"/>
          <w:szCs w:val="28"/>
        </w:rPr>
      </w:pPr>
      <w:r>
        <w:rPr>
          <w:rFonts w:hint="eastAsia" w:ascii="黑体" w:eastAsia="黑体"/>
          <w:b/>
          <w:sz w:val="28"/>
          <w:szCs w:val="28"/>
        </w:rPr>
        <w:t>五、政府性基金预算财政拨款支出决算情况说明</w:t>
      </w:r>
    </w:p>
    <w:p w14:paraId="4645476D">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（一）政府性基金预算财政拨款支出决算总体情况</w:t>
      </w:r>
    </w:p>
    <w:p w14:paraId="49C2BF39">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本单位无此项经费。</w:t>
      </w:r>
    </w:p>
    <w:p w14:paraId="6A6B4C76">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（二）政府性基金预算财政拨款支出决算具体情况</w:t>
      </w:r>
    </w:p>
    <w:p w14:paraId="24323631">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本单位无此项经费。</w:t>
      </w:r>
    </w:p>
    <w:p w14:paraId="08FE988B">
      <w:pPr>
        <w:spacing w:line="580" w:lineRule="exact"/>
        <w:ind w:firstLine="560" w:firstLineChars="200"/>
        <w:rPr>
          <w:rFonts w:hint="eastAsia" w:ascii="黑体" w:eastAsia="黑体"/>
          <w:b/>
          <w:sz w:val="28"/>
          <w:szCs w:val="28"/>
        </w:rPr>
      </w:pPr>
      <w:r>
        <w:rPr>
          <w:rFonts w:hint="eastAsia" w:ascii="黑体" w:eastAsia="黑体"/>
          <w:b/>
          <w:sz w:val="28"/>
          <w:szCs w:val="28"/>
        </w:rPr>
        <w:t>六、国有资本经营预算财</w:t>
      </w:r>
      <w:r>
        <w:rPr>
          <w:rFonts w:ascii="黑体" w:eastAsia="黑体"/>
          <w:b/>
          <w:sz w:val="28"/>
          <w:szCs w:val="28"/>
        </w:rPr>
        <w:t>政拨款</w:t>
      </w:r>
      <w:r>
        <w:rPr>
          <w:rFonts w:hint="eastAsia" w:ascii="黑体" w:eastAsia="黑体"/>
          <w:b/>
          <w:sz w:val="28"/>
          <w:szCs w:val="28"/>
        </w:rPr>
        <w:t>收支情况</w:t>
      </w:r>
    </w:p>
    <w:p w14:paraId="7E32141D">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本单位无此项经费。</w:t>
      </w:r>
    </w:p>
    <w:p w14:paraId="2B4327A6">
      <w:pPr>
        <w:spacing w:line="580" w:lineRule="exact"/>
        <w:ind w:firstLine="548" w:firstLineChars="196"/>
        <w:rPr>
          <w:rFonts w:hint="eastAsia" w:ascii="黑体" w:eastAsia="黑体"/>
          <w:sz w:val="28"/>
          <w:szCs w:val="28"/>
        </w:rPr>
      </w:pPr>
      <w:r>
        <w:rPr>
          <w:rFonts w:hint="eastAsia" w:ascii="黑体" w:eastAsia="黑体"/>
          <w:b/>
          <w:sz w:val="28"/>
          <w:szCs w:val="28"/>
        </w:rPr>
        <w:t>七、财政拨款基本支出决算情况说明</w:t>
      </w:r>
    </w:p>
    <w:p w14:paraId="3326DD14">
      <w:pPr>
        <w:tabs>
          <w:tab w:val="center" w:pos="6979"/>
        </w:tabs>
        <w:spacing w:line="580" w:lineRule="exact"/>
        <w:ind w:firstLine="548" w:firstLineChars="196"/>
        <w:rPr>
          <w:rFonts w:hint="eastAsia" w:ascii="黑体" w:eastAsia="黑体"/>
          <w:b/>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年度使用一般公共预算财政拨款安排基本支出</w:t>
      </w:r>
      <w:r>
        <w:rPr>
          <w:rFonts w:ascii="仿宋_GB2312" w:eastAsia="仿宋_GB2312"/>
          <w:sz w:val="28"/>
          <w:szCs w:val="28"/>
        </w:rPr>
        <w:t>463.23</w:t>
      </w:r>
      <w:r>
        <w:rPr>
          <w:rFonts w:hint="eastAsia" w:ascii="仿宋_GB2312" w:eastAsia="仿宋_GB2312"/>
          <w:sz w:val="28"/>
          <w:szCs w:val="28"/>
        </w:rPr>
        <w:t>万元，使用政府性基金财政拨款安排基本支出</w:t>
      </w:r>
      <w:r>
        <w:rPr>
          <w:rFonts w:ascii="仿宋_GB2312" w:eastAsia="仿宋_GB2312"/>
          <w:sz w:val="28"/>
          <w:szCs w:val="28"/>
        </w:rPr>
        <w:t>0</w:t>
      </w:r>
      <w:r>
        <w:rPr>
          <w:rFonts w:hint="eastAsia" w:ascii="仿宋_GB2312" w:eastAsia="仿宋_GB2312"/>
          <w:sz w:val="28"/>
          <w:szCs w:val="28"/>
        </w:rPr>
        <w:t>万元，（1）工资福利支出包括基本工资</w:t>
      </w:r>
      <w:r>
        <w:rPr>
          <w:rFonts w:ascii="仿宋_GB2312" w:eastAsia="仿宋_GB2312"/>
          <w:sz w:val="28"/>
          <w:szCs w:val="28"/>
        </w:rPr>
        <w:t>、津贴补贴、奖金、伙食补助费、绩效工资、</w:t>
      </w:r>
      <w:r>
        <w:rPr>
          <w:rFonts w:hint="eastAsia" w:ascii="仿宋_GB2312" w:eastAsia="仿宋_GB2312"/>
          <w:sz w:val="28"/>
          <w:szCs w:val="28"/>
        </w:rPr>
        <w:t>其他</w:t>
      </w:r>
      <w:r>
        <w:rPr>
          <w:rFonts w:ascii="仿宋_GB2312" w:eastAsia="仿宋_GB2312"/>
          <w:sz w:val="28"/>
          <w:szCs w:val="28"/>
        </w:rPr>
        <w:t>社会保障缴费、其他工资福利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；（2）商品和服务支出包括</w:t>
      </w:r>
      <w:r>
        <w:rPr>
          <w:rFonts w:ascii="仿宋_GB2312" w:eastAsia="仿宋_GB2312"/>
          <w:sz w:val="28"/>
          <w:szCs w:val="28"/>
        </w:rPr>
        <w:t>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；（3）对个人和家庭补助支出包括</w:t>
      </w:r>
      <w:r>
        <w:rPr>
          <w:rFonts w:ascii="仿宋_GB2312" w:eastAsia="仿宋_GB2312"/>
          <w:sz w:val="28"/>
          <w:szCs w:val="28"/>
        </w:rPr>
        <w:t>离休费、退休费、抚恤金、生活补助、</w:t>
      </w:r>
      <w:r>
        <w:rPr>
          <w:rFonts w:hint="eastAsia" w:ascii="仿宋_GB2312" w:eastAsia="仿宋_GB2312"/>
          <w:sz w:val="28"/>
          <w:szCs w:val="28"/>
        </w:rPr>
        <w:t>救济费</w:t>
      </w:r>
      <w:r>
        <w:rPr>
          <w:rFonts w:ascii="仿宋_GB2312" w:eastAsia="仿宋_GB2312"/>
          <w:sz w:val="28"/>
          <w:szCs w:val="28"/>
        </w:rPr>
        <w:t>、医疗费</w:t>
      </w:r>
      <w:r>
        <w:rPr>
          <w:rFonts w:hint="eastAsia" w:ascii="仿宋_GB2312" w:eastAsia="仿宋_GB2312"/>
          <w:sz w:val="28"/>
          <w:szCs w:val="28"/>
        </w:rPr>
        <w:t>补助</w:t>
      </w:r>
      <w:r>
        <w:rPr>
          <w:rFonts w:ascii="仿宋_GB2312" w:eastAsia="仿宋_GB2312"/>
          <w:sz w:val="28"/>
          <w:szCs w:val="28"/>
        </w:rPr>
        <w:t>、助学金、奖励金</w:t>
      </w:r>
      <w:r>
        <w:rPr>
          <w:rFonts w:hint="eastAsia" w:ascii="仿宋_GB2312" w:eastAsia="仿宋_GB2312"/>
          <w:sz w:val="28"/>
          <w:szCs w:val="28"/>
        </w:rPr>
        <w:t>、</w:t>
      </w:r>
      <w:r>
        <w:rPr>
          <w:rFonts w:ascii="仿宋_GB2312" w:eastAsia="仿宋_GB2312"/>
          <w:sz w:val="28"/>
          <w:szCs w:val="28"/>
        </w:rPr>
        <w:t>其他对个人和家庭的补助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。（4）其他资本性支出包括</w:t>
      </w:r>
      <w:r>
        <w:rPr>
          <w:rFonts w:ascii="仿宋_GB2312" w:eastAsia="仿宋_GB2312"/>
          <w:sz w:val="28"/>
          <w:szCs w:val="28"/>
        </w:rPr>
        <w:t>办公设备购置、专用设备购置</w:t>
      </w:r>
      <w:r>
        <w:rPr>
          <w:rFonts w:hint="eastAsia" w:ascii="仿宋_GB2312" w:eastAsia="仿宋_GB2312"/>
          <w:sz w:val="28"/>
          <w:szCs w:val="28"/>
        </w:rPr>
        <w:t>等</w:t>
      </w:r>
      <w:r>
        <w:rPr>
          <w:rFonts w:ascii="仿宋_GB2312" w:eastAsia="仿宋_GB2312"/>
          <w:sz w:val="28"/>
          <w:szCs w:val="28"/>
        </w:rPr>
        <w:t>。</w:t>
      </w:r>
    </w:p>
    <w:p w14:paraId="2B5F3EA6">
      <w:pPr>
        <w:autoSpaceDE w:val="0"/>
        <w:autoSpaceDN w:val="0"/>
        <w:adjustRightInd w:val="0"/>
        <w:spacing w:line="580" w:lineRule="exact"/>
        <w:jc w:val="both"/>
        <w:rPr>
          <w:rFonts w:hint="eastAsia" w:ascii="宋体" w:hAnsi="宋体"/>
          <w:b/>
          <w:spacing w:val="40"/>
          <w:sz w:val="32"/>
          <w:szCs w:val="32"/>
        </w:rPr>
      </w:pPr>
      <w:r>
        <w:rPr>
          <w:rFonts w:ascii="仿宋_GB2312" w:eastAsia="仿宋_GB2312"/>
          <w:b/>
          <w:sz w:val="32"/>
          <w:szCs w:val="32"/>
        </w:rPr>
        <w:tab/>
      </w:r>
    </w:p>
    <w:p w14:paraId="1104C109">
      <w:pPr>
        <w:tabs>
          <w:tab w:val="center" w:pos="6979"/>
        </w:tabs>
        <w:jc w:val="center"/>
        <w:rPr>
          <w:rFonts w:hint="eastAsia" w:ascii="宋体" w:hAnsi="宋体" w:cs="宋体"/>
          <w:b/>
          <w:bCs/>
          <w:spacing w:val="40"/>
          <w:kern w:val="0"/>
          <w:sz w:val="32"/>
          <w:szCs w:val="32"/>
        </w:rPr>
      </w:pPr>
    </w:p>
    <w:p w14:paraId="02B2A258">
      <w:pPr>
        <w:tabs>
          <w:tab w:val="center" w:pos="6979"/>
        </w:tabs>
        <w:jc w:val="center"/>
        <w:rPr>
          <w:rFonts w:hint="eastAsia" w:ascii="宋体" w:hAnsi="宋体" w:cs="宋体"/>
          <w:b/>
          <w:bCs/>
          <w:spacing w:val="40"/>
          <w:kern w:val="0"/>
          <w:sz w:val="32"/>
          <w:szCs w:val="32"/>
        </w:rPr>
      </w:pPr>
    </w:p>
    <w:p w14:paraId="6B623C64">
      <w:pPr>
        <w:tabs>
          <w:tab w:val="center" w:pos="6979"/>
        </w:tabs>
        <w:jc w:val="center"/>
        <w:rPr>
          <w:rFonts w:hint="eastAsia" w:ascii="宋体" w:hAnsi="宋体" w:cs="宋体"/>
          <w:b/>
          <w:bCs/>
          <w:spacing w:val="40"/>
          <w:kern w:val="0"/>
          <w:sz w:val="32"/>
          <w:szCs w:val="32"/>
        </w:rPr>
      </w:pPr>
    </w:p>
    <w:p w14:paraId="5ABF3D56">
      <w:pPr>
        <w:tabs>
          <w:tab w:val="center" w:pos="6979"/>
        </w:tabs>
        <w:jc w:val="center"/>
        <w:rPr>
          <w:rFonts w:hint="eastAsia" w:ascii="宋体" w:hAnsi="宋体" w:cs="宋体"/>
          <w:b/>
          <w:bCs/>
          <w:spacing w:val="40"/>
          <w:kern w:val="0"/>
          <w:sz w:val="32"/>
          <w:szCs w:val="32"/>
        </w:rPr>
      </w:pPr>
    </w:p>
    <w:p w14:paraId="7973CA7E">
      <w:pPr>
        <w:tabs>
          <w:tab w:val="center" w:pos="6979"/>
        </w:tabs>
        <w:jc w:val="center"/>
        <w:rPr>
          <w:rFonts w:hint="eastAsia" w:ascii="宋体" w:hAnsi="宋体" w:cs="宋体"/>
          <w:b/>
          <w:bCs/>
          <w:spacing w:val="40"/>
          <w:kern w:val="0"/>
          <w:sz w:val="32"/>
          <w:szCs w:val="32"/>
        </w:rPr>
      </w:pPr>
    </w:p>
    <w:p w14:paraId="3B45E10F">
      <w:pPr>
        <w:tabs>
          <w:tab w:val="center" w:pos="6979"/>
        </w:tabs>
        <w:jc w:val="center"/>
        <w:rPr>
          <w:rFonts w:hint="eastAsia" w:ascii="宋体" w:hAnsi="宋体" w:cs="宋体"/>
          <w:b/>
          <w:bCs/>
          <w:spacing w:val="40"/>
          <w:kern w:val="0"/>
          <w:sz w:val="32"/>
          <w:szCs w:val="32"/>
        </w:rPr>
      </w:pPr>
    </w:p>
    <w:p w14:paraId="520DD6F9">
      <w:pPr>
        <w:tabs>
          <w:tab w:val="center" w:pos="6979"/>
        </w:tabs>
        <w:jc w:val="center"/>
        <w:rPr>
          <w:rFonts w:hint="eastAsia" w:ascii="宋体" w:hAnsi="宋体" w:cs="宋体"/>
          <w:b/>
          <w:bCs/>
          <w:spacing w:val="40"/>
          <w:kern w:val="0"/>
          <w:sz w:val="32"/>
          <w:szCs w:val="32"/>
        </w:rPr>
      </w:pPr>
    </w:p>
    <w:p w14:paraId="27A16873">
      <w:pPr>
        <w:tabs>
          <w:tab w:val="center" w:pos="6979"/>
        </w:tabs>
        <w:jc w:val="center"/>
        <w:rPr>
          <w:rFonts w:hint="eastAsia" w:ascii="宋体" w:hAnsi="宋体" w:cs="宋体"/>
          <w:b/>
          <w:bCs/>
          <w:spacing w:val="40"/>
          <w:kern w:val="0"/>
          <w:sz w:val="32"/>
          <w:szCs w:val="32"/>
        </w:rPr>
      </w:pPr>
    </w:p>
    <w:p w14:paraId="02FFA300">
      <w:pPr>
        <w:tabs>
          <w:tab w:val="center" w:pos="6979"/>
        </w:tabs>
        <w:jc w:val="center"/>
        <w:rPr>
          <w:rFonts w:hint="eastAsia" w:ascii="宋体" w:hAnsi="宋体" w:cs="宋体"/>
          <w:b/>
          <w:bCs/>
          <w:spacing w:val="40"/>
          <w:kern w:val="0"/>
          <w:sz w:val="32"/>
          <w:szCs w:val="32"/>
        </w:rPr>
      </w:pPr>
    </w:p>
    <w:p w14:paraId="2D2DE626">
      <w:pPr>
        <w:tabs>
          <w:tab w:val="center" w:pos="6979"/>
        </w:tabs>
        <w:jc w:val="center"/>
        <w:rPr>
          <w:rFonts w:hint="eastAsia" w:ascii="宋体" w:hAnsi="宋体" w:cs="宋体"/>
          <w:b/>
          <w:bCs/>
          <w:spacing w:val="40"/>
          <w:kern w:val="0"/>
          <w:sz w:val="32"/>
          <w:szCs w:val="32"/>
        </w:rPr>
      </w:pPr>
    </w:p>
    <w:p w14:paraId="5C9D4AD8">
      <w:pPr>
        <w:tabs>
          <w:tab w:val="center" w:pos="6979"/>
        </w:tabs>
        <w:jc w:val="center"/>
        <w:rPr>
          <w:rFonts w:hint="eastAsia" w:ascii="宋体" w:hAnsi="宋体" w:cs="宋体"/>
          <w:b/>
          <w:bCs/>
          <w:spacing w:val="40"/>
          <w:kern w:val="0"/>
          <w:sz w:val="32"/>
          <w:szCs w:val="32"/>
        </w:rPr>
      </w:pPr>
    </w:p>
    <w:p w14:paraId="4594113F">
      <w:pPr>
        <w:tabs>
          <w:tab w:val="center" w:pos="6979"/>
        </w:tabs>
        <w:jc w:val="center"/>
        <w:rPr>
          <w:rFonts w:hint="eastAsia" w:ascii="宋体" w:hAnsi="宋体" w:cs="宋体"/>
          <w:b/>
          <w:bCs/>
          <w:spacing w:val="40"/>
          <w:kern w:val="0"/>
          <w:sz w:val="32"/>
          <w:szCs w:val="32"/>
        </w:rPr>
      </w:pPr>
    </w:p>
    <w:p w14:paraId="4FD43D3A">
      <w:pPr>
        <w:tabs>
          <w:tab w:val="center" w:pos="6979"/>
        </w:tabs>
        <w:jc w:val="center"/>
        <w:rPr>
          <w:rFonts w:hint="eastAsia" w:ascii="宋体" w:hAnsi="宋体" w:cs="宋体"/>
          <w:b/>
          <w:spacing w:val="40"/>
          <w:kern w:val="0"/>
          <w:sz w:val="32"/>
          <w:szCs w:val="32"/>
        </w:rPr>
      </w:pPr>
      <w:r>
        <w:rPr>
          <w:rFonts w:hint="eastAsia" w:ascii="宋体" w:hAnsi="宋体" w:cs="宋体"/>
          <w:b/>
          <w:bCs/>
          <w:spacing w:val="40"/>
          <w:kern w:val="0"/>
          <w:sz w:val="32"/>
          <w:szCs w:val="32"/>
        </w:rPr>
        <w:t>第三部分</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w:t>
      </w:r>
      <w:r>
        <w:rPr>
          <w:rFonts w:hint="eastAsia" w:ascii="宋体" w:hAnsi="宋体" w:cs="宋体"/>
          <w:b/>
          <w:spacing w:val="40"/>
          <w:kern w:val="0"/>
          <w:sz w:val="32"/>
          <w:szCs w:val="32"/>
        </w:rPr>
        <w:t>其他重要事项的情况说明</w:t>
      </w:r>
    </w:p>
    <w:p w14:paraId="17EC8EFF">
      <w:pPr>
        <w:spacing w:line="560" w:lineRule="exact"/>
        <w:ind w:firstLine="560" w:firstLineChars="200"/>
        <w:rPr>
          <w:rFonts w:hint="eastAsia" w:ascii="黑体" w:eastAsia="黑体"/>
          <w:sz w:val="28"/>
          <w:szCs w:val="28"/>
        </w:rPr>
      </w:pPr>
      <w:r>
        <w:rPr>
          <w:rFonts w:hint="eastAsia" w:ascii="黑体" w:eastAsia="黑体"/>
          <w:sz w:val="28"/>
          <w:szCs w:val="28"/>
        </w:rPr>
        <w:t>一、“三公”经费财政拨款决算情况</w:t>
      </w:r>
    </w:p>
    <w:p w14:paraId="79C5E52F">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本单位无此项经费。</w:t>
      </w:r>
    </w:p>
    <w:p w14:paraId="0C485EEE">
      <w:pPr>
        <w:tabs>
          <w:tab w:val="center" w:pos="6979"/>
        </w:tabs>
        <w:ind w:firstLine="554" w:firstLineChars="198"/>
        <w:rPr>
          <w:rFonts w:hint="eastAsia" w:ascii="黑体" w:eastAsia="黑体"/>
          <w:sz w:val="28"/>
          <w:szCs w:val="28"/>
        </w:rPr>
      </w:pPr>
      <w:r>
        <w:rPr>
          <w:rFonts w:hint="eastAsia" w:ascii="黑体" w:eastAsia="黑体"/>
          <w:sz w:val="28"/>
          <w:szCs w:val="28"/>
        </w:rPr>
        <w:t>二、机关运行经费支出情况</w:t>
      </w:r>
    </w:p>
    <w:p w14:paraId="5A879D53">
      <w:pPr>
        <w:ind w:left="540"/>
        <w:rPr>
          <w:rFonts w:hint="eastAsia" w:ascii="仿宋_GB2312" w:eastAsia="仿宋_GB2312"/>
          <w:sz w:val="28"/>
          <w:szCs w:val="28"/>
          <w:lang w:val="en-US" w:eastAsia="zh-CN"/>
        </w:rPr>
      </w:pPr>
      <w:r>
        <w:rPr>
          <w:rFonts w:hint="eastAsia" w:ascii="仿宋_GB2312" w:eastAsia="仿宋_GB2312"/>
          <w:sz w:val="28"/>
          <w:szCs w:val="28"/>
          <w:lang w:val="en-US" w:eastAsia="zh-CN"/>
        </w:rPr>
        <w:t>本单位不在机关运行经费统计范围内。</w:t>
      </w:r>
    </w:p>
    <w:p w14:paraId="6800B8AD">
      <w:pPr>
        <w:ind w:left="540"/>
        <w:rPr>
          <w:rFonts w:hint="eastAsia" w:ascii="黑体" w:eastAsia="黑体"/>
          <w:sz w:val="28"/>
          <w:szCs w:val="28"/>
        </w:rPr>
      </w:pPr>
      <w:r>
        <w:rPr>
          <w:rFonts w:hint="eastAsia" w:ascii="黑体" w:eastAsia="黑体"/>
          <w:sz w:val="28"/>
          <w:szCs w:val="28"/>
        </w:rPr>
        <w:t>三、政府采购支出情况</w:t>
      </w:r>
    </w:p>
    <w:p w14:paraId="3568DE13">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年度政府采购支出总额</w:t>
      </w:r>
      <w:r>
        <w:rPr>
          <w:rFonts w:ascii="仿宋_GB2312" w:eastAsia="仿宋_GB2312"/>
          <w:sz w:val="28"/>
          <w:szCs w:val="28"/>
        </w:rPr>
        <w:t>5.61</w:t>
      </w:r>
      <w:r>
        <w:rPr>
          <w:rFonts w:hint="eastAsia" w:ascii="仿宋_GB2312" w:eastAsia="仿宋_GB2312"/>
          <w:sz w:val="28"/>
          <w:szCs w:val="28"/>
        </w:rPr>
        <w:t>万元，其中：政府采购货物支出</w:t>
      </w:r>
      <w:r>
        <w:rPr>
          <w:rFonts w:ascii="仿宋_GB2312" w:eastAsia="仿宋_GB2312"/>
          <w:sz w:val="28"/>
          <w:szCs w:val="28"/>
        </w:rPr>
        <w:t>2.21</w:t>
      </w:r>
      <w:r>
        <w:rPr>
          <w:rFonts w:hint="eastAsia" w:ascii="仿宋_GB2312" w:eastAsia="仿宋_GB2312"/>
          <w:sz w:val="28"/>
          <w:szCs w:val="28"/>
        </w:rPr>
        <w:t>万元，政府采购工程支出</w:t>
      </w:r>
      <w:r>
        <w:rPr>
          <w:rFonts w:ascii="仿宋_GB2312" w:eastAsia="仿宋_GB2312"/>
          <w:sz w:val="28"/>
          <w:szCs w:val="28"/>
        </w:rPr>
        <w:t>0</w:t>
      </w:r>
      <w:r>
        <w:rPr>
          <w:rFonts w:hint="eastAsia" w:ascii="仿宋_GB2312" w:eastAsia="仿宋_GB2312"/>
          <w:sz w:val="28"/>
          <w:szCs w:val="28"/>
        </w:rPr>
        <w:t>万元，政府采购服务支出</w:t>
      </w:r>
      <w:r>
        <w:rPr>
          <w:rFonts w:ascii="仿宋_GB2312" w:eastAsia="仿宋_GB2312"/>
          <w:sz w:val="28"/>
          <w:szCs w:val="28"/>
        </w:rPr>
        <w:t>3.4</w:t>
      </w:r>
      <w:r>
        <w:rPr>
          <w:rFonts w:hint="eastAsia" w:ascii="仿宋_GB2312" w:eastAsia="仿宋_GB2312"/>
          <w:sz w:val="28"/>
          <w:szCs w:val="28"/>
        </w:rPr>
        <w:t>万元。授予中小企业合同金额</w:t>
      </w:r>
      <w:r>
        <w:rPr>
          <w:rFonts w:ascii="仿宋_GB2312" w:eastAsia="仿宋_GB2312"/>
          <w:sz w:val="28"/>
          <w:szCs w:val="28"/>
        </w:rPr>
        <w:t>5.61</w:t>
      </w:r>
      <w:r>
        <w:rPr>
          <w:rFonts w:hint="eastAsia" w:ascii="仿宋_GB2312" w:eastAsia="仿宋_GB2312"/>
          <w:sz w:val="28"/>
          <w:szCs w:val="28"/>
        </w:rPr>
        <w:t>万元，占政府采购支出总额的</w:t>
      </w:r>
      <w:r>
        <w:rPr>
          <w:rFonts w:hint="eastAsia" w:ascii="仿宋_GB2312" w:eastAsia="仿宋_GB2312"/>
          <w:sz w:val="28"/>
          <w:szCs w:val="28"/>
          <w:lang w:eastAsia="zh-CN"/>
        </w:rPr>
        <w:t>100</w:t>
      </w:r>
      <w:r>
        <w:rPr>
          <w:rFonts w:hint="eastAsia" w:ascii="仿宋_GB2312" w:eastAsia="仿宋_GB2312"/>
          <w:sz w:val="28"/>
          <w:szCs w:val="28"/>
        </w:rPr>
        <w:t>%，其中：授予小微企业合同金额</w:t>
      </w:r>
      <w:r>
        <w:rPr>
          <w:rFonts w:ascii="仿宋_GB2312" w:eastAsia="仿宋_GB2312"/>
          <w:sz w:val="28"/>
          <w:szCs w:val="28"/>
        </w:rPr>
        <w:t>5.61</w:t>
      </w:r>
      <w:r>
        <w:rPr>
          <w:rFonts w:hint="eastAsia" w:ascii="仿宋_GB2312" w:eastAsia="仿宋_GB2312"/>
          <w:sz w:val="28"/>
          <w:szCs w:val="28"/>
        </w:rPr>
        <w:t>万元，占政府采购支出总额的</w:t>
      </w:r>
      <w:r>
        <w:rPr>
          <w:rFonts w:ascii="仿宋_GB2312" w:eastAsia="仿宋_GB2312"/>
          <w:sz w:val="28"/>
          <w:szCs w:val="28"/>
        </w:rPr>
        <w:t>100</w:t>
      </w:r>
      <w:r>
        <w:rPr>
          <w:rFonts w:hint="eastAsia" w:ascii="仿宋_GB2312" w:eastAsia="仿宋_GB2312"/>
          <w:sz w:val="28"/>
          <w:szCs w:val="28"/>
        </w:rPr>
        <w:t>%。</w:t>
      </w:r>
    </w:p>
    <w:p w14:paraId="4367443E">
      <w:pPr>
        <w:ind w:firstLine="560" w:firstLineChars="200"/>
        <w:rPr>
          <w:rFonts w:hint="eastAsia" w:ascii="黑体" w:eastAsia="黑体"/>
          <w:sz w:val="28"/>
          <w:szCs w:val="28"/>
          <w:highlight w:val="yellow"/>
        </w:rPr>
      </w:pPr>
      <w:r>
        <w:rPr>
          <w:rFonts w:hint="eastAsia" w:ascii="黑体" w:eastAsia="黑体"/>
          <w:sz w:val="28"/>
          <w:szCs w:val="28"/>
          <w:highlight w:val="none"/>
        </w:rPr>
        <w:t>四、国有资产占用情况</w:t>
      </w:r>
    </w:p>
    <w:p w14:paraId="1B2EAE5F">
      <w:pPr>
        <w:ind w:firstLine="560" w:firstLineChars="200"/>
        <w:rPr>
          <w:rFonts w:ascii="仿宋_GB2312" w:eastAsia="仿宋_GB2312"/>
          <w:sz w:val="32"/>
          <w:szCs w:val="32"/>
        </w:rPr>
      </w:pPr>
      <w:r>
        <w:rPr>
          <w:rFonts w:hint="eastAsia" w:ascii="仿宋_GB2312" w:eastAsia="仿宋_GB2312"/>
          <w:sz w:val="28"/>
          <w:szCs w:val="28"/>
          <w:lang w:eastAsia="zh-CN"/>
        </w:rPr>
        <w:t>截至</w:t>
      </w:r>
      <w:r>
        <w:rPr>
          <w:rFonts w:hint="eastAsia" w:ascii="仿宋_GB2312" w:eastAsia="仿宋_GB2312"/>
          <w:sz w:val="28"/>
          <w:szCs w:val="28"/>
          <w:lang w:val="en-US" w:eastAsia="zh-CN"/>
        </w:rPr>
        <w:t>12月31日，北京市西城区教育委员会人力资源服务中心</w:t>
      </w:r>
      <w:r>
        <w:rPr>
          <w:rFonts w:hint="eastAsia" w:ascii="仿宋_GB2312" w:eastAsia="仿宋_GB2312"/>
          <w:sz w:val="28"/>
          <w:szCs w:val="28"/>
          <w:lang w:eastAsia="zh-CN"/>
        </w:rPr>
        <w:t>共有</w:t>
      </w:r>
      <w:r>
        <w:rPr>
          <w:rFonts w:hint="eastAsia" w:ascii="仿宋_GB2312" w:eastAsia="仿宋_GB2312"/>
          <w:sz w:val="28"/>
          <w:szCs w:val="28"/>
        </w:rPr>
        <w:t>车辆</w:t>
      </w:r>
      <w:r>
        <w:rPr>
          <w:rFonts w:hint="eastAsia" w:ascii="仿宋_GB2312" w:eastAsia="仿宋_GB2312"/>
          <w:sz w:val="28"/>
          <w:szCs w:val="28"/>
          <w:lang w:val="en-US" w:eastAsia="zh-CN"/>
        </w:rPr>
        <w:t>0</w:t>
      </w:r>
      <w:r>
        <w:rPr>
          <w:rFonts w:hint="eastAsia" w:ascii="仿宋_GB2312" w:eastAsia="仿宋_GB2312"/>
          <w:sz w:val="28"/>
          <w:szCs w:val="28"/>
        </w:rPr>
        <w:t>台；单位价值100万元</w:t>
      </w:r>
      <w:r>
        <w:rPr>
          <w:rFonts w:hint="eastAsia" w:ascii="仿宋_GB2312" w:eastAsia="仿宋_GB2312"/>
          <w:sz w:val="28"/>
          <w:szCs w:val="28"/>
          <w:lang w:eastAsia="zh-CN"/>
        </w:rPr>
        <w:t>（含）</w:t>
      </w:r>
      <w:r>
        <w:rPr>
          <w:rFonts w:hint="eastAsia" w:ascii="仿宋_GB2312" w:eastAsia="仿宋_GB2312"/>
          <w:sz w:val="28"/>
          <w:szCs w:val="28"/>
        </w:rPr>
        <w:t>以上的设备</w:t>
      </w:r>
      <w:r>
        <w:rPr>
          <w:rFonts w:hint="eastAsia" w:ascii="仿宋_GB2312" w:eastAsia="仿宋_GB2312"/>
          <w:sz w:val="28"/>
          <w:szCs w:val="28"/>
          <w:lang w:val="en-US" w:eastAsia="zh-CN"/>
        </w:rPr>
        <w:t>0</w:t>
      </w:r>
      <w:r>
        <w:rPr>
          <w:rFonts w:hint="eastAsia" w:ascii="仿宋_GB2312" w:eastAsia="仿宋_GB2312"/>
          <w:sz w:val="28"/>
          <w:szCs w:val="28"/>
        </w:rPr>
        <w:t>台（套）。</w:t>
      </w:r>
    </w:p>
    <w:p w14:paraId="78AD7C87">
      <w:pPr>
        <w:ind w:firstLine="537" w:firstLineChars="192"/>
        <w:rPr>
          <w:rFonts w:ascii="黑体" w:eastAsia="黑体"/>
          <w:sz w:val="28"/>
          <w:szCs w:val="28"/>
        </w:rPr>
      </w:pPr>
      <w:r>
        <w:rPr>
          <w:rFonts w:hint="eastAsia" w:ascii="黑体" w:eastAsia="黑体"/>
          <w:sz w:val="28"/>
          <w:szCs w:val="28"/>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14:paraId="006505CA">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ascii="仿宋_GB2312" w:eastAsia="仿宋_GB2312"/>
          <w:sz w:val="28"/>
          <w:szCs w:val="28"/>
        </w:rPr>
        <w:t>政府购买服务决算0</w:t>
      </w:r>
      <w:r>
        <w:rPr>
          <w:rFonts w:hint="eastAsia" w:ascii="仿宋_GB2312" w:eastAsia="仿宋_GB2312"/>
          <w:sz w:val="28"/>
          <w:szCs w:val="28"/>
        </w:rPr>
        <w:t>万元。</w:t>
      </w:r>
    </w:p>
    <w:p w14:paraId="25490818">
      <w:pPr>
        <w:ind w:firstLine="560" w:firstLineChars="200"/>
        <w:jc w:val="left"/>
        <w:rPr>
          <w:rFonts w:hint="eastAsia" w:ascii="仿宋_GB2312" w:eastAsia="仿宋_GB2312"/>
          <w:color w:val="000000"/>
          <w:sz w:val="32"/>
          <w:szCs w:val="32"/>
        </w:rPr>
      </w:pPr>
      <w:r>
        <w:rPr>
          <w:rFonts w:hint="eastAsia" w:ascii="黑体" w:eastAsia="黑体"/>
          <w:sz w:val="28"/>
          <w:szCs w:val="28"/>
        </w:rPr>
        <w:t>六、</w:t>
      </w:r>
      <w:r>
        <w:rPr>
          <w:rFonts w:ascii="黑体" w:eastAsia="黑体"/>
          <w:sz w:val="28"/>
          <w:szCs w:val="28"/>
        </w:rPr>
        <w:t>专业名词解释</w:t>
      </w:r>
    </w:p>
    <w:p w14:paraId="187760AD">
      <w:pPr>
        <w:ind w:firstLine="560" w:firstLineChars="200"/>
        <w:rPr>
          <w:rFonts w:hint="eastAsia"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14:paraId="74813140">
      <w:pPr>
        <w:ind w:firstLine="560" w:firstLineChars="200"/>
        <w:rPr>
          <w:rFonts w:hint="eastAsia"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14:paraId="1A81DEE1">
      <w:pPr>
        <w:ind w:firstLine="560" w:firstLineChars="200"/>
        <w:rPr>
          <w:rFonts w:hint="eastAsia" w:ascii="仿宋_GB2312" w:hAnsi="宋体" w:eastAsia="仿宋_GB2312"/>
          <w:sz w:val="28"/>
          <w:szCs w:val="28"/>
        </w:rPr>
      </w:pPr>
      <w:r>
        <w:rPr>
          <w:rFonts w:hint="eastAsia" w:ascii="仿宋_GB2312" w:eastAsia="仿宋_GB2312"/>
          <w:sz w:val="28"/>
          <w:szCs w:val="28"/>
        </w:rPr>
        <w:t>3.“三公”经费：</w:t>
      </w:r>
      <w:r>
        <w:rPr>
          <w:rFonts w:hint="eastAsia" w:ascii="仿宋_GB2312" w:hAnsi="宋体" w:eastAsia="仿宋_GB2312"/>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14:paraId="59D3DF5F">
      <w:pPr>
        <w:ind w:firstLine="560" w:firstLineChars="200"/>
        <w:rPr>
          <w:rFonts w:hint="eastAsia" w:ascii="仿宋_GB2312" w:hAnsi="宋体" w:eastAsia="仿宋_GB2312"/>
          <w:sz w:val="28"/>
          <w:szCs w:val="28"/>
        </w:rPr>
      </w:pPr>
      <w:r>
        <w:rPr>
          <w:rFonts w:hint="eastAsia" w:ascii="仿宋_GB2312" w:eastAsia="仿宋_GB2312"/>
          <w:sz w:val="28"/>
          <w:szCs w:val="28"/>
        </w:rPr>
        <w:t>4</w:t>
      </w:r>
      <w:r>
        <w:rPr>
          <w:rFonts w:ascii="仿宋_GB2312" w:eastAsia="仿宋_GB2312"/>
          <w:sz w:val="28"/>
          <w:szCs w:val="28"/>
        </w:rPr>
        <w:t>.</w:t>
      </w:r>
      <w:r>
        <w:rPr>
          <w:rFonts w:hint="eastAsia" w:ascii="仿宋_GB2312" w:eastAsia="仿宋_GB2312"/>
          <w:sz w:val="28"/>
          <w:szCs w:val="28"/>
        </w:rPr>
        <w:t>机关运行经费：</w:t>
      </w:r>
      <w:r>
        <w:rPr>
          <w:rFonts w:hint="eastAsia" w:ascii="仿宋_GB2312" w:hAnsi="宋体" w:eastAsia="仿宋_GB2312"/>
          <w:sz w:val="28"/>
          <w:szCs w:val="28"/>
        </w:rPr>
        <w:t>指为</w:t>
      </w:r>
      <w:r>
        <w:rPr>
          <w:rFonts w:ascii="仿宋_GB2312" w:hAnsi="宋体" w:eastAsia="仿宋_GB2312"/>
          <w:sz w:val="28"/>
          <w:szCs w:val="28"/>
        </w:rPr>
        <w:t>保障</w:t>
      </w:r>
      <w:r>
        <w:rPr>
          <w:rFonts w:hint="eastAsia" w:ascii="仿宋_GB2312" w:hAnsi="宋体" w:eastAsia="仿宋_GB2312"/>
          <w:sz w:val="28"/>
          <w:szCs w:val="28"/>
        </w:rPr>
        <w:t>行政单位（含参照公务员法管理事业单位）运行用于</w:t>
      </w:r>
      <w:r>
        <w:rPr>
          <w:rFonts w:ascii="仿宋_GB2312" w:hAnsi="宋体" w:eastAsia="仿宋_GB2312"/>
          <w:sz w:val="28"/>
          <w:szCs w:val="28"/>
        </w:rPr>
        <w:t>购买货物和服务的各项资金</w:t>
      </w:r>
      <w:r>
        <w:rPr>
          <w:rFonts w:hint="eastAsia" w:ascii="仿宋_GB2312" w:hAnsi="宋体" w:eastAsia="仿宋_GB2312"/>
          <w:sz w:val="28"/>
          <w:szCs w:val="28"/>
        </w:rPr>
        <w:t>，包括办公及印刷费、邮电费、差旅费、会议费、福利费、日常维修费、专用材料及一般设备购置费、办公用房水电费、办公用房取暖费、办公用房物业管理费、公务用车运行维护费以及其他费用。</w:t>
      </w:r>
    </w:p>
    <w:p w14:paraId="3804B423">
      <w:pPr>
        <w:ind w:firstLine="560" w:firstLineChars="200"/>
        <w:rPr>
          <w:rFonts w:ascii="仿宋_GB2312" w:eastAsia="仿宋_GB2312"/>
          <w:sz w:val="28"/>
          <w:szCs w:val="28"/>
        </w:rPr>
      </w:pPr>
      <w:r>
        <w:rPr>
          <w:rFonts w:hint="eastAsia" w:ascii="仿宋_GB2312" w:eastAsia="仿宋_GB2312"/>
          <w:sz w:val="28"/>
          <w:szCs w:val="28"/>
        </w:rPr>
        <w:t>5</w:t>
      </w:r>
      <w:r>
        <w:rPr>
          <w:rFonts w:ascii="仿宋_GB2312" w:eastAsia="仿宋_GB2312"/>
          <w:sz w:val="28"/>
          <w:szCs w:val="28"/>
        </w:rPr>
        <w:t>.</w:t>
      </w:r>
      <w:r>
        <w:rPr>
          <w:rFonts w:hint="eastAsia" w:ascii="仿宋_GB2312" w:eastAsia="仿宋_GB2312"/>
          <w:sz w:val="28"/>
          <w:szCs w:val="28"/>
        </w:rPr>
        <w:t>政府采购</w:t>
      </w:r>
      <w:r>
        <w:rPr>
          <w:rFonts w:ascii="仿宋_GB2312" w:eastAsia="仿宋_GB2312"/>
          <w:sz w:val="28"/>
          <w:szCs w:val="28"/>
        </w:rPr>
        <w:t>：</w:t>
      </w:r>
      <w:r>
        <w:rPr>
          <w:rFonts w:hint="eastAsia" w:ascii="仿宋_GB2312" w:eastAsia="仿宋_GB2312"/>
          <w:sz w:val="28"/>
          <w:szCs w:val="28"/>
        </w:rPr>
        <w:t>指</w:t>
      </w:r>
      <w:r>
        <w:rPr>
          <w:rFonts w:ascii="仿宋_GB2312" w:eastAsia="仿宋_GB2312"/>
          <w:sz w:val="28"/>
          <w:szCs w:val="28"/>
        </w:rPr>
        <w:t>各级国家机关、事业单位和团体组织，使用</w:t>
      </w:r>
      <w:r>
        <w:rPr>
          <w:rFonts w:hint="eastAsia" w:ascii="仿宋_GB2312" w:eastAsia="仿宋_GB2312"/>
          <w:sz w:val="28"/>
          <w:szCs w:val="28"/>
        </w:rPr>
        <w:t>财政性</w:t>
      </w:r>
      <w:r>
        <w:rPr>
          <w:rFonts w:ascii="仿宋_GB2312" w:eastAsia="仿宋_GB2312"/>
          <w:sz w:val="28"/>
          <w:szCs w:val="28"/>
        </w:rPr>
        <w:t>资金采购依法制定的集中目录以内的或者采购限额标准以上的货物、工程和服务的行为</w:t>
      </w:r>
      <w:r>
        <w:rPr>
          <w:rFonts w:hint="eastAsia" w:ascii="仿宋_GB2312" w:eastAsia="仿宋_GB2312"/>
          <w:sz w:val="28"/>
          <w:szCs w:val="28"/>
        </w:rPr>
        <w:t>，</w:t>
      </w:r>
      <w:r>
        <w:rPr>
          <w:rFonts w:ascii="仿宋_GB2312" w:eastAsia="仿宋_GB2312"/>
          <w:sz w:val="28"/>
          <w:szCs w:val="28"/>
        </w:rPr>
        <w:t>是规范财政支出管理和强化预算约束的有效措施。</w:t>
      </w:r>
    </w:p>
    <w:p w14:paraId="5CD7C961">
      <w:pPr>
        <w:ind w:firstLine="560" w:firstLineChars="200"/>
        <w:rPr>
          <w:rFonts w:hint="eastAsia" w:ascii="仿宋_GB2312" w:eastAsia="仿宋_GB2312"/>
          <w:sz w:val="28"/>
          <w:szCs w:val="28"/>
        </w:rPr>
      </w:pPr>
      <w:r>
        <w:rPr>
          <w:rFonts w:hint="eastAsia" w:ascii="仿宋_GB2312" w:eastAsia="仿宋_GB2312"/>
          <w:sz w:val="28"/>
          <w:szCs w:val="28"/>
        </w:rPr>
        <w:t>6</w:t>
      </w:r>
      <w:r>
        <w:rPr>
          <w:rFonts w:ascii="仿宋_GB2312" w:eastAsia="仿宋_GB2312"/>
          <w:sz w:val="28"/>
          <w:szCs w:val="28"/>
        </w:rPr>
        <w:t>.政府购买服务：</w:t>
      </w:r>
      <w:r>
        <w:rPr>
          <w:rFonts w:hint="eastAsia" w:ascii="仿宋_GB2312" w:eastAsia="仿宋_GB2312"/>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14:paraId="2026CC03">
      <w:pPr>
        <w:ind w:firstLine="560" w:firstLineChars="200"/>
        <w:rPr>
          <w:rFonts w:ascii="仿宋_GB2312" w:eastAsia="仿宋_GB2312"/>
          <w:sz w:val="28"/>
          <w:szCs w:val="28"/>
        </w:rPr>
      </w:pPr>
      <w:r>
        <w:rPr>
          <w:rFonts w:hint="eastAsia" w:ascii="仿宋_GB2312" w:eastAsia="仿宋_GB2312"/>
          <w:sz w:val="28"/>
          <w:szCs w:val="28"/>
          <w:lang w:val="en-US" w:eastAsia="zh-CN"/>
        </w:rPr>
        <w:t>7.</w:t>
      </w:r>
      <w:r>
        <w:rPr>
          <w:rFonts w:hint="eastAsia" w:ascii="仿宋_GB2312" w:eastAsia="仿宋_GB2312"/>
          <w:sz w:val="28"/>
          <w:szCs w:val="28"/>
        </w:rPr>
        <w:t>教育支出（类）普通教育（款）其他普通教育支出（项）：反映除上述项目以外其他用于普通教育方面的支出。</w:t>
      </w:r>
    </w:p>
    <w:p w14:paraId="78E63941">
      <w:pPr>
        <w:ind w:firstLine="560" w:firstLineChars="200"/>
        <w:rPr>
          <w:rFonts w:hint="eastAsia" w:ascii="仿宋_GB2312" w:eastAsia="仿宋_GB2312"/>
          <w:sz w:val="28"/>
          <w:szCs w:val="28"/>
          <w:lang w:val="en-US" w:eastAsia="zh-CN"/>
        </w:rPr>
      </w:pPr>
      <w:r>
        <w:rPr>
          <w:rFonts w:hint="eastAsia" w:ascii="仿宋_GB2312" w:eastAsia="仿宋_GB2312"/>
          <w:sz w:val="28"/>
          <w:szCs w:val="28"/>
          <w:lang w:val="en-US" w:eastAsia="zh-CN"/>
        </w:rPr>
        <w:t>8.教育支出（类）进修及培训（款）培训支出（项）：反映本部门安排的用于培训的支出。</w:t>
      </w:r>
    </w:p>
    <w:p w14:paraId="26410947">
      <w:pPr>
        <w:ind w:firstLine="560" w:firstLineChars="200"/>
        <w:rPr>
          <w:rFonts w:hint="eastAsia" w:ascii="仿宋_GB2312" w:eastAsia="仿宋_GB2312"/>
          <w:sz w:val="28"/>
          <w:szCs w:val="28"/>
        </w:rPr>
      </w:pPr>
      <w:r>
        <w:rPr>
          <w:rFonts w:hint="eastAsia" w:ascii="仿宋_GB2312" w:eastAsia="仿宋_GB2312"/>
          <w:sz w:val="28"/>
          <w:szCs w:val="28"/>
          <w:lang w:val="en-US" w:eastAsia="zh-CN"/>
        </w:rPr>
        <w:t>9.</w:t>
      </w:r>
      <w:r>
        <w:rPr>
          <w:rFonts w:hint="eastAsia" w:ascii="仿宋_GB2312" w:eastAsia="仿宋_GB2312"/>
          <w:sz w:val="28"/>
          <w:szCs w:val="28"/>
        </w:rPr>
        <w:t>社会保障和就业支出（类）行政事业单位养老支出（款）机关事业单位基本养老保险缴费支出（项）：反映机关事业单位实施养老保险制度由单位缴纳的基本养老保险费支出。</w:t>
      </w:r>
    </w:p>
    <w:p w14:paraId="39A93956">
      <w:pPr>
        <w:ind w:firstLine="560" w:firstLineChars="200"/>
        <w:rPr>
          <w:rFonts w:hint="eastAsia" w:ascii="仿宋_GB2312" w:eastAsia="仿宋_GB2312"/>
          <w:sz w:val="28"/>
          <w:szCs w:val="28"/>
        </w:rPr>
      </w:pPr>
      <w:r>
        <w:rPr>
          <w:rFonts w:hint="eastAsia" w:ascii="仿宋_GB2312" w:eastAsia="仿宋_GB2312"/>
          <w:sz w:val="28"/>
          <w:szCs w:val="28"/>
          <w:lang w:val="en-US" w:eastAsia="zh-CN"/>
        </w:rPr>
        <w:t>10.</w:t>
      </w:r>
      <w:r>
        <w:rPr>
          <w:rFonts w:hint="eastAsia" w:ascii="仿宋_GB2312" w:eastAsia="仿宋_GB2312"/>
          <w:sz w:val="28"/>
          <w:szCs w:val="28"/>
        </w:rPr>
        <w:t>社会保障和就业支出（类）行政事业单位养老支出（款）机关事业单位职业年金缴费支出（项）：反映机关事业单位实施养老保险制度由单位实际缴纳的职业年金支出。</w:t>
      </w:r>
    </w:p>
    <w:p w14:paraId="64FFAF9D">
      <w:pPr>
        <w:pStyle w:val="22"/>
        <w:numPr>
          <w:ilvl w:val="0"/>
          <w:numId w:val="0"/>
        </w:numPr>
        <w:ind w:leftChars="0" w:firstLine="560" w:firstLineChars="200"/>
        <w:rPr>
          <w:rFonts w:hint="eastAsia" w:ascii="仿宋_GB2312" w:eastAsia="仿宋_GB2312"/>
          <w:sz w:val="28"/>
          <w:szCs w:val="28"/>
        </w:rPr>
      </w:pPr>
      <w:r>
        <w:rPr>
          <w:rFonts w:hint="eastAsia" w:ascii="仿宋_GB2312" w:eastAsia="仿宋_GB2312"/>
          <w:sz w:val="28"/>
          <w:szCs w:val="28"/>
          <w:lang w:val="en-US" w:eastAsia="zh-CN"/>
        </w:rPr>
        <w:t>11.</w:t>
      </w:r>
      <w:r>
        <w:rPr>
          <w:rFonts w:hint="eastAsia" w:ascii="仿宋_GB2312" w:eastAsia="仿宋_GB2312"/>
          <w:sz w:val="28"/>
          <w:szCs w:val="28"/>
        </w:rPr>
        <w:t>卫生健康支出（类）行政事业单位医疗（款）事业单位医疗（项）：反映财政部门安排的事业单位基本医疗保险缴费经费，未参加医疗保险的事业单位的公费医疗经费，按国家规定享受离休人员待遇的医疗经费。</w:t>
      </w:r>
    </w:p>
    <w:p w14:paraId="10B35D6F">
      <w:pPr>
        <w:pStyle w:val="22"/>
        <w:numPr>
          <w:ilvl w:val="0"/>
          <w:numId w:val="0"/>
        </w:numPr>
        <w:ind w:leftChars="0" w:firstLine="560" w:firstLineChars="200"/>
        <w:rPr>
          <w:rFonts w:ascii="仿宋_GB2312" w:eastAsia="仿宋_GB2312"/>
          <w:sz w:val="28"/>
          <w:szCs w:val="28"/>
        </w:rPr>
      </w:pPr>
      <w:r>
        <w:rPr>
          <w:rFonts w:hint="eastAsia" w:ascii="仿宋_GB2312" w:eastAsia="仿宋_GB2312"/>
          <w:sz w:val="28"/>
          <w:szCs w:val="28"/>
          <w:lang w:val="en-US" w:eastAsia="zh-CN"/>
        </w:rPr>
        <w:t>12.</w:t>
      </w:r>
      <w:r>
        <w:rPr>
          <w:rFonts w:hint="eastAsia" w:ascii="仿宋_GB2312" w:eastAsia="仿宋_GB2312"/>
          <w:sz w:val="28"/>
          <w:szCs w:val="28"/>
        </w:rPr>
        <w:t>住房保障支出（类）住房改革支出（款）住房公积金（项）：反映行政事业单位按人力资源和社会保障部、财政部规定的基本工资和津贴补贴以及规定比例为职工缴纳的住房公积金。</w:t>
      </w:r>
    </w:p>
    <w:p w14:paraId="1B18CA14">
      <w:pPr>
        <w:pStyle w:val="22"/>
        <w:numPr>
          <w:ilvl w:val="0"/>
          <w:numId w:val="0"/>
        </w:numPr>
        <w:ind w:leftChars="0" w:firstLine="560" w:firstLineChars="200"/>
        <w:rPr>
          <w:rFonts w:hint="eastAsia" w:ascii="仿宋_GB2312" w:eastAsia="仿宋_GB2312"/>
          <w:sz w:val="28"/>
          <w:szCs w:val="28"/>
        </w:rPr>
      </w:pPr>
      <w:r>
        <w:rPr>
          <w:rFonts w:hint="eastAsia" w:ascii="仿宋_GB2312" w:eastAsia="仿宋_GB2312"/>
          <w:sz w:val="28"/>
          <w:szCs w:val="28"/>
          <w:lang w:val="en-US" w:eastAsia="zh-CN"/>
        </w:rPr>
        <w:t>13.</w:t>
      </w:r>
      <w:r>
        <w:rPr>
          <w:rFonts w:hint="eastAsia" w:ascii="仿宋_GB2312" w:eastAsia="仿宋_GB2312"/>
          <w:sz w:val="28"/>
          <w:szCs w:val="28"/>
        </w:rPr>
        <w:t>住房保障支出（类）住房改革支出（款）提租补贴（项）：反映按房改政策规定的标准，行政事业单位向职工（含离退休人员）发放的租金补助。</w:t>
      </w:r>
    </w:p>
    <w:p w14:paraId="5B0BE5A1">
      <w:pPr>
        <w:pStyle w:val="22"/>
        <w:numPr>
          <w:ilvl w:val="0"/>
          <w:numId w:val="0"/>
        </w:numPr>
        <w:ind w:leftChars="0" w:firstLine="560" w:firstLineChars="200"/>
        <w:rPr>
          <w:rFonts w:hint="eastAsia" w:ascii="仿宋_GB2312" w:eastAsia="仿宋_GB2312"/>
          <w:sz w:val="28"/>
          <w:szCs w:val="28"/>
        </w:rPr>
      </w:pPr>
      <w:r>
        <w:rPr>
          <w:rFonts w:hint="eastAsia" w:ascii="仿宋_GB2312" w:eastAsia="仿宋_GB2312"/>
          <w:sz w:val="28"/>
          <w:szCs w:val="28"/>
          <w:lang w:val="en-US" w:eastAsia="zh-CN"/>
        </w:rPr>
        <w:t>14.</w:t>
      </w:r>
      <w:r>
        <w:rPr>
          <w:rFonts w:hint="eastAsia" w:ascii="仿宋_GB2312" w:eastAsia="仿宋_GB2312"/>
          <w:sz w:val="28"/>
          <w:szCs w:val="28"/>
        </w:rPr>
        <w:t>住房保障支出（类）住房改革支出（款）购房补贴（项）：反映按房改政策规定的标准，行政事业单位向符合条件职工（含离退休人员）发放的用于购买住房的补贴。</w:t>
      </w:r>
    </w:p>
    <w:p w14:paraId="56DB1C76">
      <w:pPr>
        <w:tabs>
          <w:tab w:val="center" w:pos="6979"/>
        </w:tabs>
        <w:spacing w:line="380" w:lineRule="exact"/>
        <w:jc w:val="center"/>
        <w:rPr>
          <w:rFonts w:ascii="宋体" w:hAnsi="宋体" w:cs="宋体"/>
          <w:b/>
          <w:bCs/>
          <w:kern w:val="0"/>
          <w:sz w:val="28"/>
          <w:szCs w:val="28"/>
        </w:rPr>
      </w:pPr>
    </w:p>
    <w:p w14:paraId="0585B8E5">
      <w:pPr>
        <w:tabs>
          <w:tab w:val="center" w:pos="6979"/>
        </w:tabs>
        <w:spacing w:line="380" w:lineRule="exact"/>
        <w:jc w:val="center"/>
        <w:rPr>
          <w:rFonts w:ascii="宋体" w:hAnsi="宋体" w:cs="宋体"/>
          <w:b/>
          <w:bCs/>
          <w:kern w:val="0"/>
          <w:sz w:val="28"/>
          <w:szCs w:val="28"/>
        </w:rPr>
      </w:pPr>
    </w:p>
    <w:p w14:paraId="39F45658">
      <w:pPr>
        <w:jc w:val="both"/>
        <w:rPr>
          <w:rFonts w:hint="eastAsia" w:ascii="黑体" w:eastAsia="黑体"/>
          <w:sz w:val="32"/>
          <w:szCs w:val="32"/>
        </w:rPr>
      </w:pPr>
    </w:p>
    <w:p w14:paraId="4420D5A0">
      <w:pPr>
        <w:ind w:firstLine="640" w:firstLineChars="200"/>
        <w:jc w:val="center"/>
        <w:rPr>
          <w:rFonts w:hint="eastAsia" w:ascii="黑体" w:eastAsia="黑体"/>
          <w:sz w:val="32"/>
          <w:szCs w:val="32"/>
        </w:rPr>
      </w:pPr>
    </w:p>
    <w:p w14:paraId="0FFA1625">
      <w:pPr>
        <w:ind w:firstLine="640" w:firstLineChars="200"/>
        <w:jc w:val="center"/>
        <w:rPr>
          <w:rFonts w:hint="eastAsia" w:ascii="黑体" w:eastAsia="黑体"/>
          <w:sz w:val="32"/>
          <w:szCs w:val="32"/>
        </w:rPr>
      </w:pPr>
      <w:r>
        <w:rPr>
          <w:rFonts w:hint="eastAsia" w:ascii="黑体" w:eastAsia="黑体"/>
          <w:sz w:val="32"/>
          <w:szCs w:val="32"/>
        </w:rPr>
        <w:t>第四部分  202</w:t>
      </w:r>
      <w:r>
        <w:rPr>
          <w:rFonts w:hint="eastAsia" w:ascii="黑体" w:eastAsia="黑体"/>
          <w:sz w:val="32"/>
          <w:szCs w:val="32"/>
          <w:lang w:val="en-US" w:eastAsia="zh-CN"/>
        </w:rPr>
        <w:t>4</w:t>
      </w:r>
      <w:r>
        <w:rPr>
          <w:rFonts w:hint="eastAsia" w:ascii="黑体" w:eastAsia="黑体"/>
          <w:sz w:val="32"/>
          <w:szCs w:val="32"/>
        </w:rPr>
        <w:t>年度部门绩效评价情况</w:t>
      </w:r>
    </w:p>
    <w:p w14:paraId="5A28EB9A">
      <w:pPr>
        <w:ind w:firstLine="560" w:firstLineChars="200"/>
        <w:rPr>
          <w:rFonts w:hint="eastAsia" w:ascii="黑体" w:eastAsia="黑体"/>
          <w:sz w:val="28"/>
          <w:szCs w:val="28"/>
          <w:highlight w:val="yellow"/>
        </w:rPr>
      </w:pPr>
    </w:p>
    <w:p w14:paraId="619BE544">
      <w:pPr>
        <w:numPr>
          <w:ilvl w:val="0"/>
          <w:numId w:val="2"/>
        </w:numPr>
        <w:ind w:firstLine="560" w:firstLineChars="200"/>
        <w:rPr>
          <w:rFonts w:hint="eastAsia" w:ascii="黑体" w:eastAsia="黑体"/>
          <w:sz w:val="28"/>
          <w:szCs w:val="28"/>
          <w:lang w:eastAsia="zh-CN"/>
        </w:rPr>
      </w:pPr>
      <w:r>
        <w:rPr>
          <w:rFonts w:hint="eastAsia" w:ascii="黑体" w:eastAsia="黑体"/>
          <w:sz w:val="28"/>
          <w:szCs w:val="28"/>
          <w:highlight w:val="none"/>
        </w:rPr>
        <w:t>部门整体绩效评价报告</w:t>
      </w:r>
      <w:r>
        <w:rPr>
          <w:rFonts w:hint="eastAsia" w:ascii="黑体" w:eastAsia="黑体"/>
          <w:sz w:val="28"/>
          <w:szCs w:val="28"/>
          <w:lang w:eastAsia="zh-CN"/>
        </w:rPr>
        <w:t>（参考模板详见附件）</w:t>
      </w:r>
    </w:p>
    <w:p w14:paraId="041CED56">
      <w:pPr>
        <w:numPr>
          <w:ilvl w:val="0"/>
          <w:numId w:val="2"/>
        </w:numPr>
        <w:ind w:firstLine="560" w:firstLineChars="200"/>
        <w:rPr>
          <w:rFonts w:hint="eastAsia" w:ascii="黑体" w:eastAsia="黑体"/>
          <w:sz w:val="28"/>
          <w:szCs w:val="28"/>
          <w:lang w:eastAsia="zh-CN"/>
        </w:rPr>
      </w:pPr>
      <w:r>
        <w:rPr>
          <w:rFonts w:hint="eastAsia" w:ascii="黑体" w:eastAsia="黑体"/>
          <w:sz w:val="28"/>
          <w:szCs w:val="28"/>
        </w:rPr>
        <w:t>项目支出绩效评价报告</w:t>
      </w:r>
      <w:r>
        <w:rPr>
          <w:rFonts w:hint="eastAsia" w:ascii="黑体" w:eastAsia="黑体"/>
          <w:sz w:val="28"/>
          <w:szCs w:val="28"/>
          <w:lang w:eastAsia="zh-CN"/>
        </w:rPr>
        <w:t>（参考模板详见附件）</w:t>
      </w:r>
    </w:p>
    <w:p w14:paraId="4D29F4D5">
      <w:pPr>
        <w:numPr>
          <w:ilvl w:val="0"/>
          <w:numId w:val="2"/>
        </w:numPr>
        <w:ind w:firstLine="560" w:firstLineChars="200"/>
        <w:rPr>
          <w:rFonts w:ascii="黑体" w:eastAsia="黑体"/>
          <w:sz w:val="28"/>
          <w:szCs w:val="28"/>
        </w:rPr>
      </w:pPr>
      <w:r>
        <w:rPr>
          <w:rFonts w:hint="eastAsia" w:ascii="黑体" w:eastAsia="黑体"/>
          <w:sz w:val="28"/>
          <w:szCs w:val="28"/>
        </w:rPr>
        <w:t>项目</w:t>
      </w:r>
      <w:r>
        <w:rPr>
          <w:rFonts w:ascii="黑体" w:eastAsia="黑体"/>
          <w:sz w:val="28"/>
          <w:szCs w:val="28"/>
        </w:rPr>
        <w:t>支出绩效自评表</w:t>
      </w:r>
      <w:r>
        <w:rPr>
          <w:rFonts w:hint="eastAsia" w:ascii="黑体" w:eastAsia="黑体"/>
          <w:sz w:val="28"/>
          <w:szCs w:val="28"/>
          <w:lang w:eastAsia="zh-CN"/>
        </w:rPr>
        <w:t>（格式详见附件）</w:t>
      </w:r>
    </w:p>
    <w:p w14:paraId="0CA2AB96">
      <w:pPr>
        <w:numPr>
          <w:ilvl w:val="0"/>
          <w:numId w:val="2"/>
        </w:numPr>
        <w:ind w:firstLine="560" w:firstLineChars="200"/>
        <w:rPr>
          <w:rFonts w:hint="eastAsia" w:ascii="黑体" w:eastAsia="黑体"/>
          <w:sz w:val="28"/>
          <w:szCs w:val="28"/>
          <w:lang w:eastAsia="zh-CN"/>
        </w:rPr>
      </w:pPr>
      <w:r>
        <w:rPr>
          <w:rFonts w:hint="eastAsia" w:ascii="黑体" w:hAnsi="Times New Roman" w:eastAsia="黑体" w:cs="Times New Roman"/>
          <w:sz w:val="28"/>
          <w:szCs w:val="28"/>
          <w:lang w:val="en-US" w:eastAsia="zh-CN"/>
        </w:rPr>
        <w:t>中央对北京XX转移支付预算执行情况绩效自评报告</w:t>
      </w:r>
      <w:r>
        <w:rPr>
          <w:rFonts w:hint="eastAsia" w:ascii="黑体" w:eastAsia="黑体"/>
          <w:sz w:val="28"/>
          <w:szCs w:val="28"/>
          <w:lang w:eastAsia="zh-CN"/>
        </w:rPr>
        <w:t>（参考提纲详见附件）</w:t>
      </w:r>
    </w:p>
    <w:p w14:paraId="469920FA">
      <w:pPr>
        <w:spacing w:line="480" w:lineRule="exact"/>
        <w:ind w:firstLine="420" w:firstLineChars="0"/>
        <w:rPr>
          <w:rFonts w:hint="eastAsia" w:ascii="黑体" w:eastAsia="黑体"/>
          <w:sz w:val="28"/>
          <w:szCs w:val="28"/>
        </w:rPr>
      </w:pPr>
      <w:r>
        <w:rPr>
          <w:rFonts w:hint="eastAsia" w:ascii="黑体" w:eastAsia="黑体"/>
          <w:sz w:val="28"/>
          <w:szCs w:val="28"/>
        </w:rPr>
        <w:t xml:space="preserve"> （注：</w:t>
      </w:r>
      <w:r>
        <w:rPr>
          <w:rFonts w:hint="eastAsia" w:ascii="黑体" w:eastAsia="黑体"/>
          <w:color w:val="auto"/>
          <w:sz w:val="28"/>
          <w:szCs w:val="28"/>
        </w:rPr>
        <w:t>有中央转移支付的一级预算部门，公开“一、二、三、四”；没有中央转移支付的一级预算部门，公开“一、二、三”；</w:t>
      </w:r>
      <w:r>
        <w:rPr>
          <w:rFonts w:hint="eastAsia" w:ascii="黑体" w:eastAsia="黑体"/>
          <w:sz w:val="28"/>
          <w:szCs w:val="28"/>
        </w:rPr>
        <w:t>二级预算单位仅公开“三”</w:t>
      </w:r>
      <w:r>
        <w:rPr>
          <w:rFonts w:hint="eastAsia" w:ascii="黑体" w:eastAsia="黑体"/>
          <w:sz w:val="28"/>
          <w:szCs w:val="28"/>
          <w:lang w:eastAsia="zh-CN"/>
        </w:rPr>
        <w:t>。</w:t>
      </w:r>
      <w:r>
        <w:rPr>
          <w:rFonts w:hint="eastAsia" w:ascii="黑体" w:eastAsia="黑体"/>
          <w:sz w:val="28"/>
          <w:szCs w:val="28"/>
        </w:rPr>
        <w:t>）</w:t>
      </w:r>
    </w:p>
    <w:p w14:paraId="25563FED">
      <w:pPr>
        <w:spacing w:line="480" w:lineRule="exact"/>
        <w:rPr>
          <w:rFonts w:hint="eastAsia" w:ascii="仿宋_GB2312" w:hAnsi="仿宋_GB2312" w:eastAsia="仿宋_GB2312" w:cs="仿宋_GB2312"/>
          <w:sz w:val="32"/>
          <w:szCs w:val="32"/>
        </w:rPr>
      </w:pPr>
    </w:p>
    <w:p w14:paraId="6AF1BC84">
      <w:pPr>
        <w:spacing w:line="480" w:lineRule="exact"/>
      </w:pPr>
    </w:p>
    <w:sectPr>
      <w:footerReference r:id="rId4" w:type="default"/>
      <w:footerReference r:id="rId5"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2010609030101010101"/>
    <w:charset w:val="86"/>
    <w:family w:val="auto"/>
    <w:pitch w:val="default"/>
    <w:sig w:usb0="00000000" w:usb1="00000000" w:usb2="00000000" w:usb3="00000000" w:csb0="00040000"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129CADF">
    <w:pPr>
      <w:pStyle w:val="8"/>
      <w:framePr w:wrap="around" w:vAnchor="text" w:hAnchor="margin" w:xAlign="center" w:y="1"/>
      <w:rPr>
        <w:rStyle w:val="14"/>
      </w:rPr>
    </w:pPr>
    <w:r>
      <w:fldChar w:fldCharType="begin"/>
    </w:r>
    <w:r>
      <w:rPr>
        <w:rStyle w:val="14"/>
      </w:rPr>
      <w:instrText xml:space="preserve">PAGE  </w:instrText>
    </w:r>
    <w:r>
      <w:fldChar w:fldCharType="separate"/>
    </w:r>
    <w:r>
      <w:rPr>
        <w:rStyle w:val="14"/>
      </w:rPr>
      <w:t>3</w:t>
    </w:r>
    <w:r>
      <w:fldChar w:fldCharType="end"/>
    </w:r>
  </w:p>
  <w:p w14:paraId="799E85F0">
    <w:pPr>
      <w:pStyle w:val="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43A0FEE">
    <w:pPr>
      <w:pStyle w:val="8"/>
      <w:framePr w:wrap="around" w:vAnchor="text" w:hAnchor="margin" w:xAlign="center" w:y="1"/>
      <w:rPr>
        <w:rStyle w:val="14"/>
      </w:rPr>
    </w:pPr>
    <w:r>
      <w:fldChar w:fldCharType="begin"/>
    </w:r>
    <w:r>
      <w:rPr>
        <w:rStyle w:val="14"/>
      </w:rPr>
      <w:instrText xml:space="preserve">PAGE  </w:instrText>
    </w:r>
    <w:r>
      <w:fldChar w:fldCharType="separate"/>
    </w:r>
    <w:r>
      <w:rPr>
        <w:rStyle w:val="14"/>
      </w:rPr>
      <w:t>5</w:t>
    </w:r>
    <w:r>
      <w:fldChar w:fldCharType="end"/>
    </w:r>
  </w:p>
  <w:p w14:paraId="570E70B2">
    <w:pPr>
      <w:pStyle w:val="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A069982">
    <w:pPr>
      <w:pStyle w:val="8"/>
      <w:framePr w:wrap="around" w:vAnchor="text" w:hAnchor="margin" w:xAlign="center" w:y="1"/>
      <w:rPr>
        <w:rStyle w:val="14"/>
      </w:rPr>
    </w:pPr>
    <w:r>
      <w:fldChar w:fldCharType="begin"/>
    </w:r>
    <w:r>
      <w:rPr>
        <w:rStyle w:val="14"/>
      </w:rPr>
      <w:instrText xml:space="preserve">PAGE  </w:instrText>
    </w:r>
    <w:r>
      <w:fldChar w:fldCharType="separate"/>
    </w:r>
    <w:r>
      <w:rPr>
        <w:rStyle w:val="14"/>
      </w:rPr>
      <w:t>15</w:t>
    </w:r>
    <w:r>
      <w:fldChar w:fldCharType="end"/>
    </w:r>
  </w:p>
  <w:p w14:paraId="1D96DA59">
    <w:pPr>
      <w:pStyle w:val="8"/>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D7E84BE"/>
    <w:multiLevelType w:val="singleLevel"/>
    <w:tmpl w:val="8D7E84BE"/>
    <w:lvl w:ilvl="0" w:tentative="0">
      <w:start w:val="1"/>
      <w:numFmt w:val="chineseCounting"/>
      <w:suff w:val="nothing"/>
      <w:lvlText w:val="%1、"/>
      <w:lvlJc w:val="left"/>
      <w:rPr>
        <w:rFonts w:hint="eastAsia"/>
      </w:rPr>
    </w:lvl>
  </w:abstractNum>
  <w:abstractNum w:abstractNumId="1">
    <w:nsid w:val="1DBC6646"/>
    <w:multiLevelType w:val="singleLevel"/>
    <w:tmpl w:val="1DBC6646"/>
    <w:lvl w:ilvl="0" w:tentative="0">
      <w:start w:val="3"/>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6"/>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ZiMTA1OWM5OGQwNTNkNzZlNTg2NTgwMjM4YjA5YzI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2F120AB"/>
    <w:rsid w:val="032B5196"/>
    <w:rsid w:val="04C3537C"/>
    <w:rsid w:val="05350708"/>
    <w:rsid w:val="079004AC"/>
    <w:rsid w:val="081B54CF"/>
    <w:rsid w:val="08DD09D6"/>
    <w:rsid w:val="0BA148CA"/>
    <w:rsid w:val="0C1165C4"/>
    <w:rsid w:val="0D6D544B"/>
    <w:rsid w:val="0DD136FE"/>
    <w:rsid w:val="0F8E2C57"/>
    <w:rsid w:val="1059665E"/>
    <w:rsid w:val="10AC13BA"/>
    <w:rsid w:val="145A6C1B"/>
    <w:rsid w:val="14B73493"/>
    <w:rsid w:val="167A2FF9"/>
    <w:rsid w:val="1696478F"/>
    <w:rsid w:val="18581C69"/>
    <w:rsid w:val="1AEC0734"/>
    <w:rsid w:val="1DEF20B0"/>
    <w:rsid w:val="214243FA"/>
    <w:rsid w:val="21AD613C"/>
    <w:rsid w:val="22467189"/>
    <w:rsid w:val="257A14F5"/>
    <w:rsid w:val="27196C26"/>
    <w:rsid w:val="29EF086F"/>
    <w:rsid w:val="2EFFE297"/>
    <w:rsid w:val="301437CA"/>
    <w:rsid w:val="349D1F0A"/>
    <w:rsid w:val="34DD0473"/>
    <w:rsid w:val="368E4F3A"/>
    <w:rsid w:val="3913568F"/>
    <w:rsid w:val="3C684897"/>
    <w:rsid w:val="433E495C"/>
    <w:rsid w:val="489F2FD7"/>
    <w:rsid w:val="4AC27CB3"/>
    <w:rsid w:val="4B045373"/>
    <w:rsid w:val="4BF72BEF"/>
    <w:rsid w:val="4FA90297"/>
    <w:rsid w:val="4FC41A43"/>
    <w:rsid w:val="51DB3C59"/>
    <w:rsid w:val="550C0952"/>
    <w:rsid w:val="55762E42"/>
    <w:rsid w:val="57A7B272"/>
    <w:rsid w:val="57F57CDB"/>
    <w:rsid w:val="58470068"/>
    <w:rsid w:val="58747CAC"/>
    <w:rsid w:val="5A1720F9"/>
    <w:rsid w:val="5B9C37C2"/>
    <w:rsid w:val="5BA7C654"/>
    <w:rsid w:val="60A54109"/>
    <w:rsid w:val="61D01CDF"/>
    <w:rsid w:val="64C0607C"/>
    <w:rsid w:val="65756C86"/>
    <w:rsid w:val="674D385B"/>
    <w:rsid w:val="676F09E1"/>
    <w:rsid w:val="71793A80"/>
    <w:rsid w:val="7357290B"/>
    <w:rsid w:val="7544268D"/>
    <w:rsid w:val="798524E4"/>
    <w:rsid w:val="7A0233DA"/>
    <w:rsid w:val="7A7F1C49"/>
    <w:rsid w:val="7B5B7AE6"/>
    <w:rsid w:val="7B7B6628"/>
    <w:rsid w:val="7BA7071E"/>
    <w:rsid w:val="7BDF6DA8"/>
    <w:rsid w:val="7C7EDC1A"/>
    <w:rsid w:val="7CCED98D"/>
    <w:rsid w:val="7D08410F"/>
    <w:rsid w:val="7DB96DED"/>
    <w:rsid w:val="7DD3AD81"/>
    <w:rsid w:val="7F7FE70F"/>
    <w:rsid w:val="7FFF772F"/>
    <w:rsid w:val="95F35EF6"/>
    <w:rsid w:val="9BFFD860"/>
    <w:rsid w:val="AC5F73DE"/>
    <w:rsid w:val="B5DDD2C8"/>
    <w:rsid w:val="B9DFABD9"/>
    <w:rsid w:val="BC0D83FC"/>
    <w:rsid w:val="BF3BDEFB"/>
    <w:rsid w:val="C75F6086"/>
    <w:rsid w:val="C7F7ED2D"/>
    <w:rsid w:val="CFAF854E"/>
    <w:rsid w:val="D8D7928E"/>
    <w:rsid w:val="D8FE3136"/>
    <w:rsid w:val="DDDE60B7"/>
    <w:rsid w:val="DE9F6A22"/>
    <w:rsid w:val="DF4FCE6A"/>
    <w:rsid w:val="E4FED278"/>
    <w:rsid w:val="EDAA365C"/>
    <w:rsid w:val="EDADFC12"/>
    <w:rsid w:val="F2FD229B"/>
    <w:rsid w:val="F7F709E9"/>
    <w:rsid w:val="F7FF3690"/>
    <w:rsid w:val="F9BD3900"/>
    <w:rsid w:val="FC8B9876"/>
    <w:rsid w:val="FEDFF218"/>
    <w:rsid w:val="FEDFFF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100" w:beforeAutospacing="1" w:after="100" w:afterAutospacing="1"/>
      <w:outlineLvl w:val="1"/>
    </w:pPr>
    <w:rPr>
      <w:rFonts w:ascii="Cambria" w:hAnsi="Cambria" w:eastAsia="黑体"/>
      <w:b/>
      <w:bCs/>
      <w:kern w:val="0"/>
      <w:sz w:val="36"/>
      <w:szCs w:val="32"/>
    </w:rPr>
  </w:style>
  <w:style w:type="character" w:default="1" w:styleId="12">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3">
    <w:name w:val="Normal Indent"/>
    <w:basedOn w:val="1"/>
    <w:qFormat/>
    <w:uiPriority w:val="0"/>
    <w:pPr>
      <w:ind w:firstLine="200" w:firstLineChars="200"/>
    </w:pPr>
  </w:style>
  <w:style w:type="paragraph" w:styleId="4">
    <w:name w:val="Body Text Indent"/>
    <w:basedOn w:val="1"/>
    <w:qFormat/>
    <w:uiPriority w:val="0"/>
    <w:pPr>
      <w:ind w:firstLine="645"/>
    </w:pPr>
    <w:rPr>
      <w:rFonts w:ascii="仿宋_GB2312" w:hAnsi="Calibri" w:eastAsia="仿宋_GB2312"/>
      <w:sz w:val="32"/>
      <w:szCs w:val="32"/>
    </w:rPr>
  </w:style>
  <w:style w:type="paragraph" w:styleId="5">
    <w:name w:val="Plain Text"/>
    <w:basedOn w:val="1"/>
    <w:qFormat/>
    <w:uiPriority w:val="0"/>
    <w:rPr>
      <w:rFonts w:ascii="宋体" w:hAnsi="Courier New" w:eastAsia="宋体" w:cs="宋体"/>
      <w:sz w:val="20"/>
    </w:rPr>
  </w:style>
  <w:style w:type="paragraph" w:styleId="6">
    <w:name w:val="Date"/>
    <w:basedOn w:val="1"/>
    <w:next w:val="1"/>
    <w:qFormat/>
    <w:uiPriority w:val="0"/>
    <w:pPr>
      <w:ind w:left="100" w:leftChars="2500"/>
    </w:pPr>
  </w:style>
  <w:style w:type="paragraph" w:styleId="7">
    <w:name w:val="Balloon Text"/>
    <w:basedOn w:val="1"/>
    <w:semiHidden/>
    <w:qFormat/>
    <w:uiPriority w:val="0"/>
    <w:rPr>
      <w:sz w:val="18"/>
      <w:szCs w:val="18"/>
    </w:rPr>
  </w:style>
  <w:style w:type="paragraph" w:styleId="8">
    <w:name w:val="footer"/>
    <w:basedOn w:val="1"/>
    <w:link w:val="15"/>
    <w:qFormat/>
    <w:uiPriority w:val="0"/>
    <w:pPr>
      <w:tabs>
        <w:tab w:val="center" w:pos="4153"/>
        <w:tab w:val="right" w:pos="8306"/>
      </w:tabs>
      <w:snapToGrid w:val="0"/>
      <w:jc w:val="left"/>
    </w:pPr>
    <w:rPr>
      <w:sz w:val="18"/>
      <w:szCs w:val="18"/>
    </w:rPr>
  </w:style>
  <w:style w:type="paragraph" w:styleId="9">
    <w:name w:val="header"/>
    <w:basedOn w:val="1"/>
    <w:link w:val="16"/>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10">
    <w:name w:val="Normal (Web)"/>
    <w:basedOn w:val="1"/>
    <w:unhideWhenUsed/>
    <w:qFormat/>
    <w:uiPriority w:val="0"/>
    <w:pPr>
      <w:spacing w:before="100" w:beforeAutospacing="1" w:after="100" w:afterAutospacing="1"/>
      <w:ind w:right="238"/>
      <w:jc w:val="left"/>
    </w:pPr>
    <w:rPr>
      <w:b/>
      <w:kern w:val="0"/>
      <w:sz w:val="24"/>
      <w:szCs w:val="20"/>
    </w:rPr>
  </w:style>
  <w:style w:type="character" w:styleId="13">
    <w:name w:val="Strong"/>
    <w:qFormat/>
    <w:uiPriority w:val="0"/>
    <w:rPr>
      <w:b/>
    </w:rPr>
  </w:style>
  <w:style w:type="character" w:styleId="14">
    <w:name w:val="page number"/>
    <w:qFormat/>
    <w:uiPriority w:val="0"/>
  </w:style>
  <w:style w:type="character" w:customStyle="1" w:styleId="15">
    <w:name w:val="页脚 Char"/>
    <w:link w:val="8"/>
    <w:qFormat/>
    <w:uiPriority w:val="0"/>
    <w:rPr>
      <w:rFonts w:eastAsia="宋体"/>
      <w:kern w:val="2"/>
      <w:sz w:val="18"/>
      <w:szCs w:val="18"/>
      <w:lang w:val="en-US" w:eastAsia="zh-CN" w:bidi="ar-SA"/>
    </w:rPr>
  </w:style>
  <w:style w:type="character" w:customStyle="1" w:styleId="16">
    <w:name w:val="页眉 Char"/>
    <w:link w:val="9"/>
    <w:qFormat/>
    <w:uiPriority w:val="0"/>
    <w:rPr>
      <w:rFonts w:ascii="Calibri" w:hAnsi="Calibri" w:eastAsia="宋体"/>
      <w:kern w:val="2"/>
      <w:sz w:val="18"/>
      <w:szCs w:val="18"/>
      <w:lang w:val="en-US" w:eastAsia="zh-CN" w:bidi="ar-SA"/>
    </w:rPr>
  </w:style>
  <w:style w:type="paragraph" w:customStyle="1" w:styleId="17">
    <w:name w:val="Char Char Char Char Char Char Char"/>
    <w:basedOn w:val="1"/>
    <w:qFormat/>
    <w:uiPriority w:val="0"/>
    <w:rPr>
      <w:rFonts w:ascii="Tahoma" w:hAnsi="Tahoma"/>
      <w:sz w:val="24"/>
      <w:szCs w:val="20"/>
    </w:rPr>
  </w:style>
  <w:style w:type="paragraph" w:customStyle="1" w:styleId="18">
    <w:name w:val="Char1 Char Char Char"/>
    <w:basedOn w:val="1"/>
    <w:qFormat/>
    <w:uiPriority w:val="0"/>
    <w:pPr>
      <w:widowControl/>
      <w:spacing w:after="160" w:line="240" w:lineRule="exact"/>
      <w:jc w:val="left"/>
    </w:pPr>
    <w:rPr>
      <w:szCs w:val="20"/>
    </w:rPr>
  </w:style>
  <w:style w:type="paragraph" w:customStyle="1" w:styleId="19">
    <w:name w:val="Char"/>
    <w:basedOn w:val="1"/>
    <w:qFormat/>
    <w:uiPriority w:val="0"/>
    <w:rPr>
      <w:rFonts w:ascii="Tahoma" w:hAnsi="Tahoma"/>
      <w:sz w:val="24"/>
      <w:szCs w:val="20"/>
    </w:rPr>
  </w:style>
  <w:style w:type="paragraph" w:customStyle="1" w:styleId="20">
    <w:name w:val="Char Char3 Char Char"/>
    <w:basedOn w:val="1"/>
    <w:qFormat/>
    <w:uiPriority w:val="0"/>
    <w:rPr>
      <w:szCs w:val="21"/>
    </w:rPr>
  </w:style>
  <w:style w:type="paragraph" w:customStyle="1" w:styleId="21">
    <w:name w:val="Normal Indent1"/>
    <w:qFormat/>
    <w:uiPriority w:val="99"/>
    <w:pPr>
      <w:widowControl w:val="0"/>
      <w:ind w:firstLine="420" w:firstLineChars="200"/>
      <w:jc w:val="both"/>
    </w:pPr>
    <w:rPr>
      <w:rFonts w:ascii="Times New Roman" w:hAnsi="Times New Roman" w:eastAsia="宋体" w:cs="Times New Roman"/>
      <w:kern w:val="2"/>
      <w:sz w:val="21"/>
      <w:szCs w:val="24"/>
      <w:lang w:val="en-US" w:eastAsia="zh-CN" w:bidi="ar-SA"/>
    </w:rPr>
  </w:style>
  <w:style w:type="paragraph" w:styleId="22">
    <w:name w:val="List Paragraph"/>
    <w:basedOn w:val="1"/>
    <w:qFormat/>
    <w:uiPriority w:val="34"/>
    <w:pPr>
      <w:ind w:left="720"/>
      <w:contextualSpacing/>
    </w:p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hart" Target="charts/chart2.xml"/><Relationship Id="rId7" Type="http://schemas.openxmlformats.org/officeDocument/2006/relationships/chart" Target="charts/chart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package" Target="../embeddings/Workbook2.xlsx"/></Relationships>
</file>

<file path=word/charts/_rels/chart2.xml.rels><?xml version="1.0" encoding="UTF-8" standalone="yes"?>
<Relationships xmlns="http://schemas.openxmlformats.org/package/2006/relationships"><Relationship Id="rId1" Type="http://schemas.openxmlformats.org/officeDocument/2006/relationships/package" Target="../embeddings/Workbook1.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zh-CN" altLang="en-US" sz="1400" b="0"/>
              <a:t>收入决算</a:t>
            </a:r>
            <a:endParaRPr lang="zh-CN" altLang="en-US" sz="1400" b="0"/>
          </a:p>
        </c:rich>
      </c:tx>
      <c:layout/>
      <c:overlay val="0"/>
    </c:title>
    <c:autoTitleDeleted val="0"/>
    <c:plotArea>
      <c:layout/>
      <c:pieChart>
        <c:varyColors val="1"/>
        <c:ser>
          <c:idx val="0"/>
          <c:order val="0"/>
          <c:tx>
            <c:strRef>
              <c:f>Sheet1!$B$1</c:f>
              <c:strCache>
                <c:ptCount val="1"/>
                <c:pt idx="0">
                  <c:v>收入</c:v>
                </c:pt>
              </c:strCache>
            </c:strRef>
          </c:tx>
          <c:explosion val="0"/>
          <c:dPt>
            <c:idx val="0"/>
            <c:bubble3D val="0"/>
          </c:dPt>
          <c:dPt>
            <c:idx val="1"/>
            <c:bubble3D val="0"/>
          </c:dPt>
          <c:dPt>
            <c:idx val="2"/>
            <c:bubble3D val="0"/>
          </c:dPt>
          <c:dPt>
            <c:idx val="3"/>
            <c:bubble3D val="0"/>
          </c:dPt>
          <c:dPt>
            <c:idx val="4"/>
            <c:bubble3D val="0"/>
          </c:dPt>
          <c:dPt>
            <c:idx val="5"/>
            <c:bubble3D val="0"/>
          </c:dPt>
          <c:dLbls>
            <c:numFmt formatCode="0.00%" sourceLinked="0"/>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ext>
            </c:extLst>
          </c:dLbls>
          <c:cat>
            <c:strRef>
              <c:f>Sheet1!$A$2:$A$7</c:f>
              <c:strCache>
                <c:ptCount val="6"/>
                <c:pt idx="0">
                  <c:v>财政拨款收入</c:v>
                </c:pt>
                <c:pt idx="1">
                  <c:v>上级补助收入</c:v>
                </c:pt>
                <c:pt idx="2">
                  <c:v>事业收入</c:v>
                </c:pt>
                <c:pt idx="3">
                  <c:v>经营收入</c:v>
                </c:pt>
                <c:pt idx="4">
                  <c:v>附属单位上缴</c:v>
                </c:pt>
                <c:pt idx="5">
                  <c:v>其他收入</c:v>
                </c:pt>
              </c:strCache>
            </c:strRef>
          </c:cat>
          <c:val>
            <c:numRef>
              <c:f>Sheet1!$B$2:$B$7</c:f>
              <c:numCache>
                <c:formatCode>General</c:formatCode>
                <c:ptCount val="6"/>
                <c:pt idx="0">
                  <c:v>469.84</c:v>
                </c:pt>
                <c:pt idx="1">
                  <c:v>0</c:v>
                </c:pt>
                <c:pt idx="2">
                  <c:v>0</c:v>
                </c:pt>
                <c:pt idx="3">
                  <c:v>0</c:v>
                </c:pt>
                <c:pt idx="4">
                  <c:v>0</c:v>
                </c:pt>
                <c:pt idx="5">
                  <c:v>0</c:v>
                </c:pt>
              </c:numCache>
            </c:numRef>
          </c:val>
        </c:ser>
        <c:dLbls>
          <c:showLegendKey val="0"/>
          <c:showVal val="1"/>
          <c:showCatName val="0"/>
          <c:showSerName val="0"/>
          <c:showPercent val="0"/>
          <c:showBubbleSize val="0"/>
          <c:showLeaderLines val="1"/>
        </c:dLbls>
        <c:firstSliceAng val="0"/>
      </c:pieChart>
    </c:plotArea>
    <c:legend>
      <c:legendPos val="r"/>
      <c:layout/>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legend>
    <c:plotVisOnly val="1"/>
    <c:dispBlanksAs val="gap"/>
    <c:showDLblsOverMax val="0"/>
    <c:extLst>
      <c:ext uri="{0b15fc19-7d7d-44ad-8c2d-2c3a37ce22c3}">
        <chartProps xmlns="https://web.wps.cn/et/2018/main" chartId="{ccaf3b1c-f292-4dd4-abb8-691f78981742}"/>
      </c:ext>
    </c:extLst>
  </c:chart>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solidFill>
                <a:latin typeface="+mn-lt"/>
                <a:ea typeface="+mn-ea"/>
                <a:cs typeface="+mn-cs"/>
              </a:defRPr>
            </a:pPr>
            <a:r>
              <a:rPr lang="zh-CN" altLang="en-US">
                <a:solidFill>
                  <a:schemeClr val="tx1"/>
                </a:solidFill>
              </a:rPr>
              <a:t>支出决算</a:t>
            </a:r>
            <a:endParaRPr lang="zh-CN" altLang="en-US">
              <a:solidFill>
                <a:schemeClr val="tx1"/>
              </a:solidFill>
            </a:endParaRPr>
          </a:p>
        </c:rich>
      </c:tx>
      <c:layout/>
      <c:overlay val="0"/>
      <c:spPr>
        <a:noFill/>
        <a:ln>
          <a:noFill/>
        </a:ln>
        <a:effectLst/>
      </c:spPr>
    </c:title>
    <c:autoTitleDeleted val="0"/>
    <c:plotArea>
      <c:layout/>
      <c:pieChart>
        <c:varyColors val="1"/>
        <c:ser>
          <c:idx val="0"/>
          <c:order val="0"/>
          <c:tx>
            <c:strRef>
              <c:f>Sheet0!$B$1</c:f>
              <c:strCache>
                <c:ptCount val="1"/>
                <c:pt idx="0">
                  <c:v>支出</c:v>
                </c:pt>
              </c:strCache>
            </c:strRef>
          </c:tx>
          <c:explosion val="0"/>
          <c:dPt>
            <c:idx val="0"/>
            <c:bubble3D val="0"/>
            <c:spPr>
              <a:solidFill>
                <a:srgbClr val="4F81BD"/>
              </a:solidFill>
              <a:ln w="19050">
                <a:solidFill>
                  <a:srgbClr val="FFFFFF"/>
                </a:solidFill>
              </a:ln>
              <a:effectLst/>
            </c:spPr>
          </c:dPt>
          <c:dPt>
            <c:idx val="1"/>
            <c:bubble3D val="0"/>
            <c:spPr>
              <a:solidFill>
                <a:srgbClr val="C0504D"/>
              </a:solidFill>
              <a:ln w="19050">
                <a:solidFill>
                  <a:srgbClr val="FFFFFF"/>
                </a:solidFill>
              </a:ln>
              <a:effectLst/>
            </c:spPr>
          </c:dPt>
          <c:dPt>
            <c:idx val="2"/>
            <c:bubble3D val="0"/>
            <c:spPr>
              <a:solidFill>
                <a:srgbClr val="9BBB59"/>
              </a:solidFill>
              <a:ln w="19050">
                <a:solidFill>
                  <a:srgbClr val="FFFFFF"/>
                </a:solidFill>
              </a:ln>
              <a:effectLst/>
            </c:spPr>
          </c:dPt>
          <c:dPt>
            <c:idx val="3"/>
            <c:bubble3D val="0"/>
            <c:spPr>
              <a:solidFill>
                <a:srgbClr val="8064A2"/>
              </a:solidFill>
              <a:ln w="19050">
                <a:solidFill>
                  <a:srgbClr val="FFFFFF"/>
                </a:solidFill>
              </a:ln>
              <a:effectLst/>
            </c:spPr>
          </c:dPt>
          <c:dPt>
            <c:idx val="4"/>
            <c:bubble3D val="0"/>
            <c:spPr>
              <a:solidFill>
                <a:srgbClr val="4BACC6"/>
              </a:solidFill>
              <a:ln w="19050">
                <a:solidFill>
                  <a:srgbClr val="FFFFFF"/>
                </a:solidFill>
              </a:ln>
              <a:effectLst/>
            </c:spPr>
          </c:dPt>
          <c:dLbls>
            <c:dLbl>
              <c:idx val="2"/>
              <c:layout>
                <c:manualLayout>
                  <c:x val="-0.03900372940115"/>
                  <c:y val="0.0328271436107878"/>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dLbl>
              <c:idx val="4"/>
              <c:layout>
                <c:manualLayout>
                  <c:x val="0.0389887693586102"/>
                  <c:y val="0.0105112295100623"/>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numFmt formatCode="0.00%"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rgbClr val="A6A6A6">
                          <a:lumMod val="35000"/>
                          <a:lumOff val="65000"/>
                        </a:srgbClr>
                      </a:solidFill>
                      <a:prstDash val="solid"/>
                      <a:round/>
                    </a:ln>
                    <a:effectLst/>
                  </c:spPr>
                </c15:leaderLines>
              </c:ext>
            </c:extLst>
          </c:dLbls>
          <c:cat>
            <c:strRef>
              <c:f>Sheet0!$A$2:$A$6</c:f>
              <c:strCache>
                <c:ptCount val="5"/>
                <c:pt idx="0">
                  <c:v>基本支出</c:v>
                </c:pt>
                <c:pt idx="1">
                  <c:v>项目支出</c:v>
                </c:pt>
                <c:pt idx="2">
                  <c:v>上缴上级支出</c:v>
                </c:pt>
                <c:pt idx="3">
                  <c:v>经营支出</c:v>
                </c:pt>
                <c:pt idx="4">
                  <c:v>对附属单位补助支出</c:v>
                </c:pt>
              </c:strCache>
            </c:strRef>
          </c:cat>
          <c:val>
            <c:numRef>
              <c:f>Sheet0!$B$2:$B$6</c:f>
              <c:numCache>
                <c:formatCode>General</c:formatCode>
                <c:ptCount val="5"/>
                <c:pt idx="0">
                  <c:v>463.23</c:v>
                </c:pt>
                <c:pt idx="1">
                  <c:v>6.61</c:v>
                </c:pt>
                <c:pt idx="2">
                  <c:v>0</c:v>
                </c:pt>
                <c:pt idx="3">
                  <c:v>0</c:v>
                </c:pt>
                <c:pt idx="4">
                  <c:v>0</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b"/>
      <c:legendEntry>
        <c:idx val="0"/>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1"/>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2"/>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3"/>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4"/>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
    <c:plotVisOnly val="1"/>
    <c:dispBlanksAs val="gap"/>
    <c:showDLblsOverMax val="0"/>
    <c:extLst>
      <c:ext uri="{0b15fc19-7d7d-44ad-8c2d-2c3a37ce22c3}">
        <chartProps xmlns="https://web.wps.cn/et/2018/main" chartId="{7a9a9083-c7c1-4523-b24d-c75155ccefd0}"/>
      </c:ext>
    </c:extLst>
  </c:chart>
  <c:spPr>
    <a:ln w="9525" cap="flat" cmpd="sng" algn="ctr">
      <a:solidFill>
        <a:srgbClr val="D9D9D9">
          <a:lumMod val="15000"/>
          <a:lumOff val="85000"/>
        </a:srgbClr>
      </a:solidFill>
      <a:prstDash val="solid"/>
      <a:round/>
    </a:ln>
    <a:effectLst/>
  </c:spPr>
  <c:txPr>
    <a:bodyPr/>
    <a:lstStyle/>
    <a:p>
      <a:pPr>
        <a:defRPr lang="zh-CN"/>
      </a:pPr>
    </a:p>
  </c:txPr>
  <c:externalData r:id="rId1">
    <c:autoUpdate val="0"/>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Pages>
  <Words>3749</Words>
  <Characters>4172</Characters>
  <Lines>44</Lines>
  <Paragraphs>12</Paragraphs>
  <TotalTime>2</TotalTime>
  <ScaleCrop>false</ScaleCrop>
  <LinksUpToDate>false</LinksUpToDate>
  <CharactersWithSpaces>4193</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2017-07-11T15:16:00Z</dcterms:created>
  <dc:creator>常程</dc:creator>
  <cp:lastModifiedBy>...Q</cp:lastModifiedBy>
  <cp:lastPrinted>2020-08-07T11:39:00Z</cp:lastPrinted>
  <dcterms:modified xsi:type="dcterms:W3CDTF">2025-08-28T04:21:55Z</dcterms:modified>
  <dc:title>北京市财政局关于做好向市人大常委会报送2015年度市级部门决算（草案）</dc:title>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10BD45C79C4C41FDA40CCB269DFC9A24_13</vt:lpwstr>
  </property>
  <property fmtid="{D5CDD505-2E9C-101B-9397-08002B2CF9AE}" pid="4" name="KSOTemplateDocerSaveRecord">
    <vt:lpwstr>eyJoZGlkIjoiMzFhMDlmODM4NDM3ZTUzZTJhOWRjZWIxNmVkMjQxNTMiLCJ1c2VySWQiOiIxMTQwMjc4MDE0In0=</vt:lpwstr>
  </property>
</Properties>
</file>