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7555C8">
      <w:pPr>
        <w:jc w:val="center"/>
        <w:rPr>
          <w:rFonts w:ascii="仿宋_GB2312" w:eastAsia="仿宋_GB2312"/>
          <w:b/>
          <w:sz w:val="32"/>
          <w:szCs w:val="32"/>
        </w:rPr>
      </w:pPr>
    </w:p>
    <w:p w14:paraId="06A7F101">
      <w:pPr>
        <w:jc w:val="center"/>
        <w:rPr>
          <w:rFonts w:ascii="黑体" w:eastAsia="黑体"/>
          <w:sz w:val="72"/>
          <w:szCs w:val="72"/>
        </w:rPr>
      </w:pPr>
    </w:p>
    <w:p w14:paraId="0930EDDE">
      <w:pPr>
        <w:jc w:val="center"/>
        <w:rPr>
          <w:rFonts w:ascii="黑体" w:eastAsia="黑体"/>
          <w:sz w:val="72"/>
          <w:szCs w:val="72"/>
        </w:rPr>
      </w:pPr>
    </w:p>
    <w:p w14:paraId="030B888B">
      <w:pPr>
        <w:jc w:val="center"/>
        <w:rPr>
          <w:rFonts w:ascii="黑体" w:eastAsia="黑体"/>
          <w:sz w:val="72"/>
          <w:szCs w:val="72"/>
        </w:rPr>
      </w:pPr>
    </w:p>
    <w:p w14:paraId="03A55499">
      <w:pPr>
        <w:jc w:val="center"/>
        <w:rPr>
          <w:rFonts w:ascii="黑体" w:eastAsia="黑体"/>
          <w:sz w:val="72"/>
          <w:szCs w:val="72"/>
        </w:rPr>
      </w:pPr>
    </w:p>
    <w:p w14:paraId="1DF16BDA">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14:paraId="6BF436EB">
      <w:pPr>
        <w:jc w:val="center"/>
        <w:rPr>
          <w:rFonts w:ascii="黑体" w:eastAsia="黑体"/>
          <w:sz w:val="52"/>
          <w:szCs w:val="52"/>
        </w:rPr>
      </w:pPr>
    </w:p>
    <w:p w14:paraId="3E2F8E91">
      <w:pPr>
        <w:jc w:val="center"/>
        <w:rPr>
          <w:rFonts w:ascii="黑体" w:eastAsia="黑体"/>
          <w:sz w:val="52"/>
          <w:szCs w:val="52"/>
        </w:rPr>
      </w:pPr>
    </w:p>
    <w:p w14:paraId="04E68C41">
      <w:pPr>
        <w:jc w:val="center"/>
        <w:rPr>
          <w:rFonts w:ascii="黑体" w:eastAsia="黑体"/>
          <w:sz w:val="52"/>
          <w:szCs w:val="52"/>
        </w:rPr>
      </w:pPr>
    </w:p>
    <w:p w14:paraId="54C804AA">
      <w:pPr>
        <w:jc w:val="center"/>
        <w:rPr>
          <w:rFonts w:ascii="黑体" w:eastAsia="黑体"/>
          <w:sz w:val="52"/>
          <w:szCs w:val="52"/>
        </w:rPr>
      </w:pPr>
    </w:p>
    <w:p w14:paraId="73E0BC94">
      <w:pPr>
        <w:jc w:val="center"/>
        <w:rPr>
          <w:rFonts w:ascii="黑体" w:eastAsia="黑体"/>
          <w:sz w:val="32"/>
          <w:szCs w:val="32"/>
        </w:rPr>
      </w:pPr>
    </w:p>
    <w:p w14:paraId="4FF61890">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24A3E8D9">
      <w:pPr>
        <w:spacing w:line="500" w:lineRule="exact"/>
        <w:ind w:firstLine="645"/>
        <w:jc w:val="center"/>
        <w:rPr>
          <w:rFonts w:ascii="宋体" w:hAnsi="宋体" w:cs="宋体"/>
          <w:b/>
          <w:bCs/>
          <w:kern w:val="0"/>
          <w:sz w:val="36"/>
          <w:szCs w:val="36"/>
        </w:rPr>
      </w:pPr>
    </w:p>
    <w:p w14:paraId="78C48A6F">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14:paraId="18765B5A">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22AF41D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1746F0C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6B23D82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4842A18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7A10BDA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32326C2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6858A27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5185B1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14:paraId="66A524D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7FC90F5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724BB15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14:paraId="7F71A947">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14:paraId="2F0D68BD">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7169D3AC">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14:paraId="4FD7700C">
      <w:pPr>
        <w:tabs>
          <w:tab w:val="center" w:pos="6979"/>
        </w:tabs>
        <w:spacing w:before="156" w:beforeLines="50" w:after="156" w:afterLines="50"/>
        <w:jc w:val="center"/>
        <w:rPr>
          <w:rFonts w:ascii="宋体" w:hAnsi="宋体" w:cs="宋体"/>
          <w:b/>
          <w:bCs/>
          <w:spacing w:val="40"/>
          <w:kern w:val="0"/>
          <w:sz w:val="32"/>
          <w:szCs w:val="32"/>
        </w:rPr>
      </w:pPr>
    </w:p>
    <w:p w14:paraId="30879E44">
      <w:pPr>
        <w:tabs>
          <w:tab w:val="center" w:pos="6979"/>
        </w:tabs>
        <w:spacing w:before="156" w:beforeLines="50" w:after="156" w:afterLines="50"/>
        <w:jc w:val="center"/>
        <w:rPr>
          <w:rFonts w:ascii="宋体" w:hAnsi="宋体" w:cs="宋体"/>
          <w:b/>
          <w:bCs/>
          <w:spacing w:val="40"/>
          <w:kern w:val="0"/>
          <w:sz w:val="32"/>
          <w:szCs w:val="32"/>
        </w:rPr>
      </w:pPr>
    </w:p>
    <w:p w14:paraId="16A4C84A">
      <w:pPr>
        <w:tabs>
          <w:tab w:val="center" w:pos="6979"/>
        </w:tabs>
        <w:spacing w:before="156" w:beforeLines="50" w:after="156" w:afterLines="50"/>
        <w:jc w:val="center"/>
        <w:rPr>
          <w:rFonts w:ascii="宋体" w:hAnsi="宋体" w:cs="宋体"/>
          <w:b/>
          <w:bCs/>
          <w:spacing w:val="40"/>
          <w:kern w:val="0"/>
          <w:sz w:val="32"/>
          <w:szCs w:val="32"/>
        </w:rPr>
      </w:pPr>
    </w:p>
    <w:p w14:paraId="3C11021B">
      <w:pPr>
        <w:tabs>
          <w:tab w:val="center" w:pos="6979"/>
        </w:tabs>
        <w:spacing w:before="156" w:beforeLines="50" w:after="156" w:afterLines="50"/>
        <w:jc w:val="center"/>
        <w:rPr>
          <w:rFonts w:ascii="宋体" w:hAnsi="宋体" w:cs="宋体"/>
          <w:b/>
          <w:bCs/>
          <w:spacing w:val="40"/>
          <w:kern w:val="0"/>
          <w:sz w:val="32"/>
          <w:szCs w:val="32"/>
        </w:rPr>
      </w:pPr>
    </w:p>
    <w:p w14:paraId="1983C005">
      <w:pPr>
        <w:tabs>
          <w:tab w:val="center" w:pos="6979"/>
        </w:tabs>
        <w:spacing w:before="156" w:beforeLines="50" w:after="156" w:afterLines="50"/>
        <w:jc w:val="center"/>
        <w:rPr>
          <w:rFonts w:ascii="宋体" w:hAnsi="宋体" w:cs="宋体"/>
          <w:b/>
          <w:bCs/>
          <w:spacing w:val="40"/>
          <w:kern w:val="0"/>
          <w:sz w:val="32"/>
          <w:szCs w:val="32"/>
        </w:rPr>
      </w:pPr>
    </w:p>
    <w:p w14:paraId="63F63D42">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14:paraId="437BA622">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310DDEA9">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27F59D09">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14:paraId="052E649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西长安街少年宫、西长安街社区教育学校成立于2005年12月，隶属北京市西城区教育委员会，主要职责是西城区青少年校外教育、社区教育和家庭教育，是西城区中小学教育的延续和补充。</w:t>
      </w:r>
    </w:p>
    <w:p w14:paraId="5907E06D">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目前，少年宫开设青少年国学、书法、美术、舞蹈、声乐、电钢琴、二胡、竹笛等专业培训班，民乐团、合唱团、舞蹈团已初具规模。同时，定期为辖区中小学举办各种类型知识讲座及主题实践活动，组织各项才艺展示及阳光少年活动，丰富辖区内青少年生活。少年宫秉承“创新谋发展、智慧塑人才、课程育素养、艺术润心灵”的办学理念，努力为学员服务、为社会服务，尽心尽力为辖区创造一座艺术教育的乐园。</w:t>
      </w:r>
    </w:p>
    <w:p w14:paraId="2CFE7DDC">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社区教育学校常年开设文学拾趣、书法、国画、声乐、二胡、葫芦丝、瑜伽、舞蹈、钢琴等成人培训班，打造了“红墙体育节”“红墙艺术节”“红墙书画节”品牌活动。学校以“探寻红色足迹——传承革命精神”项目为中心，定期为辖区小学和社区开展“红墙下红领巾小讲解员”培训和红色讲座等系列活动，项目还入选了北京市首批京韵特色社区教育示范项目。</w:t>
      </w:r>
    </w:p>
    <w:p w14:paraId="7C9A41F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2015年，西长安街社区家长学校挂牌成立。学校积极聘请名校名师、心理学专家开展系列主题讲座；并努力发掘教师内部资源，开设小型专题讲座。通过优质讲座，引领家长了解孩子，走进孩子，为家长和孩子搭建有效沟通的渠道，致力于将家长学校打造成为提升家长教育理念和教育质量的精神家园。</w:t>
      </w:r>
    </w:p>
    <w:p w14:paraId="68FC8576">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5D4404F6">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2024年度收、支总计1300.19万元，比上年增加39.69万元，增长3.15%。</w:t>
      </w:r>
    </w:p>
    <w:p w14:paraId="41964C23">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42E3C819">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2024年度本年收入合计1295.76万元，比上年增加43.26万元，增长3.45%。</w:t>
      </w:r>
    </w:p>
    <w:p w14:paraId="5C8580CD">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1202.97</w:t>
      </w:r>
      <w:r>
        <w:rPr>
          <w:rFonts w:hint="eastAsia" w:ascii="仿宋_GB2312" w:eastAsia="仿宋_GB2312"/>
          <w:sz w:val="28"/>
          <w:szCs w:val="28"/>
        </w:rPr>
        <w:t>万元，占收入合计的92.84%。其中：一般公共预算财政拨款收入</w:t>
      </w:r>
      <w:r>
        <w:rPr>
          <w:rFonts w:ascii="仿宋_GB2312" w:eastAsia="仿宋_GB2312"/>
          <w:sz w:val="28"/>
          <w:szCs w:val="28"/>
        </w:rPr>
        <w:t>1202.97</w:t>
      </w:r>
      <w:r>
        <w:rPr>
          <w:rFonts w:hint="eastAsia" w:ascii="仿宋_GB2312" w:eastAsia="仿宋_GB2312"/>
          <w:sz w:val="28"/>
          <w:szCs w:val="28"/>
        </w:rPr>
        <w:t>万元，占收入合计的92.84%；政府性基金预算财政拨款收入</w:t>
      </w:r>
      <w:r>
        <w:rPr>
          <w:rFonts w:ascii="仿宋_GB2312" w:eastAsia="仿宋_GB2312"/>
          <w:sz w:val="28"/>
          <w:szCs w:val="28"/>
        </w:rPr>
        <w:t>0</w:t>
      </w:r>
      <w:r>
        <w:rPr>
          <w:rFonts w:hint="eastAsia" w:ascii="仿宋_GB2312" w:eastAsia="仿宋_GB2312"/>
          <w:sz w:val="28"/>
          <w:szCs w:val="28"/>
        </w:rPr>
        <w:t>万元，占收入合计的0%；国有资本经营预算财政拨款收入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14:paraId="029F2E4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14:paraId="12FFE83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14:paraId="7894AF7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92.79</w:t>
      </w:r>
      <w:r>
        <w:rPr>
          <w:rFonts w:hint="eastAsia" w:ascii="仿宋_GB2312" w:eastAsia="仿宋_GB2312"/>
          <w:sz w:val="28"/>
          <w:szCs w:val="28"/>
        </w:rPr>
        <w:t>万元，占收入合计的7.16%；</w:t>
      </w:r>
    </w:p>
    <w:p w14:paraId="77F28754">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14:paraId="4DA79B1D">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14:paraId="5A975169">
      <w:pPr>
        <w:pStyle w:val="2"/>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502F3079">
      <w:pPr>
        <w:pStyle w:val="2"/>
        <w:jc w:val="center"/>
      </w:pPr>
      <w:r>
        <w:rPr>
          <w:rFonts w:hint="eastAsia" w:ascii="仿宋_GB2312" w:eastAsia="仿宋_GB2312"/>
          <w:color w:val="000000"/>
          <w:sz w:val="32"/>
        </w:rPr>
        <w:t>图1：收入决算</w:t>
      </w:r>
    </w:p>
    <w:p w14:paraId="41EFF089">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660333A1">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1204.63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2.49万元，增长0.21%，其中：基本支出</w:t>
      </w:r>
      <w:r>
        <w:rPr>
          <w:rFonts w:ascii="仿宋_GB2312" w:eastAsia="仿宋_GB2312"/>
          <w:sz w:val="28"/>
          <w:szCs w:val="28"/>
        </w:rPr>
        <w:t>656.22</w:t>
      </w:r>
      <w:r>
        <w:rPr>
          <w:rFonts w:hint="eastAsia" w:ascii="仿宋_GB2312" w:eastAsia="仿宋_GB2312"/>
          <w:sz w:val="28"/>
          <w:szCs w:val="28"/>
        </w:rPr>
        <w:t>万元，占支出合计的54.47%；项目支出</w:t>
      </w:r>
      <w:r>
        <w:rPr>
          <w:rFonts w:ascii="仿宋_GB2312" w:eastAsia="仿宋_GB2312"/>
          <w:sz w:val="28"/>
          <w:szCs w:val="28"/>
        </w:rPr>
        <w:t>546.75</w:t>
      </w:r>
      <w:r>
        <w:rPr>
          <w:rFonts w:hint="eastAsia" w:ascii="仿宋_GB2312" w:eastAsia="仿宋_GB2312"/>
          <w:sz w:val="28"/>
          <w:szCs w:val="28"/>
        </w:rPr>
        <w:t>万元，占支出合计的45.39%;上缴上级支出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1.66</w:t>
      </w:r>
      <w:r>
        <w:rPr>
          <w:rFonts w:hint="eastAsia" w:ascii="仿宋_GB2312" w:eastAsia="仿宋_GB2312"/>
          <w:sz w:val="28"/>
          <w:szCs w:val="28"/>
        </w:rPr>
        <w:t>万元，占支出合计的0.14%；对附属单位补助支出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7E58EB07">
      <w:pPr>
        <w:pStyle w:val="2"/>
        <w:ind w:firstLine="642"/>
        <w:jc w:val="cente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1CA3827">
      <w:pPr>
        <w:pStyle w:val="2"/>
        <w:ind w:firstLine="642"/>
        <w:jc w:val="center"/>
        <w:rPr>
          <w:rFonts w:ascii="黑体"/>
          <w:sz w:val="28"/>
          <w:szCs w:val="28"/>
        </w:rPr>
      </w:pPr>
      <w:r>
        <w:rPr>
          <w:rFonts w:hint="eastAsia" w:ascii="仿宋_GB2312" w:eastAsia="仿宋_GB2312"/>
          <w:color w:val="000000"/>
          <w:sz w:val="32"/>
        </w:rPr>
        <w:t>图2：基本支出和项目支出情况</w:t>
      </w:r>
    </w:p>
    <w:p w14:paraId="11C11896">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023660CC">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1202.97</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1.5</w:t>
      </w:r>
      <w:r>
        <w:rPr>
          <w:rFonts w:ascii="仿宋_GB2312" w:eastAsia="仿宋_GB2312"/>
          <w:sz w:val="28"/>
          <w:szCs w:val="28"/>
        </w:rPr>
        <w:t>0</w:t>
      </w:r>
      <w:r>
        <w:rPr>
          <w:rFonts w:hint="eastAsia" w:ascii="仿宋_GB2312" w:eastAsia="仿宋_GB2312"/>
          <w:sz w:val="28"/>
          <w:szCs w:val="28"/>
        </w:rPr>
        <w:t>万元，增长0.13%。主要原因：社会保障和就业支出增加。</w:t>
      </w:r>
    </w:p>
    <w:p w14:paraId="3B39CA04">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0092C54A">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1358520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hint="eastAsia" w:ascii="仿宋_GB2312" w:eastAsia="仿宋_GB2312"/>
          <w:sz w:val="28"/>
          <w:szCs w:val="28"/>
          <w:lang w:val="en-US" w:eastAsia="zh-CN"/>
        </w:rPr>
        <w:t>1202.97</w:t>
      </w:r>
      <w:r>
        <w:rPr>
          <w:rFonts w:hint="eastAsia" w:ascii="仿宋_GB2312" w:eastAsia="仿宋_GB2312"/>
          <w:sz w:val="28"/>
          <w:szCs w:val="28"/>
        </w:rPr>
        <w:t>万元，主要用于以下方面（按大类）：教育支出</w:t>
      </w:r>
      <w:r>
        <w:rPr>
          <w:rFonts w:hint="eastAsia" w:ascii="仿宋_GB2312" w:eastAsia="仿宋_GB2312"/>
          <w:sz w:val="28"/>
          <w:szCs w:val="28"/>
          <w:lang w:val="en-US" w:eastAsia="zh-CN"/>
        </w:rPr>
        <w:t>970.12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80.64</w:t>
      </w:r>
      <w:r>
        <w:rPr>
          <w:rFonts w:hint="eastAsia" w:ascii="仿宋_GB2312" w:eastAsia="仿宋_GB2312"/>
          <w:sz w:val="28"/>
          <w:szCs w:val="28"/>
        </w:rPr>
        <w:t>%；社会保障和就业支出</w:t>
      </w:r>
      <w:r>
        <w:rPr>
          <w:rFonts w:hint="eastAsia" w:ascii="仿宋_GB2312" w:eastAsia="仿宋_GB2312"/>
          <w:sz w:val="28"/>
          <w:szCs w:val="28"/>
          <w:lang w:val="en-US" w:eastAsia="zh-CN"/>
        </w:rPr>
        <w:t>93.08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7.74</w:t>
      </w:r>
      <w:r>
        <w:rPr>
          <w:rFonts w:hint="eastAsia" w:ascii="仿宋_GB2312" w:eastAsia="仿宋_GB2312"/>
          <w:sz w:val="28"/>
          <w:szCs w:val="28"/>
        </w:rPr>
        <w:t>%；卫生健康支出</w:t>
      </w:r>
      <w:r>
        <w:rPr>
          <w:rFonts w:hint="eastAsia" w:ascii="仿宋_GB2312" w:eastAsia="仿宋_GB2312"/>
          <w:sz w:val="28"/>
          <w:szCs w:val="28"/>
          <w:lang w:val="en-US" w:eastAsia="zh-CN"/>
        </w:rPr>
        <w:t>48.15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4.00</w:t>
      </w:r>
      <w:r>
        <w:rPr>
          <w:rFonts w:hint="eastAsia" w:ascii="仿宋_GB2312" w:eastAsia="仿宋_GB2312"/>
          <w:sz w:val="28"/>
          <w:szCs w:val="28"/>
        </w:rPr>
        <w:t>%；住房保障支出</w:t>
      </w:r>
      <w:r>
        <w:rPr>
          <w:rFonts w:hint="eastAsia" w:ascii="仿宋_GB2312" w:eastAsia="仿宋_GB2312"/>
          <w:sz w:val="28"/>
          <w:szCs w:val="28"/>
          <w:lang w:val="en-US" w:eastAsia="zh-CN"/>
        </w:rPr>
        <w:t>91.61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w:t>
      </w:r>
      <w:bookmarkStart w:id="0" w:name="_GoBack"/>
      <w:bookmarkEnd w:id="0"/>
      <w:r>
        <w:rPr>
          <w:rFonts w:hint="eastAsia" w:ascii="仿宋_GB2312" w:eastAsia="仿宋_GB2312"/>
          <w:sz w:val="28"/>
          <w:szCs w:val="28"/>
          <w:lang w:val="en-US" w:eastAsia="zh-CN"/>
        </w:rPr>
        <w:t>.62</w:t>
      </w:r>
      <w:r>
        <w:rPr>
          <w:rFonts w:hint="eastAsia" w:ascii="仿宋_GB2312" w:eastAsia="仿宋_GB2312"/>
          <w:sz w:val="28"/>
          <w:szCs w:val="28"/>
        </w:rPr>
        <w:t>%。</w:t>
      </w:r>
    </w:p>
    <w:p w14:paraId="64E1701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0443EAB5">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rPr>
        <w:t>1、“教育支出”（类）</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943.20</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970.12</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102.85</w:t>
      </w:r>
      <w:r>
        <w:rPr>
          <w:rFonts w:hint="eastAsia" w:ascii="仿宋_GB2312" w:eastAsia="仿宋_GB2312"/>
          <w:sz w:val="28"/>
          <w:szCs w:val="28"/>
          <w:highlight w:val="none"/>
        </w:rPr>
        <w:t>%。其中：</w:t>
      </w:r>
    </w:p>
    <w:p w14:paraId="72A914D4">
      <w:pPr>
        <w:spacing w:line="580" w:lineRule="exact"/>
        <w:ind w:firstLine="560" w:firstLineChars="200"/>
        <w:rPr>
          <w:rFonts w:ascii="仿宋_GB2312" w:eastAsia="仿宋_GB2312"/>
          <w:sz w:val="28"/>
          <w:szCs w:val="28"/>
        </w:rPr>
      </w:pPr>
      <w:r>
        <w:rPr>
          <w:rFonts w:hint="eastAsia" w:ascii="仿宋_GB2312" w:eastAsia="仿宋_GB2312"/>
          <w:sz w:val="28"/>
          <w:szCs w:val="28"/>
          <w:highlight w:val="none"/>
        </w:rPr>
        <w:t>“普通教育”（款）2024年度年初预算</w:t>
      </w:r>
      <w:r>
        <w:rPr>
          <w:rFonts w:hint="eastAsia" w:ascii="仿宋_GB2312" w:eastAsia="仿宋_GB2312"/>
          <w:sz w:val="28"/>
          <w:szCs w:val="28"/>
          <w:highlight w:val="none"/>
          <w:lang w:val="en-US" w:eastAsia="zh-CN"/>
        </w:rPr>
        <w:t>941.92</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969.66</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102.95</w:t>
      </w:r>
      <w:r>
        <w:rPr>
          <w:rFonts w:hint="eastAsia" w:ascii="仿宋_GB2312" w:eastAsia="仿宋_GB2312"/>
          <w:sz w:val="28"/>
          <w:szCs w:val="28"/>
          <w:highlight w:val="none"/>
        </w:rPr>
        <w:t>%。</w:t>
      </w:r>
      <w:r>
        <w:rPr>
          <w:rFonts w:hint="eastAsia" w:ascii="仿宋_GB2312" w:eastAsia="仿宋_GB2312"/>
          <w:sz w:val="28"/>
          <w:szCs w:val="28"/>
        </w:rPr>
        <w:t>主要原因：发放在职一次性绩效奖励。</w:t>
      </w:r>
    </w:p>
    <w:p w14:paraId="12CDBB7F">
      <w:pPr>
        <w:spacing w:line="580" w:lineRule="exact"/>
        <w:ind w:firstLine="560" w:firstLineChars="200"/>
        <w:rPr>
          <w:rFonts w:ascii="仿宋_GB2312" w:eastAsia="仿宋_GB2312"/>
          <w:sz w:val="28"/>
          <w:szCs w:val="28"/>
        </w:rPr>
      </w:pPr>
      <w:r>
        <w:rPr>
          <w:rFonts w:hint="eastAsia" w:ascii="仿宋_GB2312" w:eastAsia="仿宋_GB2312"/>
          <w:sz w:val="28"/>
          <w:szCs w:val="28"/>
        </w:rPr>
        <w:t>“进修及培训”（款）</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1.28</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0.46</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35.94</w:t>
      </w:r>
      <w:r>
        <w:rPr>
          <w:rFonts w:hint="eastAsia" w:ascii="仿宋_GB2312" w:eastAsia="仿宋_GB2312"/>
          <w:sz w:val="28"/>
          <w:szCs w:val="28"/>
          <w:highlight w:val="none"/>
        </w:rPr>
        <w:t>%。</w:t>
      </w:r>
      <w:r>
        <w:rPr>
          <w:rFonts w:hint="eastAsia" w:ascii="仿宋_GB2312" w:eastAsia="仿宋_GB2312"/>
          <w:sz w:val="28"/>
          <w:szCs w:val="28"/>
        </w:rPr>
        <w:t>主要原因：落实政府过紧日子要求，厉行勤俭节约，严格控制培训费支出。</w:t>
      </w:r>
    </w:p>
    <w:p w14:paraId="0811EFD6">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rPr>
        <w:t>2、“社会保障和就业支出”（类）</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79.72</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93.08</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116.76</w:t>
      </w:r>
      <w:r>
        <w:rPr>
          <w:rFonts w:hint="eastAsia" w:ascii="仿宋_GB2312" w:eastAsia="仿宋_GB2312"/>
          <w:sz w:val="28"/>
          <w:szCs w:val="28"/>
          <w:highlight w:val="none"/>
        </w:rPr>
        <w:t>%。其中：</w:t>
      </w:r>
    </w:p>
    <w:p w14:paraId="69B2470A">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“行政事业单位养老支出”（款）2024年度年初预算</w:t>
      </w:r>
      <w:r>
        <w:rPr>
          <w:rFonts w:hint="eastAsia" w:ascii="仿宋_GB2312" w:eastAsia="仿宋_GB2312"/>
          <w:sz w:val="28"/>
          <w:szCs w:val="28"/>
          <w:highlight w:val="none"/>
          <w:lang w:val="en-US" w:eastAsia="zh-CN"/>
        </w:rPr>
        <w:t>79.72</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93.08</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116.76</w:t>
      </w:r>
      <w:r>
        <w:rPr>
          <w:rFonts w:hint="eastAsia" w:ascii="仿宋_GB2312" w:eastAsia="仿宋_GB2312"/>
          <w:sz w:val="28"/>
          <w:szCs w:val="28"/>
          <w:highlight w:val="none"/>
        </w:rPr>
        <w:t>%。主要原因：发放退休人员一次性退休补贴。</w:t>
      </w:r>
    </w:p>
    <w:p w14:paraId="7EF42845">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rPr>
        <w:t>3、“卫生健康支出”（类）</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40.58</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48.15</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118.65</w:t>
      </w:r>
      <w:r>
        <w:rPr>
          <w:rFonts w:hint="eastAsia" w:ascii="仿宋_GB2312" w:eastAsia="仿宋_GB2312"/>
          <w:sz w:val="28"/>
          <w:szCs w:val="28"/>
          <w:highlight w:val="none"/>
        </w:rPr>
        <w:t>%。其中：</w:t>
      </w:r>
    </w:p>
    <w:p w14:paraId="11B41D49">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“行政事业单位医疗”（款）2024年度年初预算</w:t>
      </w:r>
      <w:r>
        <w:rPr>
          <w:rFonts w:hint="eastAsia" w:ascii="仿宋_GB2312" w:eastAsia="仿宋_GB2312"/>
          <w:sz w:val="28"/>
          <w:szCs w:val="28"/>
          <w:highlight w:val="none"/>
          <w:lang w:val="en-US" w:eastAsia="zh-CN"/>
        </w:rPr>
        <w:t>40.58</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48.15</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118.65</w:t>
      </w:r>
      <w:r>
        <w:rPr>
          <w:rFonts w:hint="eastAsia" w:ascii="仿宋_GB2312" w:eastAsia="仿宋_GB2312"/>
          <w:sz w:val="28"/>
          <w:szCs w:val="28"/>
          <w:highlight w:val="none"/>
        </w:rPr>
        <w:t>%。主要原因：医保缴费基数增加。</w:t>
      </w:r>
    </w:p>
    <w:p w14:paraId="01783397">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rPr>
        <w:t>4、“住房保障支出”（类）</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86.46</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91.61</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105.96</w:t>
      </w:r>
      <w:r>
        <w:rPr>
          <w:rFonts w:hint="eastAsia" w:ascii="仿宋_GB2312" w:eastAsia="仿宋_GB2312"/>
          <w:sz w:val="28"/>
          <w:szCs w:val="28"/>
          <w:highlight w:val="none"/>
        </w:rPr>
        <w:t>%。其中：</w:t>
      </w:r>
    </w:p>
    <w:p w14:paraId="0013132C">
      <w:pPr>
        <w:spacing w:line="580" w:lineRule="exact"/>
        <w:ind w:firstLine="560" w:firstLineChars="200"/>
        <w:rPr>
          <w:rFonts w:ascii="仿宋_GB2312" w:eastAsia="仿宋_GB2312"/>
          <w:sz w:val="28"/>
          <w:szCs w:val="28"/>
        </w:rPr>
      </w:pPr>
      <w:r>
        <w:rPr>
          <w:rFonts w:hint="eastAsia" w:ascii="仿宋_GB2312" w:eastAsia="仿宋_GB2312"/>
          <w:sz w:val="28"/>
          <w:szCs w:val="28"/>
          <w:highlight w:val="none"/>
        </w:rPr>
        <w:t>“住房改革支出”（款）2024年度年初预算</w:t>
      </w:r>
      <w:r>
        <w:rPr>
          <w:rFonts w:hint="eastAsia" w:ascii="仿宋_GB2312" w:eastAsia="仿宋_GB2312"/>
          <w:sz w:val="28"/>
          <w:szCs w:val="28"/>
          <w:highlight w:val="none"/>
          <w:lang w:val="en-US" w:eastAsia="zh-CN"/>
        </w:rPr>
        <w:t>86.46</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91.61</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105.96</w:t>
      </w:r>
      <w:r>
        <w:rPr>
          <w:rFonts w:hint="eastAsia" w:ascii="仿宋_GB2312" w:eastAsia="仿宋_GB2312"/>
          <w:sz w:val="28"/>
          <w:szCs w:val="28"/>
          <w:highlight w:val="none"/>
        </w:rPr>
        <w:t>%。</w:t>
      </w:r>
      <w:r>
        <w:rPr>
          <w:rFonts w:hint="eastAsia" w:ascii="仿宋_GB2312" w:eastAsia="仿宋_GB2312"/>
          <w:sz w:val="28"/>
          <w:szCs w:val="28"/>
        </w:rPr>
        <w:t>主要原因：住房公积金缴费基数增加。</w:t>
      </w:r>
    </w:p>
    <w:p w14:paraId="4FF24A60">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1DC7A1C3">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本单位无此项经费。</w:t>
      </w:r>
    </w:p>
    <w:p w14:paraId="3DFA40A8">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2572D5E4">
      <w:pPr>
        <w:ind w:firstLine="537" w:firstLineChars="192"/>
        <w:rPr>
          <w:rFonts w:ascii="仿宋_GB2312" w:eastAsia="仿宋_GB2312"/>
          <w:sz w:val="28"/>
          <w:szCs w:val="28"/>
        </w:rPr>
      </w:pPr>
      <w:r>
        <w:rPr>
          <w:rFonts w:hint="eastAsia" w:ascii="仿宋_GB2312" w:eastAsia="仿宋_GB2312"/>
          <w:sz w:val="28"/>
          <w:szCs w:val="28"/>
        </w:rPr>
        <w:t>本年度无此项经费。</w:t>
      </w:r>
    </w:p>
    <w:p w14:paraId="008397E3">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2C1A0DA1">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656.22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14D249C7">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14:paraId="419AB7F4">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698841F4">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0FA780AB">
      <w:pPr>
        <w:ind w:firstLine="537" w:firstLineChars="192"/>
        <w:rPr>
          <w:rFonts w:ascii="仿宋_GB2312" w:eastAsia="仿宋_GB2312"/>
          <w:sz w:val="28"/>
          <w:szCs w:val="28"/>
        </w:rPr>
      </w:pPr>
      <w:r>
        <w:rPr>
          <w:rFonts w:hint="eastAsia" w:ascii="仿宋_GB2312" w:eastAsia="仿宋_GB2312"/>
          <w:sz w:val="28"/>
          <w:szCs w:val="28"/>
        </w:rPr>
        <w:t>本单位无此项经费。</w:t>
      </w:r>
    </w:p>
    <w:p w14:paraId="36D9B872">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2ED2E34A">
      <w:pPr>
        <w:ind w:firstLine="537" w:firstLineChars="192"/>
        <w:rPr>
          <w:rFonts w:ascii="仿宋_GB2312" w:eastAsia="仿宋_GB2312"/>
          <w:sz w:val="28"/>
          <w:szCs w:val="28"/>
          <w:shd w:val="pct15" w:color="auto" w:fill="FFFFFF"/>
        </w:rPr>
      </w:pPr>
      <w:r>
        <w:rPr>
          <w:rFonts w:hint="eastAsia" w:ascii="仿宋_GB2312" w:eastAsia="仿宋_GB2312"/>
          <w:sz w:val="28"/>
          <w:szCs w:val="28"/>
        </w:rPr>
        <w:t>我单位不在机关运行经费统计范围之内。</w:t>
      </w:r>
      <w:r>
        <w:rPr>
          <w:rFonts w:ascii="仿宋_GB2312" w:eastAsia="仿宋_GB2312"/>
          <w:sz w:val="28"/>
          <w:szCs w:val="28"/>
        </w:rPr>
        <w:t xml:space="preserve"> </w:t>
      </w:r>
    </w:p>
    <w:p w14:paraId="6BC2B89B">
      <w:pPr>
        <w:ind w:left="540"/>
        <w:rPr>
          <w:rFonts w:ascii="黑体" w:eastAsia="黑体"/>
          <w:sz w:val="28"/>
          <w:szCs w:val="28"/>
        </w:rPr>
      </w:pPr>
      <w:r>
        <w:rPr>
          <w:rFonts w:hint="eastAsia" w:ascii="黑体" w:eastAsia="黑体"/>
          <w:sz w:val="28"/>
          <w:szCs w:val="28"/>
        </w:rPr>
        <w:t>三、政府采购支出情况</w:t>
      </w:r>
    </w:p>
    <w:p w14:paraId="0EE439C7">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25.85</w:t>
      </w:r>
      <w:r>
        <w:rPr>
          <w:rFonts w:hint="eastAsia" w:ascii="仿宋_GB2312" w:eastAsia="仿宋_GB2312"/>
          <w:sz w:val="28"/>
          <w:szCs w:val="28"/>
        </w:rPr>
        <w:t>万元，其中：政府采购货物支出</w:t>
      </w:r>
      <w:r>
        <w:rPr>
          <w:rFonts w:ascii="仿宋_GB2312" w:eastAsia="仿宋_GB2312"/>
          <w:sz w:val="28"/>
          <w:szCs w:val="28"/>
        </w:rPr>
        <w:t>0.25</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25.6</w:t>
      </w:r>
      <w:r>
        <w:rPr>
          <w:rFonts w:hint="eastAsia" w:ascii="仿宋_GB2312" w:eastAsia="仿宋_GB2312"/>
          <w:sz w:val="28"/>
          <w:szCs w:val="28"/>
        </w:rPr>
        <w:t>万元。授予中小企业合同金额</w:t>
      </w:r>
      <w:r>
        <w:rPr>
          <w:rFonts w:ascii="仿宋_GB2312" w:eastAsia="仿宋_GB2312"/>
          <w:sz w:val="28"/>
          <w:szCs w:val="28"/>
        </w:rPr>
        <w:t>25.6</w:t>
      </w:r>
      <w:r>
        <w:rPr>
          <w:rFonts w:hint="eastAsia" w:ascii="仿宋_GB2312" w:eastAsia="仿宋_GB2312"/>
          <w:sz w:val="28"/>
          <w:szCs w:val="28"/>
        </w:rPr>
        <w:t>万元，占政府采购支出总额的99.03%，其中：授予小微企业合同金额</w:t>
      </w:r>
      <w:r>
        <w:rPr>
          <w:rFonts w:ascii="仿宋_GB2312" w:eastAsia="仿宋_GB2312"/>
          <w:sz w:val="28"/>
          <w:szCs w:val="28"/>
        </w:rPr>
        <w:t>25.6</w:t>
      </w:r>
      <w:r>
        <w:rPr>
          <w:rFonts w:hint="eastAsia" w:ascii="仿宋_GB2312" w:eastAsia="仿宋_GB2312"/>
          <w:sz w:val="28"/>
          <w:szCs w:val="28"/>
        </w:rPr>
        <w:t>万元，占政府采购支出总额的</w:t>
      </w:r>
      <w:r>
        <w:rPr>
          <w:rFonts w:ascii="仿宋_GB2312" w:eastAsia="仿宋_GB2312"/>
          <w:sz w:val="28"/>
          <w:szCs w:val="28"/>
        </w:rPr>
        <w:t>99.03</w:t>
      </w:r>
      <w:r>
        <w:rPr>
          <w:rFonts w:hint="eastAsia" w:ascii="仿宋_GB2312" w:eastAsia="仿宋_GB2312"/>
          <w:sz w:val="28"/>
          <w:szCs w:val="28"/>
        </w:rPr>
        <w:t>%。</w:t>
      </w:r>
    </w:p>
    <w:p w14:paraId="38D50213">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11A52E8D">
      <w:pPr>
        <w:ind w:firstLine="560" w:firstLineChars="200"/>
        <w:rPr>
          <w:rFonts w:ascii="仿宋_GB2312" w:eastAsia="仿宋_GB2312"/>
          <w:sz w:val="32"/>
          <w:szCs w:val="32"/>
        </w:rPr>
      </w:pPr>
      <w:r>
        <w:rPr>
          <w:rFonts w:hint="eastAsia" w:ascii="仿宋_GB2312" w:eastAsia="仿宋_GB2312"/>
          <w:sz w:val="28"/>
          <w:szCs w:val="28"/>
        </w:rPr>
        <w:t>截至12月31日，北京市西城区西长安街少年宫共有车辆0台；单位价值100万元（含）以上的设备0台（套）。</w:t>
      </w:r>
    </w:p>
    <w:p w14:paraId="55CED94F">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AB0A1C3">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14:paraId="1FBE80FC">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4371A5BE">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536D7FA5">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2DE7C0BF">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4E595E3D">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3EE177C6">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57BA902F">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397D7613">
      <w:pPr>
        <w:ind w:firstLine="420" w:firstLineChars="150"/>
        <w:rPr>
          <w:rFonts w:ascii="仿宋_GB2312" w:eastAsia="仿宋_GB2312" w:cs="仿宋_GB2312"/>
          <w:sz w:val="28"/>
          <w:szCs w:val="28"/>
        </w:rPr>
      </w:pPr>
      <w:r>
        <w:rPr>
          <w:rFonts w:hint="eastAsia" w:ascii="仿宋_GB2312" w:eastAsia="仿宋_GB2312"/>
          <w:sz w:val="28"/>
          <w:szCs w:val="28"/>
        </w:rPr>
        <w:t>7.</w:t>
      </w:r>
      <w:r>
        <w:rPr>
          <w:rFonts w:hint="eastAsia" w:ascii="仿宋_GB2312" w:eastAsia="仿宋_GB2312" w:cs="仿宋_GB2312"/>
          <w:sz w:val="28"/>
          <w:szCs w:val="28"/>
        </w:rPr>
        <w:t>教育支出（类）普通教育（款）其他普通教育支出（项）：反映除上述项目以外其他用于普通教育方面的支出。</w:t>
      </w:r>
    </w:p>
    <w:p w14:paraId="253D70AC">
      <w:pPr>
        <w:ind w:firstLine="420" w:firstLineChars="150"/>
        <w:rPr>
          <w:rFonts w:ascii="仿宋_GB2312" w:eastAsia="仿宋_GB2312" w:cs="仿宋_GB2312"/>
          <w:sz w:val="28"/>
          <w:szCs w:val="28"/>
        </w:rPr>
      </w:pPr>
      <w:r>
        <w:rPr>
          <w:rFonts w:hint="eastAsia" w:ascii="仿宋_GB2312" w:eastAsia="仿宋_GB2312" w:cs="仿宋_GB2312"/>
          <w:sz w:val="28"/>
          <w:szCs w:val="28"/>
        </w:rPr>
        <w:t>8.教育支出（类）进修及培训（款）培训支出（项）：反映本部门安排的用于培训的支出。</w:t>
      </w:r>
    </w:p>
    <w:p w14:paraId="09E3C38C">
      <w:pPr>
        <w:ind w:firstLine="420" w:firstLineChars="150"/>
        <w:rPr>
          <w:rFonts w:ascii="仿宋_GB2312" w:eastAsia="仿宋_GB2312" w:cs="仿宋_GB2312"/>
          <w:sz w:val="28"/>
          <w:szCs w:val="28"/>
        </w:rPr>
      </w:pPr>
      <w:r>
        <w:rPr>
          <w:rFonts w:hint="eastAsia" w:ascii="仿宋_GB2312" w:eastAsia="仿宋_GB2312" w:cs="仿宋_GB2312"/>
          <w:sz w:val="28"/>
          <w:szCs w:val="28"/>
        </w:rPr>
        <w:t>9.社会保障和就业支出（类）行政事业单位养老支出（款）事业单位离退休（项）：反映事业单位开支的离退休经费。</w:t>
      </w:r>
    </w:p>
    <w:p w14:paraId="2EA9596C">
      <w:pPr>
        <w:ind w:firstLine="420" w:firstLineChars="150"/>
        <w:rPr>
          <w:rFonts w:ascii="仿宋_GB2312" w:eastAsia="仿宋_GB2312" w:cs="仿宋_GB2312"/>
          <w:sz w:val="28"/>
          <w:szCs w:val="28"/>
        </w:rPr>
      </w:pPr>
      <w:r>
        <w:rPr>
          <w:rFonts w:hint="eastAsia" w:ascii="仿宋_GB2312" w:eastAsia="仿宋_GB2312" w:cs="仿宋_GB2312"/>
          <w:sz w:val="28"/>
          <w:szCs w:val="28"/>
        </w:rPr>
        <w:t>10.社会保障和就业支出（类）行政事业单位养老支出（款）机关事业单位基本养老保险缴费支出（项）：反映机关事业单位实施养老保险制度由单位缴纳的基本养老保险费支出。</w:t>
      </w:r>
    </w:p>
    <w:p w14:paraId="40DF98AA">
      <w:pPr>
        <w:ind w:firstLine="420" w:firstLineChars="150"/>
        <w:rPr>
          <w:rFonts w:ascii="仿宋_GB2312" w:eastAsia="仿宋_GB2312" w:cs="仿宋_GB2312"/>
          <w:sz w:val="28"/>
          <w:szCs w:val="28"/>
        </w:rPr>
      </w:pPr>
      <w:r>
        <w:rPr>
          <w:rFonts w:hint="eastAsia" w:ascii="仿宋_GB2312" w:eastAsia="仿宋_GB2312" w:cs="仿宋_GB2312"/>
          <w:sz w:val="28"/>
          <w:szCs w:val="28"/>
        </w:rPr>
        <w:t>11.社会保障和就业支出（类）行政事业单位养老支出（款）机关事业单位职业年金缴费支出（项）：反映机关事业单位实施养老保险制度由单位实际缴纳的职业年金支出。</w:t>
      </w:r>
    </w:p>
    <w:p w14:paraId="7167DD86">
      <w:pPr>
        <w:ind w:firstLine="420" w:firstLineChars="150"/>
        <w:rPr>
          <w:rFonts w:ascii="仿宋_GB2312" w:eastAsia="仿宋_GB2312" w:cs="仿宋_GB2312"/>
          <w:sz w:val="28"/>
          <w:szCs w:val="28"/>
        </w:rPr>
      </w:pPr>
      <w:r>
        <w:rPr>
          <w:rFonts w:hint="eastAsia" w:ascii="仿宋_GB2312" w:eastAsia="仿宋_GB2312" w:cs="仿宋_GB2312"/>
          <w:sz w:val="28"/>
          <w:szCs w:val="28"/>
        </w:rPr>
        <w:t>12.卫生健康支出（类）行政事业单位医疗（款）事业单位医疗（项）：反映财政部门安排的事业单位基本医疗保险缴费经费，未参加医疗保险的事业单位的公费医疗经费，按国家规定享受离休人员待遇的医疗经费。</w:t>
      </w:r>
    </w:p>
    <w:p w14:paraId="0076B9E2">
      <w:pPr>
        <w:ind w:firstLine="420" w:firstLineChars="150"/>
        <w:rPr>
          <w:rFonts w:ascii="仿宋_GB2312" w:eastAsia="仿宋_GB2312" w:cs="仿宋_GB2312"/>
          <w:sz w:val="28"/>
          <w:szCs w:val="28"/>
        </w:rPr>
      </w:pPr>
      <w:r>
        <w:rPr>
          <w:rFonts w:hint="eastAsia" w:ascii="仿宋_GB2312" w:eastAsia="仿宋_GB2312" w:cs="仿宋_GB2312"/>
          <w:sz w:val="28"/>
          <w:szCs w:val="28"/>
        </w:rPr>
        <w:t>13.住房保障支出（类）住房改革支出（款）住房公积金（项）：反映行政事业单位按人力资源和社会保障部、财政部规定的基本工资和津贴补贴以及规定比例为职工缴纳的住房公积金。</w:t>
      </w:r>
    </w:p>
    <w:p w14:paraId="37DB902C">
      <w:pPr>
        <w:ind w:firstLine="420" w:firstLineChars="150"/>
        <w:rPr>
          <w:rFonts w:ascii="仿宋_GB2312" w:eastAsia="仿宋_GB2312" w:cs="仿宋_GB2312"/>
          <w:sz w:val="28"/>
          <w:szCs w:val="28"/>
        </w:rPr>
      </w:pPr>
      <w:r>
        <w:rPr>
          <w:rFonts w:hint="eastAsia" w:ascii="仿宋_GB2312" w:eastAsia="仿宋_GB2312" w:cs="仿宋_GB2312"/>
          <w:sz w:val="28"/>
          <w:szCs w:val="28"/>
        </w:rPr>
        <w:t>14.住房保障支出（类）住房改革支出（款）提租补贴（项）：反映按房改政策规定的标准，行政事业单位向职工（含离退休人员）发放的租金补助。</w:t>
      </w:r>
    </w:p>
    <w:p w14:paraId="0249C984">
      <w:pPr>
        <w:ind w:firstLine="420" w:firstLineChars="150"/>
        <w:rPr>
          <w:rFonts w:ascii="黑体" w:eastAsia="黑体"/>
          <w:sz w:val="32"/>
          <w:szCs w:val="32"/>
        </w:rPr>
      </w:pPr>
      <w:r>
        <w:rPr>
          <w:rFonts w:hint="eastAsia" w:ascii="仿宋_GB2312" w:eastAsia="仿宋_GB2312" w:cs="仿宋_GB2312"/>
          <w:sz w:val="28"/>
          <w:szCs w:val="28"/>
        </w:rPr>
        <w:t>15.住房保障支出（类）住房改革支出（款）购房补贴（项）：反映按房改政策规定的标准，行政事业单位向符合条件职工（含离退休人员）发放的用于购买住房的补贴。</w:t>
      </w:r>
    </w:p>
    <w:p w14:paraId="27BFC03E">
      <w:pPr>
        <w:ind w:firstLine="640" w:firstLineChars="200"/>
        <w:rPr>
          <w:rFonts w:ascii="黑体" w:eastAsia="黑体"/>
          <w:sz w:val="32"/>
          <w:szCs w:val="32"/>
        </w:rPr>
      </w:pPr>
    </w:p>
    <w:p w14:paraId="2E926953">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14:paraId="0DB36232">
      <w:pPr>
        <w:ind w:firstLine="560" w:firstLineChars="200"/>
        <w:rPr>
          <w:rFonts w:ascii="黑体" w:eastAsia="黑体"/>
          <w:sz w:val="28"/>
          <w:szCs w:val="28"/>
          <w:highlight w:val="yellow"/>
        </w:rPr>
      </w:pPr>
    </w:p>
    <w:p w14:paraId="0B056F6C">
      <w:pPr>
        <w:numPr>
          <w:ilvl w:val="0"/>
          <w:numId w:val="1"/>
        </w:numPr>
        <w:ind w:firstLine="560" w:firstLineChars="200"/>
        <w:rPr>
          <w:rFonts w:ascii="黑体" w:eastAsia="黑体"/>
          <w:sz w:val="28"/>
          <w:szCs w:val="28"/>
        </w:rPr>
      </w:pPr>
      <w:r>
        <w:rPr>
          <w:rFonts w:hint="eastAsia" w:ascii="黑体" w:eastAsia="黑体"/>
          <w:sz w:val="28"/>
          <w:szCs w:val="28"/>
        </w:rPr>
        <w:t>部门整体绩效评价报告（参考模板详见附件）</w:t>
      </w:r>
    </w:p>
    <w:p w14:paraId="693C3359">
      <w:pPr>
        <w:numPr>
          <w:ilvl w:val="0"/>
          <w:numId w:val="1"/>
        </w:numPr>
        <w:ind w:firstLine="560" w:firstLineChars="200"/>
        <w:rPr>
          <w:rFonts w:ascii="黑体" w:eastAsia="黑体"/>
          <w:sz w:val="28"/>
          <w:szCs w:val="28"/>
        </w:rPr>
      </w:pPr>
      <w:r>
        <w:rPr>
          <w:rFonts w:hint="eastAsia" w:ascii="黑体" w:eastAsia="黑体"/>
          <w:sz w:val="28"/>
          <w:szCs w:val="28"/>
        </w:rPr>
        <w:t>项目支出绩效评价报告（参考模板详见附件）</w:t>
      </w:r>
    </w:p>
    <w:p w14:paraId="010B8516">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（格式详见附件）</w:t>
      </w:r>
    </w:p>
    <w:p w14:paraId="34EDC5CB">
      <w:pPr>
        <w:numPr>
          <w:ilvl w:val="0"/>
          <w:numId w:val="1"/>
        </w:numPr>
        <w:ind w:firstLine="560" w:firstLineChars="200"/>
        <w:rPr>
          <w:rFonts w:ascii="黑体" w:eastAsia="黑体"/>
          <w:sz w:val="28"/>
          <w:szCs w:val="28"/>
        </w:rPr>
      </w:pPr>
      <w:r>
        <w:rPr>
          <w:rFonts w:hint="eastAsia" w:ascii="黑体" w:eastAsia="黑体"/>
          <w:sz w:val="28"/>
          <w:szCs w:val="28"/>
        </w:rPr>
        <w:t>中央对北京XX转移支付预算执行情况绩效自评报告（参考提纲详见附件）</w:t>
      </w:r>
    </w:p>
    <w:p w14:paraId="30D62713">
      <w:pPr>
        <w:spacing w:line="480" w:lineRule="exact"/>
        <w:ind w:firstLine="420"/>
        <w:rPr>
          <w:rFonts w:ascii="黑体" w:eastAsia="黑体"/>
          <w:sz w:val="28"/>
          <w:szCs w:val="28"/>
        </w:rPr>
      </w:pPr>
      <w:r>
        <w:rPr>
          <w:rFonts w:hint="eastAsia" w:ascii="黑体" w:eastAsia="黑体"/>
          <w:sz w:val="28"/>
          <w:szCs w:val="28"/>
        </w:rPr>
        <w:t xml:space="preserve"> （注：有中央转移支付的一级预算部门，公开“一、二、三、四”；没有中央转移支付的一级预算部门，公开“一、二、三”；二级预算单位仅公开“三”。）</w:t>
      </w:r>
    </w:p>
    <w:p w14:paraId="5ED926B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1ADD8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13118FC4">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C05643">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4BB2AE07">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EBC200">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8B9FEA1">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609"/>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66D39"/>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227D"/>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2AF4"/>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4205"/>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96F1E"/>
    <w:rsid w:val="008A6A18"/>
    <w:rsid w:val="008B033F"/>
    <w:rsid w:val="008B4003"/>
    <w:rsid w:val="008B7443"/>
    <w:rsid w:val="008C179E"/>
    <w:rsid w:val="008C2379"/>
    <w:rsid w:val="008C4FF7"/>
    <w:rsid w:val="008C5C4C"/>
    <w:rsid w:val="008C7056"/>
    <w:rsid w:val="008C706D"/>
    <w:rsid w:val="008D1AB3"/>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4487B"/>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2E71"/>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96E58"/>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0FF57DC"/>
    <w:rsid w:val="02F120AB"/>
    <w:rsid w:val="032B5196"/>
    <w:rsid w:val="04C3537C"/>
    <w:rsid w:val="079004AC"/>
    <w:rsid w:val="0BA148CA"/>
    <w:rsid w:val="0C1165C4"/>
    <w:rsid w:val="0D6D544B"/>
    <w:rsid w:val="0DD136FE"/>
    <w:rsid w:val="0F8E2C57"/>
    <w:rsid w:val="1059665E"/>
    <w:rsid w:val="10AC13BA"/>
    <w:rsid w:val="145A6C1B"/>
    <w:rsid w:val="14B73493"/>
    <w:rsid w:val="15712591"/>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8B2618"/>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字符"/>
    <w:link w:val="7"/>
    <w:qFormat/>
    <w:uiPriority w:val="0"/>
    <w:rPr>
      <w:rFonts w:eastAsia="宋体"/>
      <w:kern w:val="2"/>
      <w:sz w:val="18"/>
      <w:szCs w:val="18"/>
      <w:lang w:val="en-US" w:eastAsia="zh-CN" w:bidi="ar-SA"/>
    </w:rPr>
  </w:style>
  <w:style w:type="character" w:customStyle="1" w:styleId="15">
    <w:name w:val="页眉 字符"/>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customStyle="1" w:styleId="20">
    <w:name w:val="msolistparagraph"/>
    <w:basedOn w:val="1"/>
    <w:qFormat/>
    <w:uiPriority w:val="0"/>
    <w:pPr>
      <w:ind w:left="720"/>
      <w:contextualSpacing/>
    </w:pPr>
    <w:rPr>
      <w:rFonts w:hint="eastAsia" w:ascii="等线" w:hAnsi="等线" w:eastAsia="等线"/>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1202.97</c:v>
                </c:pt>
                <c:pt idx="1">
                  <c:v>0</c:v>
                </c:pt>
                <c:pt idx="2">
                  <c:v>0</c:v>
                </c:pt>
                <c:pt idx="3">
                  <c:v>92.79</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06015519-b3c6-4b8f-af75-515f77784f46}"/>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656.22</c:v>
                </c:pt>
                <c:pt idx="1">
                  <c:v>546.75</c:v>
                </c:pt>
                <c:pt idx="2">
                  <c:v>0</c:v>
                </c:pt>
                <c:pt idx="3">
                  <c:v>1.66</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25d85f01-3e6c-47b7-b4a7-995e1e876487}"/>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1151</Words>
  <Characters>1255</Characters>
  <Lines>31</Lines>
  <Paragraphs>8</Paragraphs>
  <TotalTime>21</TotalTime>
  <ScaleCrop>false</ScaleCrop>
  <LinksUpToDate>false</LinksUpToDate>
  <CharactersWithSpaces>1272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dann</cp:lastModifiedBy>
  <cp:lastPrinted>2020-08-07T11:39:00Z</cp:lastPrinted>
  <dcterms:modified xsi:type="dcterms:W3CDTF">2025-08-27T08:12:23Z</dcterms:modified>
  <dc:title>北京市财政局关于做好向市人大常委会报送2015年度市级部门决算（草案）</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A4D68C6940724A3BB0BC769A76DFF54F_13</vt:lpwstr>
  </property>
  <property fmtid="{D5CDD505-2E9C-101B-9397-08002B2CF9AE}" pid="4" name="KSOTemplateDocerSaveRecord">
    <vt:lpwstr>eyJoZGlkIjoiNDYxNjg1ODZkZjBhMmYzMjQ1ZjY5MDIyNjEzNWJmOTciLCJ1c2VySWQiOiI3NTM3Nzg1NDkifQ==</vt:lpwstr>
  </property>
</Properties>
</file>