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A336A">
      <w:pPr>
        <w:jc w:val="center"/>
        <w:rPr>
          <w:rFonts w:ascii="仿宋_GB2312" w:eastAsia="仿宋_GB2312"/>
          <w:b/>
          <w:sz w:val="32"/>
          <w:szCs w:val="32"/>
        </w:rPr>
      </w:pPr>
    </w:p>
    <w:p w14:paraId="4FE50AC1">
      <w:pPr>
        <w:jc w:val="center"/>
        <w:rPr>
          <w:rFonts w:ascii="黑体" w:eastAsia="黑体"/>
          <w:sz w:val="72"/>
          <w:szCs w:val="72"/>
        </w:rPr>
      </w:pPr>
    </w:p>
    <w:p w14:paraId="4CF75C11">
      <w:pPr>
        <w:jc w:val="center"/>
        <w:rPr>
          <w:rFonts w:ascii="黑体" w:eastAsia="黑体"/>
          <w:sz w:val="72"/>
          <w:szCs w:val="72"/>
        </w:rPr>
      </w:pPr>
    </w:p>
    <w:p w14:paraId="2F2F1FE6">
      <w:pPr>
        <w:jc w:val="center"/>
        <w:rPr>
          <w:rFonts w:ascii="黑体" w:eastAsia="黑体"/>
          <w:sz w:val="72"/>
          <w:szCs w:val="72"/>
        </w:rPr>
      </w:pPr>
    </w:p>
    <w:p w14:paraId="07596957">
      <w:pPr>
        <w:jc w:val="center"/>
        <w:rPr>
          <w:rFonts w:ascii="黑体" w:eastAsia="黑体"/>
          <w:sz w:val="72"/>
          <w:szCs w:val="72"/>
        </w:rPr>
      </w:pPr>
    </w:p>
    <w:p w14:paraId="0643CEFC">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03658254">
      <w:pPr>
        <w:jc w:val="center"/>
        <w:rPr>
          <w:rFonts w:ascii="黑体" w:eastAsia="黑体"/>
          <w:sz w:val="52"/>
          <w:szCs w:val="52"/>
        </w:rPr>
      </w:pPr>
    </w:p>
    <w:p w14:paraId="01E16531">
      <w:pPr>
        <w:jc w:val="center"/>
        <w:rPr>
          <w:rFonts w:ascii="黑体" w:eastAsia="黑体"/>
          <w:sz w:val="52"/>
          <w:szCs w:val="52"/>
        </w:rPr>
      </w:pPr>
    </w:p>
    <w:p w14:paraId="0AADCC5C">
      <w:pPr>
        <w:jc w:val="center"/>
        <w:rPr>
          <w:rFonts w:ascii="黑体" w:eastAsia="黑体"/>
          <w:sz w:val="52"/>
          <w:szCs w:val="52"/>
        </w:rPr>
      </w:pPr>
    </w:p>
    <w:p w14:paraId="44DE5F18">
      <w:pPr>
        <w:jc w:val="center"/>
        <w:rPr>
          <w:rFonts w:ascii="黑体" w:eastAsia="黑体"/>
          <w:sz w:val="52"/>
          <w:szCs w:val="52"/>
        </w:rPr>
      </w:pPr>
    </w:p>
    <w:p w14:paraId="59EF37A2">
      <w:pPr>
        <w:jc w:val="center"/>
        <w:rPr>
          <w:rFonts w:ascii="黑体" w:eastAsia="黑体"/>
          <w:sz w:val="32"/>
          <w:szCs w:val="32"/>
        </w:rPr>
      </w:pPr>
    </w:p>
    <w:p w14:paraId="077F216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6C61DD5">
      <w:pPr>
        <w:spacing w:line="500" w:lineRule="exact"/>
        <w:ind w:firstLine="645"/>
        <w:jc w:val="center"/>
        <w:rPr>
          <w:rFonts w:ascii="宋体" w:hAnsi="宋体" w:cs="宋体"/>
          <w:b/>
          <w:bCs/>
          <w:kern w:val="0"/>
          <w:sz w:val="36"/>
          <w:szCs w:val="36"/>
        </w:rPr>
      </w:pPr>
    </w:p>
    <w:p w14:paraId="620A834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0024CB55">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EECDC6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439A3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E5671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2FC8C4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193B3B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33554A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F258F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6FF732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17F446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18085E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85AE7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7FF091DA">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4C19F86C">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37A9736B">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270DE67F">
      <w:pPr>
        <w:tabs>
          <w:tab w:val="center" w:pos="6979"/>
        </w:tabs>
        <w:spacing w:before="156" w:beforeLines="50" w:after="156" w:afterLines="50"/>
        <w:jc w:val="center"/>
        <w:rPr>
          <w:rFonts w:ascii="宋体" w:hAnsi="宋体" w:cs="宋体"/>
          <w:b/>
          <w:bCs/>
          <w:spacing w:val="40"/>
          <w:kern w:val="0"/>
          <w:sz w:val="32"/>
          <w:szCs w:val="32"/>
        </w:rPr>
      </w:pPr>
    </w:p>
    <w:p w14:paraId="6E4DC239">
      <w:pPr>
        <w:tabs>
          <w:tab w:val="center" w:pos="6979"/>
        </w:tabs>
        <w:spacing w:before="156" w:beforeLines="50" w:after="156" w:afterLines="50"/>
        <w:jc w:val="center"/>
        <w:rPr>
          <w:rFonts w:ascii="宋体" w:hAnsi="宋体" w:cs="宋体"/>
          <w:b/>
          <w:bCs/>
          <w:spacing w:val="40"/>
          <w:kern w:val="0"/>
          <w:sz w:val="32"/>
          <w:szCs w:val="32"/>
        </w:rPr>
      </w:pPr>
    </w:p>
    <w:p w14:paraId="1A5E4F12">
      <w:pPr>
        <w:tabs>
          <w:tab w:val="center" w:pos="6979"/>
        </w:tabs>
        <w:spacing w:before="156" w:beforeLines="50" w:after="156" w:afterLines="50"/>
        <w:jc w:val="center"/>
        <w:rPr>
          <w:rFonts w:ascii="宋体" w:hAnsi="宋体" w:cs="宋体"/>
          <w:b/>
          <w:bCs/>
          <w:spacing w:val="40"/>
          <w:kern w:val="0"/>
          <w:sz w:val="32"/>
          <w:szCs w:val="32"/>
        </w:rPr>
      </w:pPr>
    </w:p>
    <w:p w14:paraId="2C193D5A">
      <w:pPr>
        <w:tabs>
          <w:tab w:val="center" w:pos="6979"/>
        </w:tabs>
        <w:spacing w:before="156" w:beforeLines="50" w:after="156" w:afterLines="50"/>
        <w:jc w:val="center"/>
        <w:rPr>
          <w:rFonts w:ascii="宋体" w:hAnsi="宋体" w:cs="宋体"/>
          <w:b/>
          <w:bCs/>
          <w:spacing w:val="40"/>
          <w:kern w:val="0"/>
          <w:sz w:val="32"/>
          <w:szCs w:val="32"/>
        </w:rPr>
      </w:pPr>
    </w:p>
    <w:p w14:paraId="0B07B159">
      <w:pPr>
        <w:tabs>
          <w:tab w:val="center" w:pos="6979"/>
        </w:tabs>
        <w:spacing w:before="156" w:beforeLines="50" w:after="156" w:afterLines="50"/>
        <w:jc w:val="center"/>
        <w:rPr>
          <w:rFonts w:ascii="宋体" w:hAnsi="宋体" w:cs="宋体"/>
          <w:b/>
          <w:bCs/>
          <w:spacing w:val="40"/>
          <w:kern w:val="0"/>
          <w:sz w:val="32"/>
          <w:szCs w:val="32"/>
        </w:rPr>
      </w:pPr>
    </w:p>
    <w:p w14:paraId="1A5CC756">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E4364A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DB54E2A">
      <w:pPr>
        <w:tabs>
          <w:tab w:val="center" w:pos="6979"/>
        </w:tabs>
        <w:spacing w:before="156" w:beforeLines="50" w:after="156" w:afterLines="50"/>
        <w:jc w:val="center"/>
        <w:rPr>
          <w:rFonts w:hint="eastAsia"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61CAEACA">
      <w:pPr>
        <w:pStyle w:val="2"/>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rPr>
      </w:pPr>
      <w:r>
        <w:rPr>
          <w:rFonts w:hint="eastAsia"/>
          <w:sz w:val="28"/>
          <w:szCs w:val="28"/>
        </w:rPr>
        <w:t>一、部门/单位基本情况</w:t>
      </w:r>
    </w:p>
    <w:p w14:paraId="6A6E6433">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本单位为北京市西城区教育委员会所属二级预算单位，单位性质为财政补助事业单位，独立编制机构数1个，独立预算单位数1个。主要职责：实施小学义务教育，促进基础教育发展，不断提升办学水平与育人质量。</w:t>
      </w:r>
    </w:p>
    <w:p w14:paraId="2346F368">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黑体" w:eastAsia="黑体"/>
          <w:b/>
          <w:sz w:val="28"/>
          <w:szCs w:val="28"/>
        </w:rPr>
      </w:pPr>
      <w:r>
        <w:rPr>
          <w:rFonts w:hint="eastAsia" w:ascii="黑体" w:eastAsia="黑体"/>
          <w:b/>
          <w:sz w:val="28"/>
          <w:szCs w:val="28"/>
        </w:rPr>
        <w:t>二、收入支出决算总体情况说明</w:t>
      </w:r>
    </w:p>
    <w:p w14:paraId="270DEFB0">
      <w:pPr>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3280.02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89.36万元，增长2.8%。</w:t>
      </w:r>
    </w:p>
    <w:p w14:paraId="2E70FA72">
      <w:pPr>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F1E6009">
      <w:pPr>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3280.02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89.36万元，增长2.8%。</w:t>
      </w:r>
    </w:p>
    <w:p w14:paraId="0FAC4CE7">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pPr>
      <w:r>
        <w:rPr>
          <w:rFonts w:hint="eastAsia" w:ascii="仿宋_GB2312" w:eastAsia="仿宋_GB2312"/>
          <w:sz w:val="28"/>
          <w:szCs w:val="28"/>
        </w:rPr>
        <w:t>1.财政拨款收入</w:t>
      </w:r>
      <w:r>
        <w:rPr>
          <w:rFonts w:ascii="仿宋_GB2312" w:eastAsia="仿宋_GB2312"/>
          <w:sz w:val="28"/>
          <w:szCs w:val="28"/>
        </w:rPr>
        <w:t>3280.02</w:t>
      </w:r>
      <w:r>
        <w:rPr>
          <w:rFonts w:hint="eastAsia" w:ascii="仿宋_GB2312" w:eastAsia="仿宋_GB2312"/>
          <w:sz w:val="28"/>
          <w:szCs w:val="28"/>
        </w:rPr>
        <w:t>万元，占收入合计的100%。其中：一般公共预算财政拨款收入</w:t>
      </w:r>
      <w:r>
        <w:rPr>
          <w:rFonts w:ascii="仿宋_GB2312" w:eastAsia="仿宋_GB2312"/>
          <w:sz w:val="28"/>
          <w:szCs w:val="28"/>
        </w:rPr>
        <w:t>3280.02</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4992C239">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6B1D6910">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8AC6C0E">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CF9BD99">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752FB539">
      <w:pPr>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30DBC546">
      <w:pPr>
        <w:pStyle w:val="2"/>
        <w:jc w:val="center"/>
      </w:pPr>
      <w:r>
        <w:rPr>
          <w:rFonts w:hint="eastAsia" w:ascii="仿宋_GB2312" w:eastAsia="仿宋_GB2312"/>
          <w:color w:val="000000"/>
          <w:sz w:val="32"/>
        </w:rPr>
        <w:t>图1：收入决算</w:t>
      </w:r>
    </w:p>
    <w:p w14:paraId="552C960C">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18FC46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4076BC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3280.02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89.36万元，增长2.8%，其中：基本支出</w:t>
      </w:r>
      <w:r>
        <w:rPr>
          <w:rFonts w:ascii="仿宋_GB2312" w:eastAsia="仿宋_GB2312"/>
          <w:sz w:val="28"/>
          <w:szCs w:val="28"/>
        </w:rPr>
        <w:t>2972.88</w:t>
      </w:r>
      <w:r>
        <w:rPr>
          <w:rFonts w:hint="eastAsia" w:ascii="仿宋_GB2312" w:eastAsia="仿宋_GB2312"/>
          <w:sz w:val="28"/>
          <w:szCs w:val="28"/>
        </w:rPr>
        <w:t>万元，占支出合计的90.64%；项目支出</w:t>
      </w:r>
      <w:r>
        <w:rPr>
          <w:rFonts w:ascii="仿宋_GB2312" w:eastAsia="仿宋_GB2312"/>
          <w:sz w:val="28"/>
          <w:szCs w:val="28"/>
        </w:rPr>
        <w:t>307.14</w:t>
      </w:r>
      <w:r>
        <w:rPr>
          <w:rFonts w:hint="eastAsia" w:ascii="仿宋_GB2312" w:eastAsia="仿宋_GB2312"/>
          <w:sz w:val="28"/>
          <w:szCs w:val="28"/>
        </w:rPr>
        <w:t>万元，占支出合计的9.36%;上缴上级支出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AC98DE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595511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F1AD3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57C2FEA">
      <w:pPr>
        <w:tabs>
          <w:tab w:val="center" w:pos="6979"/>
        </w:tabs>
        <w:spacing w:line="580" w:lineRule="exact"/>
        <w:ind w:firstLine="570"/>
        <w:rPr>
          <w:rFonts w:ascii="黑体" w:eastAsia="黑体"/>
          <w:b/>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3280.02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89.36万元，增长2.8%。</w:t>
      </w:r>
      <w:r>
        <w:rPr>
          <w:rFonts w:hint="eastAsia" w:ascii="仿宋_GB2312" w:eastAsia="仿宋_GB2312"/>
          <w:sz w:val="28"/>
          <w:szCs w:val="28"/>
        </w:rPr>
        <w:t>主要原因：大额专项增加</w:t>
      </w:r>
      <w:r>
        <w:rPr>
          <w:rFonts w:hint="eastAsia" w:asciiTheme="minorEastAsia" w:hAnsiTheme="minorEastAsia" w:eastAsiaTheme="minorEastAsia"/>
          <w:sz w:val="28"/>
          <w:szCs w:val="28"/>
        </w:rPr>
        <w:t>；根据学校教学需求，</w:t>
      </w:r>
      <w:r>
        <w:rPr>
          <w:rFonts w:hint="eastAsia" w:ascii="仿宋" w:hAnsi="仿宋" w:eastAsia="仿宋"/>
          <w:sz w:val="28"/>
          <w:szCs w:val="28"/>
        </w:rPr>
        <w:t>新增校园闭路电视直播转播系统；学生计算机教师，设备老旧，满足不了信息技术教学需求，且已到达报废年限，故更新小学计算机教室。</w:t>
      </w:r>
      <w:r>
        <w:rPr>
          <w:rFonts w:ascii="仿宋" w:hAnsi="仿宋" w:eastAsia="仿宋"/>
          <w:b/>
          <w:sz w:val="28"/>
          <w:szCs w:val="28"/>
        </w:rPr>
        <w:t xml:space="preserve"> </w:t>
      </w:r>
    </w:p>
    <w:p w14:paraId="5BDD7A6D">
      <w:pPr>
        <w:tabs>
          <w:tab w:val="center" w:pos="6979"/>
        </w:tabs>
        <w:spacing w:line="580" w:lineRule="exact"/>
        <w:ind w:firstLine="548" w:firstLineChars="196"/>
        <w:rPr>
          <w:rFonts w:ascii="黑体" w:eastAsia="黑体"/>
          <w:b/>
          <w:sz w:val="28"/>
          <w:szCs w:val="28"/>
        </w:rPr>
      </w:pPr>
      <w:bookmarkStart w:id="0" w:name="_GoBack"/>
      <w:bookmarkEnd w:id="0"/>
    </w:p>
    <w:p w14:paraId="4D0F78CF">
      <w:pPr>
        <w:tabs>
          <w:tab w:val="center" w:pos="6979"/>
        </w:tabs>
        <w:spacing w:line="580" w:lineRule="exact"/>
        <w:ind w:firstLine="570"/>
      </w:pPr>
    </w:p>
    <w:p w14:paraId="476A395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CE328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1EF6A7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3280.02</w:t>
      </w:r>
      <w:r>
        <w:rPr>
          <w:rFonts w:hint="eastAsia" w:ascii="仿宋_GB2312" w:eastAsia="仿宋_GB2312"/>
          <w:sz w:val="28"/>
          <w:szCs w:val="28"/>
        </w:rPr>
        <w:t>万元，主要用于以下方面（按大类）：</w:t>
      </w:r>
    </w:p>
    <w:tbl>
      <w:tblPr>
        <w:tblStyle w:val="10"/>
        <w:tblpPr w:leftFromText="180" w:rightFromText="180" w:vertAnchor="text" w:horzAnchor="page" w:tblpX="1744" w:tblpY="-160"/>
        <w:tblOverlap w:val="never"/>
        <w:tblW w:w="4584" w:type="pct"/>
        <w:tblInd w:w="0" w:type="dxa"/>
        <w:tblLayout w:type="autofit"/>
        <w:tblCellMar>
          <w:top w:w="0" w:type="dxa"/>
          <w:left w:w="108" w:type="dxa"/>
          <w:bottom w:w="0" w:type="dxa"/>
          <w:right w:w="108" w:type="dxa"/>
        </w:tblCellMar>
      </w:tblPr>
      <w:tblGrid>
        <w:gridCol w:w="4252"/>
        <w:gridCol w:w="2828"/>
        <w:gridCol w:w="1093"/>
        <w:gridCol w:w="3859"/>
        <w:gridCol w:w="1524"/>
      </w:tblGrid>
      <w:tr w14:paraId="2039BB13">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42957B73">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教育支出</w:t>
            </w:r>
          </w:p>
        </w:tc>
        <w:tc>
          <w:tcPr>
            <w:tcW w:w="1043" w:type="pct"/>
            <w:tcBorders>
              <w:top w:val="nil"/>
              <w:left w:val="nil"/>
              <w:bottom w:val="nil"/>
              <w:right w:val="nil"/>
            </w:tcBorders>
            <w:shd w:val="clear" w:color="auto" w:fill="auto"/>
            <w:noWrap/>
            <w:vAlign w:val="center"/>
          </w:tcPr>
          <w:p w14:paraId="75BA731D">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2227.24</w:t>
            </w:r>
          </w:p>
        </w:tc>
        <w:tc>
          <w:tcPr>
            <w:tcW w:w="403" w:type="pct"/>
            <w:tcBorders>
              <w:top w:val="nil"/>
              <w:left w:val="nil"/>
              <w:bottom w:val="nil"/>
              <w:right w:val="nil"/>
            </w:tcBorders>
            <w:shd w:val="clear" w:color="auto" w:fill="auto"/>
            <w:noWrap/>
            <w:vAlign w:val="center"/>
          </w:tcPr>
          <w:p w14:paraId="68CEB3B1">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728C48CA">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2A751D09">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67.9%</w:t>
            </w:r>
          </w:p>
        </w:tc>
      </w:tr>
      <w:tr w14:paraId="1B0F5A86">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00385F8B">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社会保障和就业支出</w:t>
            </w:r>
          </w:p>
        </w:tc>
        <w:tc>
          <w:tcPr>
            <w:tcW w:w="1043" w:type="pct"/>
            <w:tcBorders>
              <w:top w:val="nil"/>
              <w:left w:val="nil"/>
              <w:bottom w:val="nil"/>
              <w:right w:val="nil"/>
            </w:tcBorders>
            <w:shd w:val="clear" w:color="auto" w:fill="auto"/>
            <w:noWrap/>
            <w:vAlign w:val="center"/>
          </w:tcPr>
          <w:p w14:paraId="35DE737D">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447.10</w:t>
            </w:r>
          </w:p>
        </w:tc>
        <w:tc>
          <w:tcPr>
            <w:tcW w:w="403" w:type="pct"/>
            <w:tcBorders>
              <w:top w:val="nil"/>
              <w:left w:val="nil"/>
              <w:bottom w:val="nil"/>
              <w:right w:val="nil"/>
            </w:tcBorders>
            <w:shd w:val="clear" w:color="auto" w:fill="auto"/>
            <w:noWrap/>
            <w:vAlign w:val="center"/>
          </w:tcPr>
          <w:p w14:paraId="2F52D871">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759D52B4">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2D022899">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13.63%</w:t>
            </w:r>
          </w:p>
        </w:tc>
      </w:tr>
      <w:tr w14:paraId="7AEE058E">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14E40B94">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卫生健康支出</w:t>
            </w:r>
          </w:p>
        </w:tc>
        <w:tc>
          <w:tcPr>
            <w:tcW w:w="1043" w:type="pct"/>
            <w:tcBorders>
              <w:top w:val="nil"/>
              <w:left w:val="nil"/>
              <w:bottom w:val="nil"/>
              <w:right w:val="nil"/>
            </w:tcBorders>
            <w:shd w:val="clear" w:color="auto" w:fill="auto"/>
            <w:noWrap/>
            <w:vAlign w:val="center"/>
          </w:tcPr>
          <w:p w14:paraId="409B4F03">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217.4</w:t>
            </w:r>
            <w:r>
              <w:rPr>
                <w:rFonts w:ascii="仿宋" w:hAnsi="仿宋" w:eastAsia="仿宋" w:cs="仿宋"/>
                <w:color w:val="000000"/>
                <w:kern w:val="0"/>
                <w:sz w:val="28"/>
                <w:szCs w:val="28"/>
                <w:lang w:bidi="ar"/>
              </w:rPr>
              <w:t>9</w:t>
            </w:r>
          </w:p>
        </w:tc>
        <w:tc>
          <w:tcPr>
            <w:tcW w:w="403" w:type="pct"/>
            <w:tcBorders>
              <w:top w:val="nil"/>
              <w:left w:val="nil"/>
              <w:bottom w:val="nil"/>
              <w:right w:val="nil"/>
            </w:tcBorders>
            <w:shd w:val="clear" w:color="auto" w:fill="auto"/>
            <w:noWrap/>
            <w:vAlign w:val="center"/>
          </w:tcPr>
          <w:p w14:paraId="66059ECA">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427EC42B">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31EAA6F8">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6.63%</w:t>
            </w:r>
          </w:p>
        </w:tc>
      </w:tr>
      <w:tr w14:paraId="5633EB9A">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2BE1BCD0">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住房保障支出</w:t>
            </w:r>
          </w:p>
        </w:tc>
        <w:tc>
          <w:tcPr>
            <w:tcW w:w="1043" w:type="pct"/>
            <w:tcBorders>
              <w:top w:val="nil"/>
              <w:left w:val="nil"/>
              <w:bottom w:val="nil"/>
              <w:right w:val="nil"/>
            </w:tcBorders>
            <w:shd w:val="clear" w:color="auto" w:fill="auto"/>
            <w:noWrap/>
            <w:vAlign w:val="center"/>
          </w:tcPr>
          <w:p w14:paraId="606A3DED">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388.19</w:t>
            </w:r>
          </w:p>
        </w:tc>
        <w:tc>
          <w:tcPr>
            <w:tcW w:w="403" w:type="pct"/>
            <w:tcBorders>
              <w:top w:val="nil"/>
              <w:left w:val="nil"/>
              <w:bottom w:val="nil"/>
              <w:right w:val="nil"/>
            </w:tcBorders>
            <w:shd w:val="clear" w:color="auto" w:fill="auto"/>
            <w:noWrap/>
            <w:vAlign w:val="center"/>
          </w:tcPr>
          <w:p w14:paraId="763F9C39">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4BD2E826">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174F1E5F">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11.84%</w:t>
            </w:r>
          </w:p>
        </w:tc>
      </w:tr>
      <w:tr w14:paraId="3806141A">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5CC25CC1">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文化旅游体育与传媒支出</w:t>
            </w:r>
          </w:p>
        </w:tc>
        <w:tc>
          <w:tcPr>
            <w:tcW w:w="1043" w:type="pct"/>
            <w:tcBorders>
              <w:top w:val="nil"/>
              <w:left w:val="nil"/>
              <w:bottom w:val="nil"/>
              <w:right w:val="nil"/>
            </w:tcBorders>
            <w:shd w:val="clear" w:color="auto" w:fill="auto"/>
            <w:noWrap/>
            <w:vAlign w:val="center"/>
          </w:tcPr>
          <w:p w14:paraId="19D12B49">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0.00 </w:t>
            </w:r>
          </w:p>
        </w:tc>
        <w:tc>
          <w:tcPr>
            <w:tcW w:w="403" w:type="pct"/>
            <w:tcBorders>
              <w:top w:val="nil"/>
              <w:left w:val="nil"/>
              <w:bottom w:val="nil"/>
              <w:right w:val="nil"/>
            </w:tcBorders>
            <w:shd w:val="clear" w:color="auto" w:fill="auto"/>
            <w:noWrap/>
            <w:vAlign w:val="center"/>
          </w:tcPr>
          <w:p w14:paraId="1E4BFD98">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4B5EAC85">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3531C74A">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0.00%</w:t>
            </w:r>
          </w:p>
        </w:tc>
      </w:tr>
      <w:tr w14:paraId="4718C72E">
        <w:tblPrEx>
          <w:tblCellMar>
            <w:top w:w="0" w:type="dxa"/>
            <w:left w:w="108" w:type="dxa"/>
            <w:bottom w:w="0" w:type="dxa"/>
            <w:right w:w="108" w:type="dxa"/>
          </w:tblCellMar>
        </w:tblPrEx>
        <w:trPr>
          <w:trHeight w:val="360" w:hRule="atLeast"/>
        </w:trPr>
        <w:tc>
          <w:tcPr>
            <w:tcW w:w="1568" w:type="pct"/>
            <w:tcBorders>
              <w:top w:val="nil"/>
              <w:left w:val="nil"/>
              <w:bottom w:val="nil"/>
              <w:right w:val="nil"/>
            </w:tcBorders>
            <w:shd w:val="clear" w:color="auto" w:fill="auto"/>
            <w:noWrap/>
            <w:vAlign w:val="center"/>
          </w:tcPr>
          <w:p w14:paraId="2056CFAC">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城乡社区支出</w:t>
            </w:r>
          </w:p>
        </w:tc>
        <w:tc>
          <w:tcPr>
            <w:tcW w:w="1043" w:type="pct"/>
            <w:tcBorders>
              <w:top w:val="nil"/>
              <w:left w:val="nil"/>
              <w:bottom w:val="nil"/>
              <w:right w:val="nil"/>
            </w:tcBorders>
            <w:shd w:val="clear" w:color="auto" w:fill="auto"/>
            <w:noWrap/>
            <w:vAlign w:val="center"/>
          </w:tcPr>
          <w:p w14:paraId="44FDB744">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0.00 </w:t>
            </w:r>
          </w:p>
        </w:tc>
        <w:tc>
          <w:tcPr>
            <w:tcW w:w="403" w:type="pct"/>
            <w:tcBorders>
              <w:top w:val="nil"/>
              <w:left w:val="nil"/>
              <w:bottom w:val="nil"/>
              <w:right w:val="nil"/>
            </w:tcBorders>
            <w:shd w:val="clear" w:color="auto" w:fill="auto"/>
            <w:noWrap/>
            <w:vAlign w:val="center"/>
          </w:tcPr>
          <w:p w14:paraId="1D0C2CBF">
            <w:pPr>
              <w:widowControl/>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万元，</w:t>
            </w:r>
          </w:p>
        </w:tc>
        <w:tc>
          <w:tcPr>
            <w:tcW w:w="1423" w:type="pct"/>
            <w:tcBorders>
              <w:top w:val="nil"/>
              <w:left w:val="nil"/>
              <w:bottom w:val="nil"/>
              <w:right w:val="nil"/>
            </w:tcBorders>
            <w:shd w:val="clear" w:color="auto" w:fill="auto"/>
            <w:noWrap/>
            <w:vAlign w:val="center"/>
          </w:tcPr>
          <w:p w14:paraId="3BFDA761">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占本年财政拨款支出</w:t>
            </w:r>
          </w:p>
        </w:tc>
        <w:tc>
          <w:tcPr>
            <w:tcW w:w="562" w:type="pct"/>
            <w:tcBorders>
              <w:top w:val="nil"/>
              <w:left w:val="nil"/>
              <w:bottom w:val="nil"/>
              <w:right w:val="nil"/>
            </w:tcBorders>
            <w:shd w:val="clear" w:color="auto" w:fill="auto"/>
            <w:noWrap/>
            <w:vAlign w:val="center"/>
          </w:tcPr>
          <w:p w14:paraId="49EB1D54">
            <w:pPr>
              <w:widowControl/>
              <w:jc w:val="righ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0.00%</w:t>
            </w:r>
          </w:p>
        </w:tc>
      </w:tr>
    </w:tbl>
    <w:p w14:paraId="08273A3A">
      <w:pPr>
        <w:pStyle w:val="2"/>
      </w:pPr>
    </w:p>
    <w:p w14:paraId="0A57EE39">
      <w:pPr>
        <w:pStyle w:val="2"/>
      </w:pPr>
    </w:p>
    <w:p w14:paraId="656AAE7F">
      <w:pPr>
        <w:pStyle w:val="2"/>
      </w:pPr>
    </w:p>
    <w:p w14:paraId="0F7F811F"/>
    <w:p w14:paraId="0BEE6F81">
      <w:pPr>
        <w:numPr>
          <w:ilvl w:val="0"/>
          <w:numId w:val="0"/>
        </w:numPr>
        <w:autoSpaceDE w:val="0"/>
        <w:autoSpaceDN w:val="0"/>
        <w:adjustRightInd w:val="0"/>
        <w:spacing w:line="580" w:lineRule="exact"/>
        <w:ind w:firstLine="280" w:firstLineChars="100"/>
        <w:jc w:val="left"/>
        <w:rPr>
          <w:rFonts w:hint="eastAsia" w:ascii="仿宋_GB2312" w:eastAsia="仿宋_GB2312"/>
          <w:sz w:val="28"/>
          <w:szCs w:val="28"/>
        </w:rPr>
      </w:pPr>
    </w:p>
    <w:p w14:paraId="5D5FC7F4">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p>
    <w:p w14:paraId="525739C8">
      <w:pPr>
        <w:numPr>
          <w:ilvl w:val="0"/>
          <w:numId w:val="0"/>
        </w:numPr>
        <w:autoSpaceDE w:val="0"/>
        <w:autoSpaceDN w:val="0"/>
        <w:adjustRightInd w:val="0"/>
        <w:spacing w:line="580" w:lineRule="exact"/>
        <w:ind w:firstLine="560" w:firstLineChars="200"/>
        <w:jc w:val="left"/>
        <w:rPr>
          <w:rFonts w:hint="eastAsia" w:eastAsia="仿宋_GB2312"/>
          <w:highlight w:val="none"/>
          <w:lang w:eastAsia="zh-CN"/>
        </w:rPr>
      </w:pPr>
      <w:r>
        <w:rPr>
          <w:rFonts w:hint="eastAsia" w:ascii="仿宋_GB2312" w:eastAsia="仿宋_GB2312"/>
          <w:sz w:val="28"/>
          <w:szCs w:val="28"/>
        </w:rPr>
        <w:t>（</w:t>
      </w:r>
      <w:r>
        <w:rPr>
          <w:rFonts w:hint="eastAsia" w:ascii="仿宋_GB2312" w:eastAsia="仿宋_GB2312"/>
          <w:sz w:val="28"/>
          <w:szCs w:val="28"/>
          <w:lang w:val="en-US" w:eastAsia="zh-CN"/>
        </w:rPr>
        <w:t>二</w:t>
      </w:r>
      <w:r>
        <w:rPr>
          <w:rFonts w:hint="eastAsia" w:ascii="仿宋_GB2312" w:eastAsia="仿宋_GB2312"/>
          <w:sz w:val="28"/>
          <w:szCs w:val="28"/>
        </w:rPr>
        <w:t>）</w:t>
      </w:r>
      <w:r>
        <w:rPr>
          <w:rFonts w:hint="eastAsia" w:ascii="仿宋_GB2312" w:eastAsia="仿宋_GB2312"/>
          <w:sz w:val="28"/>
          <w:szCs w:val="28"/>
          <w:highlight w:val="none"/>
        </w:rPr>
        <w:t>一般公共预算财政拨款支出决算具体情况</w:t>
      </w:r>
    </w:p>
    <w:p w14:paraId="7EEA6777">
      <w:pPr>
        <w:spacing w:line="580" w:lineRule="exact"/>
        <w:ind w:firstLine="560" w:firstLineChars="200"/>
        <w:rPr>
          <w:rFonts w:hint="default" w:ascii="仿宋" w:hAnsi="仿宋" w:eastAsia="仿宋" w:cs="仿宋"/>
          <w:color w:val="000000"/>
          <w:kern w:val="0"/>
          <w:sz w:val="28"/>
          <w:szCs w:val="28"/>
          <w:lang w:val="en-US" w:eastAsia="zh-CN" w:bidi="ar"/>
        </w:rPr>
      </w:pPr>
      <w:r>
        <w:rPr>
          <w:rFonts w:hint="eastAsia" w:ascii="仿宋_GB2312" w:eastAsia="仿宋_GB2312"/>
          <w:sz w:val="28"/>
          <w:szCs w:val="28"/>
        </w:rPr>
        <w:t>1.</w:t>
      </w:r>
      <w:r>
        <w:rPr>
          <w:rFonts w:hint="eastAsia" w:ascii="仿宋_GB2312" w:eastAsia="仿宋_GB2312"/>
          <w:b/>
          <w:bCs/>
          <w:sz w:val="28"/>
          <w:szCs w:val="28"/>
        </w:rPr>
        <w:t>教育支出（类）</w:t>
      </w:r>
      <w:r>
        <w:rPr>
          <w:rFonts w:hint="eastAsia" w:ascii="仿宋_GB2312" w:eastAsia="仿宋_GB2312"/>
          <w:b/>
          <w:bCs/>
          <w:sz w:val="28"/>
          <w:szCs w:val="28"/>
          <w:lang w:eastAsia="zh-CN"/>
        </w:rPr>
        <w:t>：</w:t>
      </w:r>
      <w:r>
        <w:rPr>
          <w:rFonts w:hint="eastAsia" w:ascii="仿宋" w:hAnsi="仿宋" w:eastAsia="仿宋" w:cs="仿宋"/>
          <w:color w:val="000000"/>
          <w:kern w:val="0"/>
          <w:sz w:val="28"/>
          <w:szCs w:val="28"/>
          <w:lang w:bidi="ar"/>
        </w:rPr>
        <w:t>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预算2233.21万元</w:t>
      </w:r>
      <w:r>
        <w:rPr>
          <w:rFonts w:hint="eastAsia" w:ascii="仿宋" w:hAnsi="仿宋" w:eastAsia="仿宋" w:cs="仿宋"/>
          <w:color w:val="000000"/>
          <w:kern w:val="0"/>
          <w:sz w:val="28"/>
          <w:szCs w:val="28"/>
          <w:lang w:eastAsia="zh-CN" w:bidi="ar"/>
        </w:rPr>
        <w:t>，</w:t>
      </w:r>
      <w:r>
        <w:rPr>
          <w:rFonts w:hint="eastAsia" w:ascii="仿宋_GB2312" w:eastAsia="仿宋_GB2312"/>
          <w:sz w:val="28"/>
          <w:szCs w:val="28"/>
        </w:rPr>
        <w:t>2024年度决算</w:t>
      </w:r>
      <w:r>
        <w:rPr>
          <w:rFonts w:hint="eastAsia" w:ascii="仿宋" w:hAnsi="仿宋" w:eastAsia="仿宋" w:cs="仿宋"/>
          <w:color w:val="000000"/>
          <w:kern w:val="0"/>
          <w:sz w:val="28"/>
          <w:szCs w:val="28"/>
          <w:lang w:bidi="ar"/>
        </w:rPr>
        <w:t>2227.24万元，</w:t>
      </w:r>
      <w:r>
        <w:rPr>
          <w:rFonts w:hint="eastAsia" w:ascii="仿宋" w:hAnsi="仿宋" w:eastAsia="仿宋" w:cs="仿宋"/>
          <w:color w:val="000000"/>
          <w:kern w:val="0"/>
          <w:sz w:val="28"/>
          <w:szCs w:val="28"/>
          <w:lang w:val="en-US" w:eastAsia="zh-CN" w:bidi="ar"/>
        </w:rPr>
        <w:t>完成年初预算的99.73%。其中：</w:t>
      </w:r>
    </w:p>
    <w:p w14:paraId="7FC13DA5">
      <w:pPr>
        <w:spacing w:line="580" w:lineRule="exact"/>
      </w:pP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bidi="ar"/>
        </w:rPr>
        <w:t>普通教育（款）2024年</w:t>
      </w:r>
      <w:r>
        <w:rPr>
          <w:rFonts w:hint="eastAsia" w:ascii="仿宋" w:hAnsi="仿宋" w:eastAsia="仿宋" w:cs="仿宋"/>
          <w:color w:val="000000"/>
          <w:kern w:val="0"/>
          <w:sz w:val="28"/>
          <w:szCs w:val="28"/>
          <w:lang w:val="en-US" w:eastAsia="zh-CN" w:bidi="ar"/>
        </w:rPr>
        <w:t>度</w:t>
      </w:r>
      <w:r>
        <w:rPr>
          <w:rFonts w:hint="eastAsia" w:ascii="仿宋" w:hAnsi="仿宋" w:eastAsia="仿宋" w:cs="仿宋"/>
          <w:color w:val="000000"/>
          <w:kern w:val="0"/>
          <w:sz w:val="28"/>
          <w:szCs w:val="28"/>
          <w:lang w:bidi="ar"/>
        </w:rPr>
        <w:t>年初预算2227.77万元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2024年度决算2223.36万元，</w:t>
      </w:r>
      <w:r>
        <w:rPr>
          <w:rFonts w:hint="eastAsia" w:ascii="仿宋" w:hAnsi="仿宋" w:eastAsia="仿宋" w:cs="仿宋"/>
          <w:color w:val="000000"/>
          <w:kern w:val="0"/>
          <w:sz w:val="28"/>
          <w:szCs w:val="28"/>
          <w:lang w:val="en-US" w:eastAsia="zh-CN" w:bidi="ar"/>
        </w:rPr>
        <w:t>完成年初预算的99.8%，</w:t>
      </w:r>
      <w:r>
        <w:rPr>
          <w:rFonts w:hint="eastAsia" w:ascii="仿宋" w:hAnsi="仿宋" w:eastAsia="仿宋" w:cs="仿宋"/>
          <w:color w:val="000000"/>
          <w:kern w:val="0"/>
          <w:sz w:val="28"/>
          <w:szCs w:val="28"/>
          <w:lang w:bidi="ar"/>
        </w:rPr>
        <w:t>主要原因：福利费剩余收回。</w:t>
      </w:r>
    </w:p>
    <w:p w14:paraId="082D8E6C">
      <w:pPr>
        <w:spacing w:line="580" w:lineRule="exact"/>
        <w:ind w:firstLine="560" w:firstLineChars="200"/>
        <w:rPr>
          <w:rFonts w:hint="default" w:ascii="仿宋" w:hAnsi="仿宋" w:eastAsia="仿宋" w:cs="仿宋"/>
          <w:color w:val="000000"/>
          <w:kern w:val="0"/>
          <w:sz w:val="28"/>
          <w:szCs w:val="28"/>
          <w:lang w:val="en-US" w:eastAsia="zh-CN" w:bidi="ar"/>
        </w:rPr>
      </w:pPr>
    </w:p>
    <w:p w14:paraId="5C050808">
      <w:pPr>
        <w:spacing w:line="580" w:lineRule="exact"/>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进修及培训（款）2024年</w:t>
      </w:r>
      <w:r>
        <w:rPr>
          <w:rFonts w:hint="eastAsia" w:ascii="仿宋" w:hAnsi="仿宋" w:eastAsia="仿宋" w:cs="仿宋"/>
          <w:color w:val="000000"/>
          <w:kern w:val="0"/>
          <w:sz w:val="28"/>
          <w:szCs w:val="28"/>
          <w:lang w:val="en-US" w:eastAsia="zh-CN" w:bidi="ar"/>
        </w:rPr>
        <w:t>度</w:t>
      </w:r>
      <w:r>
        <w:rPr>
          <w:rFonts w:hint="eastAsia" w:ascii="仿宋" w:hAnsi="仿宋" w:eastAsia="仿宋" w:cs="仿宋"/>
          <w:color w:val="000000"/>
          <w:kern w:val="0"/>
          <w:sz w:val="28"/>
          <w:szCs w:val="28"/>
          <w:lang w:bidi="ar"/>
        </w:rPr>
        <w:t>年初预算</w:t>
      </w:r>
      <w:r>
        <w:rPr>
          <w:rFonts w:hint="eastAsia" w:ascii="仿宋" w:hAnsi="仿宋" w:eastAsia="仿宋" w:cs="仿宋"/>
          <w:color w:val="000000"/>
          <w:kern w:val="0"/>
          <w:sz w:val="28"/>
          <w:szCs w:val="28"/>
          <w:lang w:val="en-US" w:eastAsia="zh-CN" w:bidi="ar"/>
        </w:rPr>
        <w:t>5.44万元,</w:t>
      </w:r>
      <w:r>
        <w:rPr>
          <w:rFonts w:hint="eastAsia" w:ascii="仿宋_GB2312" w:eastAsia="仿宋_GB2312"/>
          <w:sz w:val="28"/>
          <w:szCs w:val="28"/>
        </w:rPr>
        <w:t>2024年度决算</w:t>
      </w:r>
      <w:r>
        <w:rPr>
          <w:rFonts w:hint="eastAsia" w:ascii="仿宋_GB2312" w:eastAsia="仿宋_GB2312"/>
          <w:sz w:val="28"/>
          <w:szCs w:val="28"/>
          <w:lang w:val="en-US" w:eastAsia="zh-CN"/>
        </w:rPr>
        <w:t>3.88万元，</w:t>
      </w:r>
      <w:r>
        <w:rPr>
          <w:rFonts w:hint="eastAsia" w:ascii="仿宋" w:hAnsi="仿宋" w:eastAsia="仿宋" w:cs="仿宋"/>
          <w:color w:val="000000"/>
          <w:kern w:val="0"/>
          <w:sz w:val="28"/>
          <w:szCs w:val="28"/>
          <w:lang w:val="en-US" w:eastAsia="zh-CN" w:bidi="ar"/>
        </w:rPr>
        <w:t>完成年初预算的71.27%。</w:t>
      </w:r>
      <w:r>
        <w:rPr>
          <w:rFonts w:hint="eastAsia" w:ascii="仿宋" w:hAnsi="仿宋" w:eastAsia="仿宋" w:cs="仿宋"/>
          <w:color w:val="000000"/>
          <w:kern w:val="0"/>
          <w:sz w:val="28"/>
          <w:szCs w:val="28"/>
          <w:lang w:bidi="ar"/>
        </w:rPr>
        <w:t>主要原因：</w:t>
      </w:r>
      <w:r>
        <w:rPr>
          <w:rFonts w:hint="eastAsia" w:ascii="仿宋" w:hAnsi="仿宋" w:eastAsia="仿宋" w:cs="仿宋"/>
          <w:color w:val="000000"/>
          <w:kern w:val="0"/>
          <w:sz w:val="28"/>
          <w:szCs w:val="28"/>
          <w:lang w:val="en-US" w:eastAsia="zh-CN" w:bidi="ar"/>
        </w:rPr>
        <w:t>根据单位实际教师培训规划，</w:t>
      </w:r>
      <w:r>
        <w:rPr>
          <w:rFonts w:hint="eastAsia" w:ascii="仿宋" w:hAnsi="仿宋" w:eastAsia="仿宋" w:cs="仿宋"/>
          <w:color w:val="000000"/>
          <w:kern w:val="0"/>
          <w:sz w:val="28"/>
          <w:szCs w:val="28"/>
          <w:lang w:bidi="ar"/>
        </w:rPr>
        <w:t>培训减少。</w:t>
      </w:r>
    </w:p>
    <w:p w14:paraId="1CC61CA3">
      <w:pPr>
        <w:spacing w:line="580" w:lineRule="exact"/>
        <w:ind w:firstLine="560" w:firstLineChars="200"/>
        <w:rPr>
          <w:rFonts w:hint="default" w:ascii="仿宋" w:hAnsi="仿宋" w:eastAsia="仿宋" w:cs="仿宋"/>
          <w:color w:val="000000"/>
          <w:kern w:val="0"/>
          <w:sz w:val="28"/>
          <w:szCs w:val="28"/>
          <w:lang w:val="en-US" w:bidi="ar"/>
        </w:rPr>
      </w:pPr>
    </w:p>
    <w:p w14:paraId="24E0FE7D">
      <w:pPr>
        <w:spacing w:line="580" w:lineRule="exact"/>
        <w:ind w:firstLine="560" w:firstLineChars="200"/>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2.</w:t>
      </w:r>
      <w:r>
        <w:rPr>
          <w:rFonts w:hint="eastAsia" w:ascii="仿宋" w:hAnsi="仿宋" w:eastAsia="仿宋" w:cs="仿宋"/>
          <w:b/>
          <w:bCs/>
          <w:color w:val="000000"/>
          <w:kern w:val="0"/>
          <w:sz w:val="28"/>
          <w:szCs w:val="28"/>
          <w:lang w:bidi="ar"/>
        </w:rPr>
        <w:t>社会保障和就业支出（类）</w:t>
      </w:r>
      <w:r>
        <w:rPr>
          <w:rFonts w:hint="eastAsia" w:ascii="仿宋" w:hAnsi="仿宋" w:eastAsia="仿宋" w:cs="仿宋"/>
          <w:color w:val="000000"/>
          <w:kern w:val="0"/>
          <w:sz w:val="28"/>
          <w:szCs w:val="28"/>
          <w:lang w:bidi="ar"/>
        </w:rPr>
        <w:t>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预算404.63万元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2024年度决算447.10万元，其中：行政事业单位养老支出（款）2024年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预算404.63万元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2024年度决算447.10万元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val="en-US" w:eastAsia="zh-CN" w:bidi="ar"/>
        </w:rPr>
        <w:t>完成年初预算的110.5%。</w:t>
      </w:r>
      <w:r>
        <w:rPr>
          <w:rFonts w:hint="eastAsia" w:ascii="仿宋" w:hAnsi="仿宋" w:eastAsia="仿宋" w:cs="仿宋"/>
          <w:color w:val="000000"/>
          <w:kern w:val="0"/>
          <w:sz w:val="28"/>
          <w:szCs w:val="28"/>
          <w:lang w:bidi="ar"/>
        </w:rPr>
        <w:t>主要原因：发放退休人员一次性补贴。</w:t>
      </w:r>
    </w:p>
    <w:p w14:paraId="3F344315">
      <w:pPr>
        <w:spacing w:line="580" w:lineRule="exact"/>
        <w:ind w:firstLine="560" w:firstLineChars="200"/>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bidi="ar"/>
        </w:rPr>
        <w:t>3.</w:t>
      </w:r>
      <w:r>
        <w:rPr>
          <w:rFonts w:hint="eastAsia" w:ascii="仿宋" w:hAnsi="仿宋" w:eastAsia="仿宋" w:cs="仿宋"/>
          <w:b/>
          <w:bCs/>
          <w:color w:val="000000"/>
          <w:kern w:val="0"/>
          <w:sz w:val="28"/>
          <w:szCs w:val="28"/>
          <w:lang w:bidi="ar"/>
        </w:rPr>
        <w:t>卫生健康支出（类）</w:t>
      </w:r>
      <w:r>
        <w:rPr>
          <w:rFonts w:hint="eastAsia" w:ascii="仿宋" w:hAnsi="仿宋" w:eastAsia="仿宋" w:cs="仿宋"/>
          <w:color w:val="000000"/>
          <w:kern w:val="0"/>
          <w:sz w:val="28"/>
          <w:szCs w:val="28"/>
          <w:lang w:bidi="ar"/>
        </w:rPr>
        <w:t>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预算198.85万元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2024年度决算217.4</w:t>
      </w:r>
      <w:r>
        <w:rPr>
          <w:rFonts w:ascii="仿宋" w:hAnsi="仿宋" w:eastAsia="仿宋" w:cs="仿宋"/>
          <w:color w:val="000000"/>
          <w:kern w:val="0"/>
          <w:sz w:val="28"/>
          <w:szCs w:val="28"/>
          <w:lang w:bidi="ar"/>
        </w:rPr>
        <w:t>9</w:t>
      </w:r>
      <w:r>
        <w:rPr>
          <w:rFonts w:hint="eastAsia" w:ascii="仿宋" w:hAnsi="仿宋" w:eastAsia="仿宋" w:cs="仿宋"/>
          <w:color w:val="000000"/>
          <w:kern w:val="0"/>
          <w:sz w:val="28"/>
          <w:szCs w:val="28"/>
          <w:lang w:bidi="ar"/>
        </w:rPr>
        <w:t>万元，其中：行政事业单位医疗（款）2024年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预算198.85万元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2024年度决算217.4</w:t>
      </w:r>
      <w:r>
        <w:rPr>
          <w:rFonts w:ascii="仿宋" w:hAnsi="仿宋" w:eastAsia="仿宋" w:cs="仿宋"/>
          <w:color w:val="000000"/>
          <w:kern w:val="0"/>
          <w:sz w:val="28"/>
          <w:szCs w:val="28"/>
          <w:lang w:bidi="ar"/>
        </w:rPr>
        <w:t>9</w:t>
      </w:r>
      <w:r>
        <w:rPr>
          <w:rFonts w:hint="eastAsia" w:ascii="仿宋" w:hAnsi="仿宋" w:eastAsia="仿宋" w:cs="仿宋"/>
          <w:color w:val="000000"/>
          <w:kern w:val="0"/>
          <w:sz w:val="28"/>
          <w:szCs w:val="28"/>
          <w:lang w:bidi="ar"/>
        </w:rPr>
        <w:t>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val="en-US" w:eastAsia="zh-CN" w:bidi="ar"/>
        </w:rPr>
        <w:t>完成年初预算的109.37%。</w:t>
      </w:r>
      <w:r>
        <w:rPr>
          <w:rFonts w:hint="eastAsia" w:ascii="仿宋" w:hAnsi="仿宋" w:eastAsia="仿宋" w:cs="仿宋"/>
          <w:color w:val="000000"/>
          <w:kern w:val="0"/>
          <w:sz w:val="28"/>
          <w:szCs w:val="28"/>
          <w:lang w:bidi="ar"/>
        </w:rPr>
        <w:t>主要原因：预算额度下达比例(12%)低于正常缴纳医疗保险比例(12.8%)，进行了经费追加。</w:t>
      </w:r>
    </w:p>
    <w:p w14:paraId="619C7EB8">
      <w:pPr>
        <w:spacing w:line="580" w:lineRule="exact"/>
        <w:ind w:firstLine="560"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w:t>
      </w:r>
      <w:r>
        <w:rPr>
          <w:rFonts w:hint="eastAsia" w:ascii="仿宋" w:hAnsi="仿宋" w:eastAsia="仿宋" w:cs="仿宋"/>
          <w:b/>
          <w:bCs/>
          <w:color w:val="000000"/>
          <w:kern w:val="0"/>
          <w:sz w:val="28"/>
          <w:szCs w:val="28"/>
          <w:lang w:bidi="ar"/>
        </w:rPr>
        <w:t>住房保障支出（类）</w:t>
      </w:r>
      <w:r>
        <w:rPr>
          <w:rFonts w:hint="eastAsia" w:ascii="仿宋" w:hAnsi="仿宋" w:eastAsia="仿宋" w:cs="仿宋"/>
          <w:color w:val="000000"/>
          <w:kern w:val="0"/>
          <w:sz w:val="28"/>
          <w:szCs w:val="28"/>
          <w:lang w:bidi="ar"/>
        </w:rPr>
        <w:t>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预算393.27万元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2024年度决算388.19万元，其中：住房改革支出（款）2024年</w:t>
      </w:r>
      <w:r>
        <w:rPr>
          <w:rFonts w:hint="eastAsia" w:ascii="仿宋" w:hAnsi="仿宋" w:eastAsia="仿宋" w:cs="仿宋"/>
          <w:color w:val="000000"/>
          <w:kern w:val="0"/>
          <w:sz w:val="28"/>
          <w:szCs w:val="28"/>
          <w:lang w:val="en-US" w:eastAsia="zh-CN" w:bidi="ar"/>
        </w:rPr>
        <w:t>度年初</w:t>
      </w:r>
      <w:r>
        <w:rPr>
          <w:rFonts w:hint="eastAsia" w:ascii="仿宋" w:hAnsi="仿宋" w:eastAsia="仿宋" w:cs="仿宋"/>
          <w:color w:val="000000"/>
          <w:kern w:val="0"/>
          <w:sz w:val="28"/>
          <w:szCs w:val="28"/>
          <w:lang w:bidi="ar"/>
        </w:rPr>
        <w:t>预算393.27万元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2024年度决算388.19万元</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val="en-US" w:eastAsia="zh-CN" w:bidi="ar"/>
        </w:rPr>
        <w:t>完成年初预算的98.71%。</w:t>
      </w:r>
      <w:r>
        <w:rPr>
          <w:rFonts w:hint="eastAsia" w:ascii="仿宋" w:hAnsi="仿宋" w:eastAsia="仿宋" w:cs="仿宋"/>
          <w:color w:val="000000"/>
          <w:kern w:val="0"/>
          <w:sz w:val="28"/>
          <w:szCs w:val="28"/>
          <w:lang w:bidi="ar"/>
        </w:rPr>
        <w:t>主要原因：重新核算公积金缴费基数，缴费金额减少。</w:t>
      </w:r>
    </w:p>
    <w:p w14:paraId="6B7C32FF">
      <w:pPr>
        <w:spacing w:line="580" w:lineRule="exact"/>
        <w:ind w:firstLine="560" w:firstLineChars="200"/>
        <w:rPr>
          <w:rFonts w:hint="eastAsia" w:ascii="仿宋" w:hAnsi="仿宋" w:eastAsia="仿宋" w:cs="仿宋"/>
          <w:color w:val="000000"/>
          <w:kern w:val="0"/>
          <w:sz w:val="28"/>
          <w:szCs w:val="28"/>
          <w:lang w:eastAsia="zh-CN" w:bidi="ar"/>
        </w:rPr>
      </w:pPr>
    </w:p>
    <w:p w14:paraId="7C26C73B">
      <w:pPr>
        <w:spacing w:line="580" w:lineRule="exact"/>
        <w:ind w:firstLine="840" w:firstLineChars="300"/>
        <w:rPr>
          <w:rFonts w:ascii="仿宋_GB2312" w:eastAsia="仿宋_GB2312"/>
          <w:sz w:val="28"/>
          <w:szCs w:val="28"/>
        </w:rPr>
      </w:pPr>
      <w:r>
        <w:rPr>
          <w:rFonts w:hint="eastAsia" w:ascii="黑体" w:eastAsia="黑体"/>
          <w:b/>
          <w:sz w:val="28"/>
          <w:szCs w:val="28"/>
        </w:rPr>
        <w:t>五、政府性基金预算财政拨款支出决算情况说明</w:t>
      </w:r>
    </w:p>
    <w:p w14:paraId="00D32D9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6A9F944D">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本年度无此项经费。</w:t>
      </w:r>
    </w:p>
    <w:p w14:paraId="0DC55F9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0E6F513D">
      <w:pPr>
        <w:spacing w:line="580" w:lineRule="exact"/>
        <w:ind w:firstLine="560" w:firstLineChars="200"/>
        <w:rPr>
          <w:rFonts w:hint="eastAsia" w:ascii="黑体" w:eastAsia="黑体"/>
          <w:b/>
          <w:sz w:val="28"/>
          <w:szCs w:val="28"/>
        </w:rPr>
      </w:pPr>
      <w:r>
        <w:rPr>
          <w:rFonts w:hint="eastAsia" w:ascii="仿宋_GB2312" w:eastAsia="仿宋_GB2312"/>
          <w:sz w:val="28"/>
          <w:szCs w:val="28"/>
        </w:rPr>
        <w:t>本年度无此项经费。</w:t>
      </w:r>
    </w:p>
    <w:p w14:paraId="481042B9">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5F5D790">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656F16D">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519EA7D0">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892631.95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7C94BB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6C46BC83">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E09ACBC">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7019A9C">
      <w:pPr>
        <w:spacing w:line="580" w:lineRule="exact"/>
        <w:ind w:firstLine="560" w:firstLineChars="200"/>
        <w:rPr>
          <w:rFonts w:eastAsia="仿宋_GB2312"/>
        </w:rPr>
      </w:pPr>
      <w:r>
        <w:rPr>
          <w:rFonts w:hint="eastAsia" w:ascii="仿宋_GB2312" w:eastAsia="仿宋_GB2312"/>
          <w:sz w:val="28"/>
          <w:szCs w:val="28"/>
        </w:rPr>
        <w:t>1.因公出国（境）费用。本年度无此项经费。</w:t>
      </w:r>
    </w:p>
    <w:p w14:paraId="0E1A8D0C">
      <w:pPr>
        <w:spacing w:line="580" w:lineRule="exact"/>
        <w:ind w:firstLine="560" w:firstLineChars="200"/>
        <w:rPr>
          <w:rFonts w:eastAsia="仿宋_GB2312"/>
        </w:rPr>
      </w:pPr>
      <w:r>
        <w:rPr>
          <w:rFonts w:hint="eastAsia" w:ascii="仿宋_GB2312" w:eastAsia="仿宋_GB2312"/>
          <w:sz w:val="28"/>
          <w:szCs w:val="28"/>
        </w:rPr>
        <w:t>2.公务接待费。本年度无此项经费。</w:t>
      </w:r>
    </w:p>
    <w:p w14:paraId="3E6D6064">
      <w:pPr>
        <w:spacing w:line="580" w:lineRule="exact"/>
        <w:ind w:firstLine="560" w:firstLineChars="200"/>
        <w:rPr>
          <w:rFonts w:eastAsia="仿宋_GB2312"/>
        </w:rPr>
      </w:pPr>
      <w:r>
        <w:rPr>
          <w:rFonts w:hint="eastAsia" w:ascii="仿宋_GB2312" w:eastAsia="仿宋_GB2312"/>
          <w:sz w:val="28"/>
          <w:szCs w:val="28"/>
        </w:rPr>
        <w:t>3.公务用车购置及运行维护费。本年度无此项经费。</w:t>
      </w:r>
    </w:p>
    <w:p w14:paraId="174132EA">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00A6FA37">
      <w:pPr>
        <w:ind w:firstLine="537" w:firstLineChars="192"/>
        <w:rPr>
          <w:rFonts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01495A2F">
      <w:pPr>
        <w:ind w:left="540"/>
        <w:rPr>
          <w:rFonts w:ascii="黑体" w:eastAsia="黑体"/>
          <w:sz w:val="28"/>
          <w:szCs w:val="28"/>
        </w:rPr>
      </w:pPr>
      <w:r>
        <w:rPr>
          <w:rFonts w:hint="eastAsia" w:ascii="黑体" w:eastAsia="黑体"/>
          <w:sz w:val="28"/>
          <w:szCs w:val="28"/>
        </w:rPr>
        <w:t>三、政府采购支出情况</w:t>
      </w:r>
    </w:p>
    <w:p w14:paraId="022B97D2">
      <w:pPr>
        <w:ind w:firstLine="560" w:firstLineChars="200"/>
        <w:rPr>
          <w:rFonts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76.16</w:t>
      </w:r>
      <w:r>
        <w:rPr>
          <w:rFonts w:hint="eastAsia" w:ascii="仿宋_GB2312" w:eastAsia="仿宋_GB2312"/>
          <w:sz w:val="28"/>
          <w:szCs w:val="28"/>
        </w:rPr>
        <w:t>万元，其中：政府采购货物支出</w:t>
      </w:r>
      <w:r>
        <w:rPr>
          <w:rFonts w:ascii="仿宋_GB2312" w:eastAsia="仿宋_GB2312"/>
          <w:sz w:val="28"/>
          <w:szCs w:val="28"/>
        </w:rPr>
        <w:t>48.89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27.27</w:t>
      </w:r>
      <w:r>
        <w:rPr>
          <w:rFonts w:hint="eastAsia" w:ascii="仿宋_GB2312" w:eastAsia="仿宋_GB2312"/>
          <w:sz w:val="28"/>
          <w:szCs w:val="28"/>
        </w:rPr>
        <w:t>万元。授予中小企业合同金额</w:t>
      </w:r>
      <w:r>
        <w:rPr>
          <w:rFonts w:ascii="仿宋_GB2312" w:eastAsia="仿宋_GB2312"/>
          <w:sz w:val="28"/>
          <w:szCs w:val="28"/>
        </w:rPr>
        <w:t>76.16</w:t>
      </w:r>
      <w:r>
        <w:rPr>
          <w:rFonts w:hint="eastAsia" w:ascii="仿宋_GB2312" w:eastAsia="仿宋_GB2312"/>
          <w:sz w:val="28"/>
          <w:szCs w:val="28"/>
        </w:rPr>
        <w:t>万元，占政府采购支出总额的100%，其中：授予小微企业合同金额76.16万元，占政府采购支出总额的</w:t>
      </w:r>
      <w:r>
        <w:rPr>
          <w:rFonts w:ascii="仿宋_GB2312" w:eastAsia="仿宋_GB2312"/>
          <w:sz w:val="28"/>
          <w:szCs w:val="28"/>
        </w:rPr>
        <w:t>100</w:t>
      </w:r>
      <w:r>
        <w:rPr>
          <w:rFonts w:hint="eastAsia" w:ascii="仿宋_GB2312" w:eastAsia="仿宋_GB2312"/>
          <w:sz w:val="28"/>
          <w:szCs w:val="28"/>
        </w:rPr>
        <w:t>%。</w:t>
      </w:r>
    </w:p>
    <w:p w14:paraId="24B30B2D">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055D388">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我单位无此情况。</w:t>
      </w:r>
    </w:p>
    <w:p w14:paraId="7166E1A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B401F0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78087F86">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F034044">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69BEBF2">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B97C95E">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D0670C2">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1EEF02B">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B06235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BA29D3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sz w:val="28"/>
          <w:szCs w:val="28"/>
        </w:rPr>
      </w:pPr>
      <w:r>
        <w:rPr>
          <w:rFonts w:hint="eastAsia" w:ascii="仿宋" w:hAnsi="仿宋" w:eastAsia="仿宋"/>
          <w:sz w:val="28"/>
          <w:szCs w:val="28"/>
          <w:lang w:val="en-US" w:eastAsia="zh-CN"/>
        </w:rPr>
        <w:t>7.</w:t>
      </w:r>
      <w:r>
        <w:rPr>
          <w:rFonts w:ascii="仿宋" w:hAnsi="仿宋" w:eastAsia="仿宋"/>
          <w:sz w:val="28"/>
          <w:szCs w:val="28"/>
        </w:rPr>
        <w:t>教育支出（类）普通教育（款）小学教育（项）：反映本部门举办的小学教育支出。</w:t>
      </w:r>
    </w:p>
    <w:p w14:paraId="738FA4CA">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ascii="仿宋" w:hAnsi="仿宋" w:eastAsia="仿宋"/>
          <w:sz w:val="28"/>
          <w:szCs w:val="28"/>
        </w:rPr>
        <w:t>8.教育支出（类）进修及培训（款）培训支出（项）：反映本部门安排的用于培训的支出。</w:t>
      </w:r>
    </w:p>
    <w:p w14:paraId="1AEA341F">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9</w:t>
      </w:r>
      <w:r>
        <w:rPr>
          <w:rFonts w:ascii="仿宋" w:hAnsi="仿宋" w:eastAsia="仿宋"/>
          <w:sz w:val="28"/>
          <w:szCs w:val="28"/>
        </w:rPr>
        <w:t>.社会保障和就业支出（类）行政事业单位养老支出（款）机关事业单位基本养老保险缴费支出（项）：反映机关事业单位实施养老保险制度由单位缴纳的基本养老保险费支出。</w:t>
      </w:r>
    </w:p>
    <w:p w14:paraId="48BCBE66">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0社会保障和就业支出（类）行政事业单位养老支出（款）机关事业单位职业年金缴费支出（项）：反映机关事业单位实施养老保险制度由单位实际缴纳的职业年金支出。</w:t>
      </w:r>
    </w:p>
    <w:p w14:paraId="1DFE67A7">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1.社会保障和就业支出（类）抚恤（款）死亡抚恤（项）：反映按规定用于烈士和牺牲、病故人员家属的一次性和定期抚恤金、丧葬补助费以及烈士褒扬金。</w:t>
      </w:r>
    </w:p>
    <w:p w14:paraId="7AA6D581">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2.卫生健康支出（类）行政事业单位医疗（款）事业单位医疗（项）：反映财政部门安排的事业单位基本医疗保险缴费经费，未参加医疗保险的事业单位的公费医疗经费，按国家规定享受离休人员待遇的医疗经费。</w:t>
      </w:r>
    </w:p>
    <w:p w14:paraId="4B1CD449">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3.住房保障支出（类）住房改革支出（款）住房公积金（项）：反映行政事业单位按人力资源和社会保障部、财政部规定的基本工资和津贴补贴以及规定比例为职工缴纳的住房公积金。</w:t>
      </w:r>
    </w:p>
    <w:p w14:paraId="032F8174">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4.住房保障支出（类）住房改革支出（款）提租补贴（项）：反映按房改政策规定的标准，行政事业单位向职工（含离退休人员）发放的租金补助。</w:t>
      </w:r>
    </w:p>
    <w:p w14:paraId="1514A4D8">
      <w:pPr>
        <w:pStyle w:val="20"/>
        <w:keepNext w:val="0"/>
        <w:keepLines w:val="0"/>
        <w:pageBreakBefore w:val="0"/>
        <w:widowControl w:val="0"/>
        <w:kinsoku/>
        <w:wordWrap/>
        <w:overflowPunct/>
        <w:topLinePunct w:val="0"/>
        <w:autoSpaceDE/>
        <w:autoSpaceDN/>
        <w:bidi w:val="0"/>
        <w:adjustRightInd/>
        <w:snapToGrid/>
        <w:spacing w:line="560" w:lineRule="exact"/>
        <w:ind w:left="44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5.住房保障支出（类）住房改革支出（款）购房补贴（项）：反映按房改政策规定的标准，行政事业单位向符合条件职工（含离退休人员）发放的用于购买住房的补贴。</w:t>
      </w:r>
    </w:p>
    <w:p w14:paraId="6693B925">
      <w:pPr>
        <w:jc w:val="both"/>
        <w:rPr>
          <w:rFonts w:ascii="黑体" w:eastAsia="黑体"/>
          <w:sz w:val="32"/>
          <w:szCs w:val="32"/>
        </w:rPr>
      </w:pPr>
    </w:p>
    <w:p w14:paraId="3DF238F0">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46EA868">
      <w:pPr>
        <w:ind w:firstLine="560" w:firstLineChars="200"/>
        <w:rPr>
          <w:rFonts w:ascii="黑体" w:eastAsia="黑体"/>
          <w:sz w:val="28"/>
          <w:szCs w:val="28"/>
          <w:highlight w:val="yellow"/>
        </w:rPr>
      </w:pPr>
    </w:p>
    <w:p w14:paraId="66B72B2D">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715B7798">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692FC36B">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63DAC523">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0A179368">
      <w:pPr>
        <w:spacing w:line="480" w:lineRule="exact"/>
        <w:ind w:firstLine="420"/>
        <w:rPr>
          <w:rFonts w:hint="eastAsia"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449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66E384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276A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BBA793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5556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ACFD5F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94"/>
    <w:rsid w:val="00322894"/>
    <w:rsid w:val="004D4AEB"/>
    <w:rsid w:val="00EF0E85"/>
    <w:rsid w:val="01FE5971"/>
    <w:rsid w:val="05B11678"/>
    <w:rsid w:val="06FC75A1"/>
    <w:rsid w:val="096F12D8"/>
    <w:rsid w:val="097D1872"/>
    <w:rsid w:val="0C4F74F5"/>
    <w:rsid w:val="0DD9672F"/>
    <w:rsid w:val="15D53161"/>
    <w:rsid w:val="15EF58A5"/>
    <w:rsid w:val="1CEE68B6"/>
    <w:rsid w:val="235356C5"/>
    <w:rsid w:val="235D02F2"/>
    <w:rsid w:val="27AF316C"/>
    <w:rsid w:val="34572D85"/>
    <w:rsid w:val="37E961A0"/>
    <w:rsid w:val="3AA94D8E"/>
    <w:rsid w:val="3BE70C49"/>
    <w:rsid w:val="41B65345"/>
    <w:rsid w:val="47B62920"/>
    <w:rsid w:val="47BC567F"/>
    <w:rsid w:val="493F3E72"/>
    <w:rsid w:val="50A54F03"/>
    <w:rsid w:val="51267261"/>
    <w:rsid w:val="522432EB"/>
    <w:rsid w:val="534926A9"/>
    <w:rsid w:val="5CA80D73"/>
    <w:rsid w:val="5CB169DD"/>
    <w:rsid w:val="5E9D289F"/>
    <w:rsid w:val="5F6D12E1"/>
    <w:rsid w:val="62486582"/>
    <w:rsid w:val="62D517BB"/>
    <w:rsid w:val="6D575A1B"/>
    <w:rsid w:val="7493196B"/>
    <w:rsid w:val="7B6F60EE"/>
    <w:rsid w:val="7CBC0DF1"/>
    <w:rsid w:val="7E814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3280.02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2972.88</c:v>
                </c:pt>
                <c:pt idx="1">
                  <c:v>307.14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3625</Words>
  <Characters>4088</Characters>
  <Lines>28</Lines>
  <Paragraphs>8</Paragraphs>
  <TotalTime>0</TotalTime>
  <ScaleCrop>false</ScaleCrop>
  <LinksUpToDate>false</LinksUpToDate>
  <CharactersWithSpaces>4107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2025-08-28T05:05:23Z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3f6537ef6f554e2699d5ff17be6fba89_23</vt:lpwstr>
  </property>
  <property fmtid="{D5CDD505-2E9C-101B-9397-08002B2CF9AE}" pid="4" name="KSOTemplateDocerSaveRecord">
    <vt:lpwstr>eyJoZGlkIjoiMTY2OGJhYTljNTRhM2FkOTNiYTI0NmZmZGZlZjc5MDciLCJ1c2VySWQiOiIyNDAxNTE3MTcifQ==</vt:lpwstr>
  </property>
</Properties>
</file>