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3D358">
      <w:pPr>
        <w:jc w:val="center"/>
        <w:rPr>
          <w:rFonts w:ascii="仿宋_GB2312" w:eastAsia="仿宋_GB2312"/>
          <w:b/>
          <w:sz w:val="32"/>
          <w:szCs w:val="32"/>
        </w:rPr>
      </w:pPr>
    </w:p>
    <w:p w14:paraId="37C6B8B2">
      <w:pPr>
        <w:jc w:val="center"/>
        <w:rPr>
          <w:rFonts w:ascii="黑体" w:eastAsia="黑体"/>
          <w:sz w:val="72"/>
          <w:szCs w:val="72"/>
        </w:rPr>
      </w:pPr>
    </w:p>
    <w:p w14:paraId="38103292">
      <w:pPr>
        <w:jc w:val="center"/>
        <w:rPr>
          <w:rFonts w:ascii="黑体" w:eastAsia="黑体"/>
          <w:sz w:val="72"/>
          <w:szCs w:val="72"/>
        </w:rPr>
      </w:pPr>
    </w:p>
    <w:p w14:paraId="55355D1D">
      <w:pPr>
        <w:jc w:val="center"/>
        <w:rPr>
          <w:rFonts w:ascii="黑体" w:eastAsia="黑体"/>
          <w:sz w:val="72"/>
          <w:szCs w:val="72"/>
        </w:rPr>
      </w:pPr>
    </w:p>
    <w:p w14:paraId="5847BBE3">
      <w:pPr>
        <w:jc w:val="center"/>
        <w:rPr>
          <w:rFonts w:ascii="黑体" w:eastAsia="黑体"/>
          <w:sz w:val="72"/>
          <w:szCs w:val="72"/>
        </w:rPr>
      </w:pPr>
    </w:p>
    <w:p w14:paraId="357F9592">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D90AD5D">
      <w:pPr>
        <w:jc w:val="center"/>
        <w:rPr>
          <w:rFonts w:ascii="黑体" w:eastAsia="黑体"/>
          <w:sz w:val="52"/>
          <w:szCs w:val="52"/>
        </w:rPr>
      </w:pPr>
    </w:p>
    <w:p w14:paraId="6317C48B">
      <w:pPr>
        <w:jc w:val="center"/>
        <w:rPr>
          <w:rFonts w:ascii="黑体" w:eastAsia="黑体"/>
          <w:sz w:val="52"/>
          <w:szCs w:val="52"/>
        </w:rPr>
      </w:pPr>
    </w:p>
    <w:p w14:paraId="6187E000">
      <w:pPr>
        <w:jc w:val="center"/>
        <w:rPr>
          <w:rFonts w:ascii="黑体" w:eastAsia="黑体"/>
          <w:sz w:val="52"/>
          <w:szCs w:val="52"/>
        </w:rPr>
      </w:pPr>
    </w:p>
    <w:p w14:paraId="325EAF8E">
      <w:pPr>
        <w:jc w:val="center"/>
        <w:rPr>
          <w:rFonts w:ascii="黑体" w:eastAsia="黑体"/>
          <w:sz w:val="52"/>
          <w:szCs w:val="52"/>
        </w:rPr>
      </w:pPr>
    </w:p>
    <w:p w14:paraId="36F44AB8">
      <w:pPr>
        <w:jc w:val="center"/>
        <w:rPr>
          <w:rFonts w:ascii="黑体" w:eastAsia="黑体"/>
          <w:sz w:val="32"/>
          <w:szCs w:val="32"/>
        </w:rPr>
      </w:pPr>
    </w:p>
    <w:p w14:paraId="26CBD4F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02CC1DB">
      <w:pPr>
        <w:spacing w:line="500" w:lineRule="exact"/>
        <w:ind w:firstLine="645"/>
        <w:jc w:val="center"/>
        <w:rPr>
          <w:rFonts w:hint="eastAsia" w:ascii="宋体" w:hAnsi="宋体" w:cs="宋体"/>
          <w:b/>
          <w:bCs/>
          <w:kern w:val="0"/>
          <w:sz w:val="36"/>
          <w:szCs w:val="36"/>
        </w:rPr>
      </w:pPr>
    </w:p>
    <w:p w14:paraId="2C1B00E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4ED14D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03CE4A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28F970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A2F259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654AD8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57A352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50DC3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02ABE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A8D209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909594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6EFB91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CC3D00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A7BFAD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70CDDF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E7A89F6">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4E6715E">
      <w:pPr>
        <w:tabs>
          <w:tab w:val="center" w:pos="6979"/>
        </w:tabs>
        <w:spacing w:before="156" w:beforeLines="50" w:after="156" w:afterLines="50"/>
        <w:jc w:val="center"/>
        <w:rPr>
          <w:rFonts w:ascii="宋体" w:hAnsi="宋体" w:cs="宋体"/>
          <w:b/>
          <w:bCs/>
          <w:spacing w:val="40"/>
          <w:kern w:val="0"/>
          <w:sz w:val="32"/>
          <w:szCs w:val="32"/>
        </w:rPr>
      </w:pPr>
    </w:p>
    <w:p w14:paraId="22E4E0B3">
      <w:pPr>
        <w:tabs>
          <w:tab w:val="center" w:pos="6979"/>
        </w:tabs>
        <w:spacing w:before="156" w:beforeLines="50" w:after="156" w:afterLines="50"/>
        <w:jc w:val="center"/>
        <w:rPr>
          <w:rFonts w:ascii="宋体" w:hAnsi="宋体" w:cs="宋体"/>
          <w:b/>
          <w:bCs/>
          <w:spacing w:val="40"/>
          <w:kern w:val="0"/>
          <w:sz w:val="32"/>
          <w:szCs w:val="32"/>
        </w:rPr>
      </w:pPr>
    </w:p>
    <w:p w14:paraId="4DAE5A1D">
      <w:pPr>
        <w:tabs>
          <w:tab w:val="center" w:pos="6979"/>
        </w:tabs>
        <w:spacing w:before="156" w:beforeLines="50" w:after="156" w:afterLines="50"/>
        <w:jc w:val="center"/>
        <w:rPr>
          <w:rFonts w:ascii="宋体" w:hAnsi="宋体" w:cs="宋体"/>
          <w:b/>
          <w:bCs/>
          <w:spacing w:val="40"/>
          <w:kern w:val="0"/>
          <w:sz w:val="32"/>
          <w:szCs w:val="32"/>
        </w:rPr>
      </w:pPr>
    </w:p>
    <w:p w14:paraId="07E58AE5">
      <w:pPr>
        <w:tabs>
          <w:tab w:val="center" w:pos="6979"/>
        </w:tabs>
        <w:spacing w:before="156" w:beforeLines="50" w:after="156" w:afterLines="50"/>
        <w:jc w:val="center"/>
        <w:rPr>
          <w:rFonts w:ascii="宋体" w:hAnsi="宋体" w:cs="宋体"/>
          <w:b/>
          <w:bCs/>
          <w:spacing w:val="40"/>
          <w:kern w:val="0"/>
          <w:sz w:val="32"/>
          <w:szCs w:val="32"/>
        </w:rPr>
      </w:pPr>
    </w:p>
    <w:p w14:paraId="211B1998">
      <w:pPr>
        <w:tabs>
          <w:tab w:val="center" w:pos="6979"/>
        </w:tabs>
        <w:spacing w:before="156" w:beforeLines="50" w:after="156" w:afterLines="50"/>
        <w:jc w:val="center"/>
        <w:rPr>
          <w:rFonts w:ascii="宋体" w:hAnsi="宋体" w:cs="宋体"/>
          <w:b/>
          <w:bCs/>
          <w:spacing w:val="40"/>
          <w:kern w:val="0"/>
          <w:sz w:val="32"/>
          <w:szCs w:val="32"/>
        </w:rPr>
      </w:pPr>
    </w:p>
    <w:p w14:paraId="53048F8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52A600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4620DD2">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BA50E0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0A4EDA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本单位机构设置：实验幼儿园成立于1915年，是北京市一级一类幼儿园，2001年成为北京市首批市级示范园。</w:t>
      </w:r>
    </w:p>
    <w:p w14:paraId="2A3F1210">
      <w:p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rPr>
        <w:t>主要职责:为学龄前儿童提供保育和教育服务。</w:t>
      </w:r>
      <w:r>
        <w:rPr>
          <w:rFonts w:hint="eastAsia" w:ascii="仿宋_GB2312" w:eastAsia="仿宋_GB2312"/>
          <w:b/>
          <w:sz w:val="32"/>
          <w:szCs w:val="32"/>
        </w:rPr>
        <w:t xml:space="preserve">  </w:t>
      </w:r>
    </w:p>
    <w:p w14:paraId="391264A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二、收入支出决算总体情况说明</w:t>
      </w:r>
    </w:p>
    <w:p w14:paraId="0CF5EB6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3704.12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134.28</w:t>
      </w:r>
      <w:r>
        <w:rPr>
          <w:rFonts w:hint="eastAsia" w:ascii="仿宋_GB2312" w:eastAsia="仿宋_GB2312"/>
          <w:sz w:val="28"/>
          <w:szCs w:val="28"/>
        </w:rPr>
        <w:t>万元，增长</w:t>
      </w:r>
      <w:r>
        <w:rPr>
          <w:rFonts w:hint="eastAsia" w:ascii="仿宋_GB2312" w:eastAsia="仿宋_GB2312"/>
          <w:sz w:val="28"/>
          <w:szCs w:val="28"/>
          <w:lang w:val="en-US" w:eastAsia="zh-CN"/>
        </w:rPr>
        <w:t>3.76</w:t>
      </w:r>
      <w:r>
        <w:rPr>
          <w:rFonts w:hint="eastAsia" w:ascii="仿宋_GB2312" w:eastAsia="仿宋_GB2312"/>
          <w:sz w:val="28"/>
          <w:szCs w:val="28"/>
        </w:rPr>
        <w:t>%。</w:t>
      </w:r>
    </w:p>
    <w:p w14:paraId="31CCBD0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D3910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3704.12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168.03</w:t>
      </w:r>
      <w:r>
        <w:rPr>
          <w:rFonts w:hint="eastAsia" w:ascii="仿宋_GB2312" w:eastAsia="仿宋_GB2312"/>
          <w:sz w:val="28"/>
          <w:szCs w:val="28"/>
        </w:rPr>
        <w:t>万元，增长</w:t>
      </w:r>
      <w:r>
        <w:rPr>
          <w:rFonts w:hint="eastAsia" w:ascii="仿宋_GB2312" w:eastAsia="仿宋_GB2312"/>
          <w:sz w:val="28"/>
          <w:szCs w:val="28"/>
          <w:lang w:val="en-US" w:eastAsia="zh-CN"/>
        </w:rPr>
        <w:t>4.75</w:t>
      </w:r>
      <w:r>
        <w:rPr>
          <w:rFonts w:hint="eastAsia" w:ascii="仿宋_GB2312" w:eastAsia="仿宋_GB2312"/>
          <w:sz w:val="28"/>
          <w:szCs w:val="28"/>
        </w:rPr>
        <w:t>%</w:t>
      </w:r>
      <w:r>
        <w:rPr>
          <w:rFonts w:hint="eastAsia" w:ascii="仿宋_GB2312" w:eastAsia="仿宋_GB2312"/>
          <w:sz w:val="28"/>
          <w:szCs w:val="28"/>
          <w:lang w:eastAsia="zh-CN"/>
        </w:rPr>
        <w:t>。</w:t>
      </w:r>
    </w:p>
    <w:p w14:paraId="44BF533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3704.12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3704.12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22B64F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3AF9DE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B7ECE4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489404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35F78A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10788C0">
      <w:pPr>
        <w:pStyle w:val="2"/>
        <w:ind w:firstLine="0"/>
        <w:jc w:val="center"/>
      </w:pPr>
      <w:r>
        <w:rPr>
          <w:rFonts w:hint="eastAsia" w:ascii="仿宋_GB2312" w:eastAsia="仿宋_GB2312"/>
          <w:color w:val="000000"/>
          <w:sz w:val="32"/>
          <w:szCs w:val="32"/>
          <w:highlight w:val="none"/>
          <w:lang w:val="en-US" w:eastAsia="zh-CN"/>
        </w:rPr>
        <w:t>图1：收入决算</w:t>
      </w:r>
    </w:p>
    <w:p w14:paraId="3190B9D0">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1E3126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ED11C6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3704.12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168.03</w:t>
      </w:r>
      <w:r>
        <w:rPr>
          <w:rFonts w:hint="eastAsia" w:ascii="仿宋_GB2312" w:eastAsia="仿宋_GB2312"/>
          <w:sz w:val="28"/>
          <w:szCs w:val="28"/>
        </w:rPr>
        <w:t>万元，增长</w:t>
      </w:r>
      <w:r>
        <w:rPr>
          <w:rFonts w:hint="eastAsia" w:ascii="仿宋_GB2312" w:eastAsia="仿宋_GB2312"/>
          <w:sz w:val="28"/>
          <w:szCs w:val="28"/>
          <w:lang w:val="en-US" w:eastAsia="zh-CN"/>
        </w:rPr>
        <w:t>4.75</w:t>
      </w:r>
      <w:r>
        <w:rPr>
          <w:rFonts w:hint="eastAsia" w:ascii="仿宋_GB2312" w:eastAsia="仿宋_GB2312"/>
          <w:sz w:val="28"/>
          <w:szCs w:val="28"/>
        </w:rPr>
        <w:t>%，其中：基本支出</w:t>
      </w:r>
      <w:r>
        <w:rPr>
          <w:rFonts w:ascii="仿宋_GB2312" w:eastAsia="仿宋_GB2312"/>
          <w:sz w:val="28"/>
          <w:szCs w:val="28"/>
        </w:rPr>
        <w:t>3122.66</w:t>
      </w:r>
      <w:r>
        <w:rPr>
          <w:rFonts w:hint="eastAsia" w:ascii="仿宋_GB2312" w:eastAsia="仿宋_GB2312"/>
          <w:sz w:val="28"/>
          <w:szCs w:val="28"/>
        </w:rPr>
        <w:t>万元，占支出合计的</w:t>
      </w:r>
      <w:r>
        <w:rPr>
          <w:rFonts w:hint="eastAsia" w:ascii="仿宋_GB2312" w:eastAsia="仿宋_GB2312"/>
          <w:sz w:val="28"/>
          <w:szCs w:val="28"/>
          <w:lang w:eastAsia="zh-CN"/>
        </w:rPr>
        <w:t>84.3</w:t>
      </w:r>
      <w:r>
        <w:rPr>
          <w:rFonts w:hint="eastAsia" w:ascii="仿宋_GB2312" w:eastAsia="仿宋_GB2312"/>
          <w:sz w:val="28"/>
          <w:szCs w:val="28"/>
        </w:rPr>
        <w:t>%；项目支出</w:t>
      </w:r>
      <w:r>
        <w:rPr>
          <w:rFonts w:ascii="仿宋_GB2312" w:eastAsia="仿宋_GB2312"/>
          <w:sz w:val="28"/>
          <w:szCs w:val="28"/>
        </w:rPr>
        <w:t>581.45</w:t>
      </w:r>
      <w:r>
        <w:rPr>
          <w:rFonts w:hint="eastAsia" w:ascii="仿宋_GB2312" w:eastAsia="仿宋_GB2312"/>
          <w:sz w:val="28"/>
          <w:szCs w:val="28"/>
        </w:rPr>
        <w:t>万元，占支出合计的</w:t>
      </w:r>
      <w:r>
        <w:rPr>
          <w:rFonts w:hint="eastAsia" w:ascii="仿宋_GB2312" w:eastAsia="仿宋_GB2312"/>
          <w:sz w:val="28"/>
          <w:szCs w:val="28"/>
          <w:lang w:eastAsia="zh-CN"/>
        </w:rPr>
        <w:t>15.7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EE11C81">
      <w:pPr>
        <w:spacing w:line="560" w:lineRule="exact"/>
        <w:ind w:firstLine="640"/>
        <w:rPr>
          <w:rFonts w:hint="eastAsia" w:ascii="仿宋_GB2312" w:eastAsia="仿宋_GB2312" w:cs="Droid Sans"/>
          <w:color w:val="000000"/>
          <w:sz w:val="32"/>
          <w:szCs w:val="32"/>
          <w:highlight w:val="none"/>
          <w:lang w:eastAsia="zh-CN"/>
        </w:rPr>
      </w:pPr>
      <w:bookmarkStart w:id="0" w:name="_GoBack"/>
      <w:bookmarkEnd w:id="0"/>
    </w:p>
    <w:p w14:paraId="2150A40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79AFF3E">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E8541D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DFF2E7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3704.12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168.03</w:t>
      </w:r>
      <w:r>
        <w:rPr>
          <w:rFonts w:hint="eastAsia" w:ascii="仿宋_GB2312" w:eastAsia="仿宋_GB2312"/>
          <w:sz w:val="28"/>
          <w:szCs w:val="28"/>
        </w:rPr>
        <w:t>万元，增长</w:t>
      </w:r>
      <w:r>
        <w:rPr>
          <w:rFonts w:hint="eastAsia" w:ascii="仿宋_GB2312" w:eastAsia="仿宋_GB2312"/>
          <w:sz w:val="28"/>
          <w:szCs w:val="28"/>
          <w:lang w:val="en-US" w:eastAsia="zh-CN"/>
        </w:rPr>
        <w:t>4.75</w:t>
      </w:r>
      <w:r>
        <w:rPr>
          <w:rFonts w:hint="eastAsia" w:ascii="仿宋_GB2312" w:eastAsia="仿宋_GB2312"/>
          <w:sz w:val="28"/>
          <w:szCs w:val="28"/>
        </w:rPr>
        <w:t>。主要原因：本年幼儿数增加导致公用及专项经费有所增加。。</w:t>
      </w:r>
    </w:p>
    <w:p w14:paraId="64B8C16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2AA489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55956D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3704.12</w:t>
      </w:r>
      <w:r>
        <w:rPr>
          <w:rFonts w:hint="eastAsia" w:ascii="仿宋_GB2312" w:eastAsia="仿宋_GB2312"/>
          <w:sz w:val="28"/>
          <w:szCs w:val="28"/>
        </w:rPr>
        <w:t>万元，主要用于以下方面（按大类）：一般公共服务支出</w:t>
      </w:r>
      <w:r>
        <w:rPr>
          <w:rFonts w:ascii="仿宋_GB2312" w:eastAsia="仿宋_GB2312"/>
          <w:sz w:val="28"/>
          <w:szCs w:val="28"/>
        </w:rPr>
        <w:t>3704.12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285D649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236BBE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 2024年度年初预算</w:t>
      </w:r>
      <w:r>
        <w:rPr>
          <w:rFonts w:hint="eastAsia" w:ascii="仿宋_GB2312" w:eastAsia="仿宋_GB2312"/>
          <w:sz w:val="28"/>
          <w:szCs w:val="28"/>
          <w:lang w:val="en-US" w:eastAsia="zh-CN"/>
        </w:rPr>
        <w:t>2334.36</w:t>
      </w:r>
      <w:r>
        <w:rPr>
          <w:rFonts w:hint="eastAsia" w:ascii="仿宋_GB2312" w:eastAsia="仿宋_GB2312"/>
          <w:sz w:val="28"/>
          <w:szCs w:val="28"/>
        </w:rPr>
        <w:t>万元，2024年度决算</w:t>
      </w:r>
      <w:r>
        <w:rPr>
          <w:rFonts w:hint="eastAsia" w:ascii="仿宋_GB2312" w:eastAsia="仿宋_GB2312"/>
          <w:sz w:val="28"/>
          <w:szCs w:val="28"/>
          <w:lang w:val="en-US" w:eastAsia="zh-CN"/>
        </w:rPr>
        <w:t>2675.92</w:t>
      </w:r>
      <w:r>
        <w:rPr>
          <w:rFonts w:hint="eastAsia" w:ascii="仿宋_GB2312" w:eastAsia="仿宋_GB2312"/>
          <w:sz w:val="28"/>
          <w:szCs w:val="28"/>
        </w:rPr>
        <w:t>万元，完成年初预算的</w:t>
      </w:r>
      <w:r>
        <w:rPr>
          <w:rFonts w:hint="eastAsia" w:ascii="仿宋_GB2312" w:eastAsia="仿宋_GB2312"/>
          <w:sz w:val="28"/>
          <w:szCs w:val="28"/>
          <w:lang w:val="en-US" w:eastAsia="zh-CN"/>
        </w:rPr>
        <w:t>114.63</w:t>
      </w:r>
      <w:r>
        <w:rPr>
          <w:rFonts w:hint="eastAsia" w:ascii="仿宋_GB2312" w:eastAsia="仿宋_GB2312"/>
          <w:sz w:val="28"/>
          <w:szCs w:val="28"/>
        </w:rPr>
        <w:t>%。</w:t>
      </w:r>
    </w:p>
    <w:p w14:paraId="2EAE674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其中：普通教育（款）2024年度年初预算</w:t>
      </w:r>
      <w:r>
        <w:rPr>
          <w:rFonts w:hint="eastAsia" w:ascii="仿宋_GB2312" w:eastAsia="仿宋_GB2312"/>
          <w:sz w:val="28"/>
          <w:szCs w:val="28"/>
          <w:lang w:val="en-US" w:eastAsia="zh-CN"/>
        </w:rPr>
        <w:t>2286.27</w:t>
      </w:r>
      <w:r>
        <w:rPr>
          <w:rFonts w:hint="eastAsia" w:ascii="仿宋_GB2312" w:eastAsia="仿宋_GB2312"/>
          <w:sz w:val="28"/>
          <w:szCs w:val="28"/>
        </w:rPr>
        <w:t>万元，2024年度决算</w:t>
      </w:r>
      <w:r>
        <w:rPr>
          <w:rFonts w:hint="eastAsia" w:ascii="仿宋_GB2312" w:eastAsia="仿宋_GB2312"/>
          <w:sz w:val="28"/>
          <w:szCs w:val="28"/>
          <w:lang w:val="en-US" w:eastAsia="zh-CN"/>
        </w:rPr>
        <w:t>2628.69</w:t>
      </w:r>
      <w:r>
        <w:rPr>
          <w:rFonts w:hint="eastAsia" w:ascii="仿宋_GB2312" w:eastAsia="仿宋_GB2312"/>
          <w:sz w:val="28"/>
          <w:szCs w:val="28"/>
        </w:rPr>
        <w:t>万元，完成年初预算的</w:t>
      </w:r>
      <w:r>
        <w:rPr>
          <w:rFonts w:hint="eastAsia" w:ascii="仿宋_GB2312" w:eastAsia="仿宋_GB2312"/>
          <w:sz w:val="28"/>
          <w:szCs w:val="28"/>
          <w:lang w:val="en-US" w:eastAsia="zh-CN"/>
        </w:rPr>
        <w:t>114.98</w:t>
      </w:r>
      <w:r>
        <w:rPr>
          <w:rFonts w:hint="eastAsia" w:ascii="仿宋_GB2312" w:eastAsia="仿宋_GB2312"/>
          <w:sz w:val="28"/>
          <w:szCs w:val="28"/>
        </w:rPr>
        <w:t>%。主要原因是</w:t>
      </w:r>
      <w:r>
        <w:rPr>
          <w:rFonts w:hint="eastAsia" w:ascii="仿宋_GB2312" w:eastAsia="仿宋_GB2312"/>
          <w:sz w:val="28"/>
          <w:szCs w:val="28"/>
          <w:lang w:val="en-US" w:eastAsia="zh-CN"/>
        </w:rPr>
        <w:t>年末追加了项目经费</w:t>
      </w:r>
      <w:r>
        <w:rPr>
          <w:rFonts w:hint="eastAsia" w:ascii="仿宋_GB2312" w:eastAsia="仿宋_GB2312"/>
          <w:sz w:val="28"/>
          <w:szCs w:val="28"/>
        </w:rPr>
        <w:t>。</w:t>
      </w:r>
    </w:p>
    <w:p w14:paraId="7952A11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进修及培训</w:t>
      </w:r>
      <w:r>
        <w:rPr>
          <w:rFonts w:hint="eastAsia" w:ascii="仿宋_GB2312" w:eastAsia="仿宋_GB2312"/>
          <w:sz w:val="28"/>
          <w:szCs w:val="28"/>
        </w:rPr>
        <w:t>（款）2024年度年初预算</w:t>
      </w:r>
      <w:r>
        <w:rPr>
          <w:rFonts w:hint="eastAsia" w:ascii="仿宋_GB2312" w:eastAsia="仿宋_GB2312"/>
          <w:sz w:val="28"/>
          <w:szCs w:val="28"/>
          <w:lang w:val="en-US" w:eastAsia="zh-CN"/>
        </w:rPr>
        <w:t>6.16</w:t>
      </w:r>
      <w:r>
        <w:rPr>
          <w:rFonts w:hint="eastAsia" w:ascii="仿宋_GB2312" w:eastAsia="仿宋_GB2312"/>
          <w:sz w:val="28"/>
          <w:szCs w:val="28"/>
        </w:rPr>
        <w:t>万元，2024年度决算</w:t>
      </w:r>
      <w:r>
        <w:rPr>
          <w:rFonts w:hint="eastAsia" w:ascii="仿宋_GB2312" w:eastAsia="仿宋_GB2312"/>
          <w:sz w:val="28"/>
          <w:szCs w:val="28"/>
          <w:lang w:val="en-US" w:eastAsia="zh-CN"/>
        </w:rPr>
        <w:t>6.16</w:t>
      </w:r>
      <w:r>
        <w:rPr>
          <w:rFonts w:hint="eastAsia" w:ascii="仿宋_GB2312" w:eastAsia="仿宋_GB2312"/>
          <w:sz w:val="28"/>
          <w:szCs w:val="28"/>
        </w:rPr>
        <w:t>万元，完成年初预算的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43286FF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教育费附加安排的支出</w:t>
      </w:r>
      <w:r>
        <w:rPr>
          <w:rFonts w:hint="eastAsia" w:ascii="仿宋_GB2312" w:eastAsia="仿宋_GB2312"/>
          <w:sz w:val="28"/>
          <w:szCs w:val="28"/>
        </w:rPr>
        <w:t>（款）2024年度年初预算</w:t>
      </w:r>
      <w:r>
        <w:rPr>
          <w:rFonts w:hint="eastAsia" w:ascii="仿宋_GB2312" w:eastAsia="仿宋_GB2312"/>
          <w:sz w:val="28"/>
          <w:szCs w:val="28"/>
          <w:lang w:val="en-US" w:eastAsia="zh-CN"/>
        </w:rPr>
        <w:t>41.93</w:t>
      </w:r>
      <w:r>
        <w:rPr>
          <w:rFonts w:hint="eastAsia" w:ascii="仿宋_GB2312" w:eastAsia="仿宋_GB2312"/>
          <w:sz w:val="28"/>
          <w:szCs w:val="28"/>
        </w:rPr>
        <w:t>万元，2024年度决算</w:t>
      </w:r>
      <w:r>
        <w:rPr>
          <w:rFonts w:hint="eastAsia" w:ascii="仿宋_GB2312" w:eastAsia="仿宋_GB2312"/>
          <w:sz w:val="28"/>
          <w:szCs w:val="28"/>
          <w:lang w:val="en-US" w:eastAsia="zh-CN"/>
        </w:rPr>
        <w:t>41.06</w:t>
      </w:r>
      <w:r>
        <w:rPr>
          <w:rFonts w:hint="eastAsia" w:ascii="仿宋_GB2312" w:eastAsia="仿宋_GB2312"/>
          <w:sz w:val="28"/>
          <w:szCs w:val="28"/>
        </w:rPr>
        <w:t>万元，完成年初预算的</w:t>
      </w:r>
      <w:r>
        <w:rPr>
          <w:rFonts w:hint="eastAsia" w:ascii="仿宋_GB2312" w:eastAsia="仿宋_GB2312"/>
          <w:sz w:val="28"/>
          <w:szCs w:val="28"/>
          <w:lang w:val="en-US" w:eastAsia="zh-CN"/>
        </w:rPr>
        <w:t>97.93</w:t>
      </w:r>
      <w:r>
        <w:rPr>
          <w:rFonts w:hint="eastAsia" w:ascii="仿宋_GB2312" w:eastAsia="仿宋_GB2312"/>
          <w:sz w:val="28"/>
          <w:szCs w:val="28"/>
        </w:rPr>
        <w:t>%。主要原因是</w:t>
      </w:r>
      <w:r>
        <w:rPr>
          <w:rFonts w:hint="eastAsia" w:ascii="仿宋_GB2312" w:eastAsia="仿宋_GB2312"/>
          <w:sz w:val="28"/>
          <w:szCs w:val="28"/>
          <w:lang w:val="en-US" w:eastAsia="zh-CN"/>
        </w:rPr>
        <w:t>年末追加了项目经费</w:t>
      </w:r>
      <w:r>
        <w:rPr>
          <w:rFonts w:hint="eastAsia" w:ascii="仿宋_GB2312" w:eastAsia="仿宋_GB2312"/>
          <w:sz w:val="28"/>
          <w:szCs w:val="28"/>
        </w:rPr>
        <w:t>。</w:t>
      </w:r>
    </w:p>
    <w:p w14:paraId="5A46BED1">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 2024年度年初预算</w:t>
      </w:r>
      <w:r>
        <w:rPr>
          <w:rFonts w:hint="eastAsia" w:ascii="仿宋_GB2312" w:eastAsia="仿宋_GB2312"/>
          <w:sz w:val="28"/>
          <w:szCs w:val="28"/>
          <w:lang w:val="en-US" w:eastAsia="zh-CN"/>
        </w:rPr>
        <w:t>398.22</w:t>
      </w:r>
      <w:r>
        <w:rPr>
          <w:rFonts w:hint="eastAsia" w:ascii="仿宋_GB2312" w:eastAsia="仿宋_GB2312"/>
          <w:sz w:val="28"/>
          <w:szCs w:val="28"/>
        </w:rPr>
        <w:t>万元， 2024年度决算 </w:t>
      </w:r>
      <w:r>
        <w:rPr>
          <w:rFonts w:hint="eastAsia" w:ascii="仿宋_GB2312" w:eastAsia="仿宋_GB2312"/>
          <w:sz w:val="28"/>
          <w:szCs w:val="28"/>
          <w:lang w:val="en-US" w:eastAsia="zh-CN"/>
        </w:rPr>
        <w:t>425.21</w:t>
      </w:r>
      <w:r>
        <w:rPr>
          <w:rFonts w:hint="eastAsia" w:ascii="仿宋_GB2312" w:eastAsia="仿宋_GB2312"/>
          <w:sz w:val="28"/>
          <w:szCs w:val="28"/>
        </w:rPr>
        <w:t>万元，完成年初预算的</w:t>
      </w:r>
      <w:r>
        <w:rPr>
          <w:rFonts w:hint="eastAsia" w:ascii="仿宋_GB2312" w:eastAsia="仿宋_GB2312"/>
          <w:sz w:val="28"/>
          <w:szCs w:val="28"/>
          <w:lang w:val="en-US" w:eastAsia="zh-CN"/>
        </w:rPr>
        <w:t>106.78</w:t>
      </w:r>
      <w:r>
        <w:rPr>
          <w:rFonts w:hint="eastAsia" w:ascii="仿宋_GB2312" w:eastAsia="仿宋_GB2312"/>
          <w:sz w:val="28"/>
          <w:szCs w:val="28"/>
        </w:rPr>
        <w:t>%；</w:t>
      </w:r>
    </w:p>
    <w:p w14:paraId="28908236">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行政事业单位养老支出（款）2024年度年初预算398.22万元，2024年度决算409.50万元，完成年初预算的102.83%。</w:t>
      </w:r>
    </w:p>
    <w:p w14:paraId="450070CB">
      <w:pPr>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主要原因是</w:t>
      </w:r>
      <w:r>
        <w:rPr>
          <w:rFonts w:hint="eastAsia" w:ascii="仿宋_GB2312" w:eastAsia="仿宋_GB2312"/>
          <w:sz w:val="28"/>
          <w:szCs w:val="28"/>
        </w:rPr>
        <w:t>当年社保基数比上年有所提高。</w:t>
      </w:r>
    </w:p>
    <w:p w14:paraId="20EA94F5">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抚恤（款）2024年度年初预算0.00万元，2024年度决算15.72万元</w:t>
      </w:r>
      <w:r>
        <w:rPr>
          <w:rFonts w:hint="eastAsia" w:ascii="仿宋_GB2312" w:eastAsia="仿宋_GB2312"/>
          <w:sz w:val="28"/>
          <w:szCs w:val="28"/>
        </w:rPr>
        <w:t>。</w:t>
      </w:r>
      <w:r>
        <w:rPr>
          <w:rFonts w:hint="eastAsia" w:ascii="仿宋_GB2312" w:eastAsia="仿宋_GB2312"/>
          <w:sz w:val="28"/>
          <w:szCs w:val="28"/>
          <w:lang w:val="en-US" w:eastAsia="zh-CN"/>
        </w:rPr>
        <w:t>主要原因是年末追加去世人员经费。</w:t>
      </w:r>
    </w:p>
    <w:p w14:paraId="7C201D2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 2024年度年初预算</w:t>
      </w:r>
      <w:r>
        <w:rPr>
          <w:rFonts w:hint="eastAsia" w:ascii="仿宋_GB2312" w:eastAsia="仿宋_GB2312"/>
          <w:sz w:val="28"/>
          <w:szCs w:val="28"/>
          <w:lang w:val="en-US" w:eastAsia="zh-CN"/>
        </w:rPr>
        <w:t>194.22</w:t>
      </w:r>
      <w:r>
        <w:rPr>
          <w:rFonts w:hint="eastAsia" w:ascii="仿宋_GB2312" w:eastAsia="仿宋_GB2312"/>
          <w:sz w:val="28"/>
          <w:szCs w:val="28"/>
        </w:rPr>
        <w:t>万元，2024年度决算</w:t>
      </w:r>
      <w:r>
        <w:rPr>
          <w:rFonts w:hint="eastAsia" w:ascii="仿宋_GB2312" w:eastAsia="仿宋_GB2312"/>
          <w:sz w:val="28"/>
          <w:szCs w:val="28"/>
          <w:lang w:val="en-US" w:eastAsia="zh-CN"/>
        </w:rPr>
        <w:t>204.78</w:t>
      </w:r>
      <w:r>
        <w:rPr>
          <w:rFonts w:hint="eastAsia" w:ascii="仿宋_GB2312" w:eastAsia="仿宋_GB2312"/>
          <w:sz w:val="28"/>
          <w:szCs w:val="28"/>
        </w:rPr>
        <w:t>万元，完成年初预算的</w:t>
      </w:r>
      <w:r>
        <w:rPr>
          <w:rFonts w:hint="eastAsia" w:ascii="仿宋_GB2312" w:eastAsia="仿宋_GB2312"/>
          <w:sz w:val="28"/>
          <w:szCs w:val="28"/>
          <w:lang w:val="en-US" w:eastAsia="zh-CN"/>
        </w:rPr>
        <w:t>105.43</w:t>
      </w:r>
      <w:r>
        <w:rPr>
          <w:rFonts w:hint="eastAsia" w:ascii="仿宋_GB2312" w:eastAsia="仿宋_GB2312"/>
          <w:sz w:val="28"/>
          <w:szCs w:val="28"/>
        </w:rPr>
        <w:t>%。</w:t>
      </w:r>
    </w:p>
    <w:p w14:paraId="071AE0F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其中：行政事业单位医疗（款）2024年度年初预算</w:t>
      </w:r>
      <w:r>
        <w:rPr>
          <w:rFonts w:hint="eastAsia" w:ascii="仿宋_GB2312" w:eastAsia="仿宋_GB2312"/>
          <w:sz w:val="28"/>
          <w:szCs w:val="28"/>
          <w:lang w:val="en-US" w:eastAsia="zh-CN"/>
        </w:rPr>
        <w:t>194.22</w:t>
      </w:r>
      <w:r>
        <w:rPr>
          <w:rFonts w:hint="eastAsia" w:ascii="仿宋_GB2312" w:eastAsia="仿宋_GB2312"/>
          <w:sz w:val="28"/>
          <w:szCs w:val="28"/>
        </w:rPr>
        <w:t>万元，2024年度决算</w:t>
      </w:r>
      <w:r>
        <w:rPr>
          <w:rFonts w:hint="eastAsia" w:ascii="仿宋_GB2312" w:eastAsia="仿宋_GB2312"/>
          <w:sz w:val="28"/>
          <w:szCs w:val="28"/>
          <w:lang w:val="en-US" w:eastAsia="zh-CN"/>
        </w:rPr>
        <w:t>204.78</w:t>
      </w:r>
      <w:r>
        <w:rPr>
          <w:rFonts w:hint="eastAsia" w:ascii="仿宋_GB2312" w:eastAsia="仿宋_GB2312"/>
          <w:sz w:val="28"/>
          <w:szCs w:val="28"/>
        </w:rPr>
        <w:t>万元，完成年初预算的</w:t>
      </w:r>
      <w:r>
        <w:rPr>
          <w:rFonts w:hint="eastAsia" w:ascii="仿宋_GB2312" w:eastAsia="仿宋_GB2312"/>
          <w:sz w:val="28"/>
          <w:szCs w:val="28"/>
          <w:lang w:val="en-US" w:eastAsia="zh-CN"/>
        </w:rPr>
        <w:t>105.43</w:t>
      </w:r>
      <w:r>
        <w:rPr>
          <w:rFonts w:hint="eastAsia" w:ascii="仿宋_GB2312" w:eastAsia="仿宋_GB2312"/>
          <w:sz w:val="28"/>
          <w:szCs w:val="28"/>
        </w:rPr>
        <w:t>%。主要原因是当年医疗社保缴费基数比上年有所提高。</w:t>
      </w:r>
    </w:p>
    <w:p w14:paraId="68F2F1C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4、住房保障支出(类) 2024年度年初预算</w:t>
      </w:r>
      <w:r>
        <w:rPr>
          <w:rFonts w:hint="eastAsia" w:ascii="仿宋_GB2312" w:eastAsia="仿宋_GB2312"/>
          <w:sz w:val="28"/>
          <w:szCs w:val="28"/>
          <w:lang w:val="en-US" w:eastAsia="zh-CN"/>
        </w:rPr>
        <w:t>383.23</w:t>
      </w:r>
      <w:r>
        <w:rPr>
          <w:rFonts w:hint="eastAsia" w:ascii="仿宋_GB2312" w:eastAsia="仿宋_GB2312"/>
          <w:sz w:val="28"/>
          <w:szCs w:val="28"/>
        </w:rPr>
        <w:t>万元，2024年度决算</w:t>
      </w:r>
      <w:r>
        <w:rPr>
          <w:rFonts w:hint="eastAsia" w:ascii="仿宋_GB2312" w:eastAsia="仿宋_GB2312"/>
          <w:sz w:val="28"/>
          <w:szCs w:val="28"/>
          <w:lang w:val="en-US" w:eastAsia="zh-CN"/>
        </w:rPr>
        <w:t>398.21</w:t>
      </w:r>
      <w:r>
        <w:rPr>
          <w:rFonts w:hint="eastAsia" w:ascii="仿宋_GB2312" w:eastAsia="仿宋_GB2312"/>
          <w:sz w:val="28"/>
          <w:szCs w:val="28"/>
        </w:rPr>
        <w:t>万元，完成年初预算的</w:t>
      </w:r>
      <w:r>
        <w:rPr>
          <w:rFonts w:hint="eastAsia" w:ascii="仿宋_GB2312" w:eastAsia="仿宋_GB2312"/>
          <w:sz w:val="28"/>
          <w:szCs w:val="28"/>
          <w:lang w:val="en-US" w:eastAsia="zh-CN"/>
        </w:rPr>
        <w:t>103.91</w:t>
      </w:r>
      <w:r>
        <w:rPr>
          <w:rFonts w:hint="eastAsia" w:ascii="仿宋_GB2312" w:eastAsia="仿宋_GB2312"/>
          <w:sz w:val="28"/>
          <w:szCs w:val="28"/>
        </w:rPr>
        <w:t>%。</w:t>
      </w:r>
    </w:p>
    <w:p w14:paraId="6EE3AFC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其中：住房改革支出（款）2024年度年初预算</w:t>
      </w:r>
      <w:r>
        <w:rPr>
          <w:rFonts w:hint="eastAsia" w:ascii="仿宋_GB2312" w:eastAsia="仿宋_GB2312"/>
          <w:sz w:val="28"/>
          <w:szCs w:val="28"/>
          <w:lang w:val="en-US" w:eastAsia="zh-CN"/>
        </w:rPr>
        <w:t>383.23</w:t>
      </w:r>
      <w:r>
        <w:rPr>
          <w:rFonts w:hint="eastAsia" w:ascii="仿宋_GB2312" w:eastAsia="仿宋_GB2312"/>
          <w:sz w:val="28"/>
          <w:szCs w:val="28"/>
        </w:rPr>
        <w:t>万元，2024年度决算</w:t>
      </w:r>
      <w:r>
        <w:rPr>
          <w:rFonts w:hint="eastAsia" w:ascii="仿宋_GB2312" w:eastAsia="仿宋_GB2312"/>
          <w:sz w:val="28"/>
          <w:szCs w:val="28"/>
          <w:lang w:val="en-US" w:eastAsia="zh-CN"/>
        </w:rPr>
        <w:t>398.21</w:t>
      </w:r>
      <w:r>
        <w:rPr>
          <w:rFonts w:hint="eastAsia" w:ascii="仿宋_GB2312" w:eastAsia="仿宋_GB2312"/>
          <w:sz w:val="28"/>
          <w:szCs w:val="28"/>
        </w:rPr>
        <w:t>万元，完成年初预算的</w:t>
      </w:r>
      <w:r>
        <w:rPr>
          <w:rFonts w:hint="eastAsia" w:ascii="仿宋_GB2312" w:eastAsia="仿宋_GB2312"/>
          <w:sz w:val="28"/>
          <w:szCs w:val="28"/>
          <w:lang w:val="en-US" w:eastAsia="zh-CN"/>
        </w:rPr>
        <w:t>103.91</w:t>
      </w:r>
      <w:r>
        <w:rPr>
          <w:rFonts w:hint="eastAsia" w:ascii="仿宋_GB2312" w:eastAsia="仿宋_GB2312"/>
          <w:sz w:val="28"/>
          <w:szCs w:val="28"/>
        </w:rPr>
        <w:t>%。</w:t>
      </w:r>
    </w:p>
    <w:p w14:paraId="79ED44B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主要原因是住房公积金缴费基数比上年有所提高。</w:t>
      </w:r>
    </w:p>
    <w:p w14:paraId="20786FA8">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D10988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73F415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本单位无此项支出。</w:t>
      </w:r>
    </w:p>
    <w:p w14:paraId="7BC610D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817F8F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本单位无此项支出。</w:t>
      </w:r>
    </w:p>
    <w:p w14:paraId="230061C0">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7B4519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07FD4C30">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C36413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3122.66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129ACD7">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82EACA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8340796">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4D30B04">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2024年度我单位无“三公”经费支出。</w:t>
      </w:r>
    </w:p>
    <w:p w14:paraId="4F9349B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9969AEF">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14:paraId="24383999">
      <w:pPr>
        <w:ind w:left="540"/>
        <w:rPr>
          <w:rFonts w:hint="eastAsia" w:ascii="黑体" w:eastAsia="黑体"/>
          <w:sz w:val="28"/>
          <w:szCs w:val="28"/>
        </w:rPr>
      </w:pPr>
      <w:r>
        <w:rPr>
          <w:rFonts w:hint="eastAsia" w:ascii="黑体" w:eastAsia="黑体"/>
          <w:sz w:val="28"/>
          <w:szCs w:val="28"/>
        </w:rPr>
        <w:t>三、政府采购支出情况</w:t>
      </w:r>
    </w:p>
    <w:p w14:paraId="051B586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33.65</w:t>
      </w:r>
      <w:r>
        <w:rPr>
          <w:rFonts w:hint="eastAsia" w:ascii="仿宋_GB2312" w:eastAsia="仿宋_GB2312"/>
          <w:sz w:val="28"/>
          <w:szCs w:val="28"/>
        </w:rPr>
        <w:t>万元，其中：政府采购货物支出</w:t>
      </w:r>
      <w:r>
        <w:rPr>
          <w:rFonts w:ascii="仿宋_GB2312" w:eastAsia="仿宋_GB2312"/>
          <w:sz w:val="28"/>
          <w:szCs w:val="28"/>
        </w:rPr>
        <w:t>5.89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27.76</w:t>
      </w:r>
      <w:r>
        <w:rPr>
          <w:rFonts w:hint="eastAsia" w:ascii="仿宋_GB2312" w:eastAsia="仿宋_GB2312"/>
          <w:sz w:val="28"/>
          <w:szCs w:val="28"/>
        </w:rPr>
        <w:t>万元。授予中小企业合同金额</w:t>
      </w:r>
      <w:r>
        <w:rPr>
          <w:rFonts w:ascii="仿宋_GB2312" w:eastAsia="仿宋_GB2312"/>
          <w:sz w:val="28"/>
          <w:szCs w:val="28"/>
        </w:rPr>
        <w:t>33.65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21.39</w:t>
      </w:r>
      <w:r>
        <w:rPr>
          <w:rFonts w:hint="eastAsia" w:ascii="仿宋_GB2312" w:eastAsia="仿宋_GB2312"/>
          <w:sz w:val="28"/>
          <w:szCs w:val="28"/>
        </w:rPr>
        <w:t>万元，占政府采购支出总额的</w:t>
      </w:r>
      <w:r>
        <w:rPr>
          <w:rFonts w:ascii="仿宋_GB2312" w:eastAsia="仿宋_GB2312"/>
          <w:sz w:val="28"/>
          <w:szCs w:val="28"/>
        </w:rPr>
        <w:t>63.56</w:t>
      </w:r>
      <w:r>
        <w:rPr>
          <w:rFonts w:hint="eastAsia" w:ascii="仿宋_GB2312" w:eastAsia="仿宋_GB2312"/>
          <w:sz w:val="28"/>
          <w:szCs w:val="28"/>
        </w:rPr>
        <w:t>%。</w:t>
      </w:r>
    </w:p>
    <w:p w14:paraId="6F9B5D24">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EC662F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12月31日，北京市西城区实验幼儿园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FE90F6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7F9E0F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12C98A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4D5586B">
      <w:pPr>
        <w:jc w:val="both"/>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BAC3B98">
      <w:pPr>
        <w:jc w:val="both"/>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A2CAED8">
      <w:pPr>
        <w:jc w:val="both"/>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AD8941A">
      <w:pPr>
        <w:jc w:val="both"/>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E544A36">
      <w:pPr>
        <w:jc w:val="both"/>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5809B12A">
      <w:pPr>
        <w:jc w:val="both"/>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0E2F08A">
      <w:pPr>
        <w:jc w:val="both"/>
        <w:rPr>
          <w:rFonts w:hint="eastAsia" w:ascii="仿宋_GB2312" w:eastAsia="仿宋_GB2312"/>
          <w:sz w:val="28"/>
          <w:szCs w:val="28"/>
        </w:rPr>
      </w:pPr>
      <w:r>
        <w:rPr>
          <w:rFonts w:hint="eastAsia" w:ascii="仿宋_GB2312" w:eastAsia="仿宋_GB2312"/>
          <w:sz w:val="28"/>
          <w:szCs w:val="28"/>
        </w:rPr>
        <w:t>7.教育支出（类）普通教育（款）学前教育（项）：反映本部门举办的学前教育支出。</w:t>
      </w:r>
    </w:p>
    <w:p w14:paraId="3C787F06">
      <w:pPr>
        <w:jc w:val="both"/>
        <w:rPr>
          <w:rFonts w:hint="eastAsia" w:ascii="仿宋_GB2312" w:eastAsia="仿宋_GB2312"/>
          <w:sz w:val="28"/>
          <w:szCs w:val="28"/>
        </w:rPr>
      </w:pPr>
      <w:r>
        <w:rPr>
          <w:rFonts w:hint="eastAsia" w:ascii="仿宋_GB2312" w:eastAsia="仿宋_GB2312"/>
          <w:sz w:val="28"/>
          <w:szCs w:val="28"/>
        </w:rPr>
        <w:t>8.教育支出（类）进修及培训（款）培训支出（项）：反映本部门安排的用于培训的支出。</w:t>
      </w:r>
    </w:p>
    <w:p w14:paraId="2D1FE764">
      <w:pPr>
        <w:jc w:val="both"/>
        <w:rPr>
          <w:rFonts w:hint="eastAsia" w:ascii="仿宋_GB2312" w:eastAsia="仿宋_GB2312"/>
          <w:sz w:val="28"/>
          <w:szCs w:val="28"/>
        </w:rPr>
      </w:pPr>
      <w:r>
        <w:rPr>
          <w:rFonts w:hint="eastAsia" w:ascii="仿宋_GB2312" w:eastAsia="仿宋_GB2312"/>
          <w:sz w:val="28"/>
          <w:szCs w:val="28"/>
        </w:rPr>
        <w:t>9.教育支出（类）教育费附加安排的支出（款）其他教育费附加安排的支出（项）：反映除上述项目以外的教育费附加支出。</w:t>
      </w:r>
    </w:p>
    <w:p w14:paraId="5B6D7763">
      <w:pPr>
        <w:jc w:val="both"/>
        <w:rPr>
          <w:rFonts w:hint="eastAsia" w:ascii="仿宋_GB2312" w:eastAsia="仿宋_GB2312"/>
          <w:sz w:val="28"/>
          <w:szCs w:val="28"/>
        </w:rPr>
      </w:pPr>
      <w:r>
        <w:rPr>
          <w:rFonts w:hint="eastAsia" w:ascii="仿宋_GB2312" w:eastAsia="仿宋_GB2312"/>
          <w:sz w:val="28"/>
          <w:szCs w:val="28"/>
        </w:rPr>
        <w:t>10.社会保障和就业支出（类）行政事业单位养老支出（款）事业单位离退休（项）：反映事业单位开支的离退休经费。</w:t>
      </w:r>
    </w:p>
    <w:p w14:paraId="6FF117D6">
      <w:pPr>
        <w:jc w:val="both"/>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14:paraId="30A1DC07">
      <w:pPr>
        <w:jc w:val="both"/>
        <w:rPr>
          <w:rFonts w:hint="eastAsia"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p>
    <w:p w14:paraId="799A5A51">
      <w:pPr>
        <w:jc w:val="both"/>
        <w:rPr>
          <w:rFonts w:hint="eastAsia" w:ascii="仿宋_GB2312" w:eastAsia="仿宋_GB2312"/>
          <w:sz w:val="28"/>
          <w:szCs w:val="28"/>
        </w:rPr>
      </w:pPr>
      <w:r>
        <w:rPr>
          <w:rFonts w:hint="eastAsia" w:ascii="仿宋_GB2312" w:eastAsia="仿宋_GB2312"/>
          <w:sz w:val="28"/>
          <w:szCs w:val="28"/>
        </w:rPr>
        <w:t>13.社会保障和就业支出（类）抚恤（款）死亡抚恤（项）：反映按规定用于烈士和牺牲、病故人员家属的一次性和定期抚恤金、丧葬补助费以及烈士褒扬金。</w:t>
      </w:r>
    </w:p>
    <w:p w14:paraId="795D2DA4">
      <w:pPr>
        <w:jc w:val="both"/>
        <w:rPr>
          <w:rFonts w:hint="eastAsia"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6F044F39">
      <w:pPr>
        <w:jc w:val="both"/>
        <w:rPr>
          <w:rFonts w:hint="eastAsia" w:ascii="仿宋_GB2312" w:eastAsia="仿宋_GB2312"/>
          <w:sz w:val="28"/>
          <w:szCs w:val="28"/>
        </w:rPr>
      </w:pPr>
      <w:r>
        <w:rPr>
          <w:rFonts w:hint="eastAsia" w:ascii="仿宋_GB2312" w:eastAsia="仿宋_GB2312"/>
          <w:sz w:val="28"/>
          <w:szCs w:val="28"/>
        </w:rPr>
        <w:t>15.住房保障支出（类）住房改革支出（款）住房公积金（项）：反映行政事业单位按人力资源和社会保障部、财政部规定的基本工资和津贴补贴以及规定比例为职工缴纳的住房公积金。</w:t>
      </w:r>
    </w:p>
    <w:p w14:paraId="6A838239">
      <w:pPr>
        <w:jc w:val="both"/>
        <w:rPr>
          <w:rFonts w:hint="eastAsia" w:ascii="仿宋_GB2312" w:eastAsia="仿宋_GB2312"/>
          <w:sz w:val="28"/>
          <w:szCs w:val="28"/>
        </w:rPr>
      </w:pPr>
      <w:r>
        <w:rPr>
          <w:rFonts w:hint="eastAsia" w:ascii="仿宋_GB2312" w:eastAsia="仿宋_GB2312"/>
          <w:sz w:val="28"/>
          <w:szCs w:val="28"/>
        </w:rPr>
        <w:t>16.住房保障支出（类）住房改革支出（款）提租补贴（项）：反映按房改政策规定的标准，行政事业单位向职工（含离退休人员）发放的租金补助。</w:t>
      </w:r>
    </w:p>
    <w:p w14:paraId="43C79E84">
      <w:pPr>
        <w:jc w:val="both"/>
        <w:rPr>
          <w:rFonts w:hint="eastAsia" w:ascii="黑体" w:eastAsia="黑体"/>
          <w:sz w:val="32"/>
          <w:szCs w:val="32"/>
        </w:rPr>
      </w:pPr>
      <w:r>
        <w:rPr>
          <w:rFonts w:hint="eastAsia" w:ascii="仿宋_GB2312" w:eastAsia="仿宋_GB2312"/>
          <w:sz w:val="28"/>
          <w:szCs w:val="28"/>
        </w:rPr>
        <w:t>17.住房保障支出（类）住房改革支出（款）购房补贴（项）：反映按房改政策规定的标准，行政事业单位向符合条件职工（含离退休人员）发放的用于购买住房的补贴。</w:t>
      </w:r>
    </w:p>
    <w:p w14:paraId="3052BE21">
      <w:pPr>
        <w:tabs>
          <w:tab w:val="center" w:pos="6979"/>
        </w:tabs>
        <w:spacing w:line="380" w:lineRule="exact"/>
        <w:jc w:val="center"/>
        <w:rPr>
          <w:rFonts w:ascii="宋体" w:hAnsi="宋体" w:cs="宋体"/>
          <w:b/>
          <w:bCs/>
          <w:kern w:val="0"/>
          <w:sz w:val="28"/>
          <w:szCs w:val="28"/>
        </w:rPr>
      </w:pPr>
    </w:p>
    <w:p w14:paraId="29707FC6">
      <w:pPr>
        <w:pStyle w:val="2"/>
        <w:rPr>
          <w:rFonts w:ascii="宋体" w:hAnsi="宋体" w:cs="宋体"/>
          <w:b/>
          <w:bCs/>
          <w:kern w:val="0"/>
          <w:sz w:val="28"/>
          <w:szCs w:val="28"/>
        </w:rPr>
      </w:pPr>
    </w:p>
    <w:p w14:paraId="5904AF19">
      <w:pPr>
        <w:rPr>
          <w:rFonts w:ascii="宋体" w:hAnsi="宋体" w:cs="宋体"/>
          <w:b/>
          <w:bCs/>
          <w:kern w:val="0"/>
          <w:sz w:val="28"/>
          <w:szCs w:val="28"/>
        </w:rPr>
      </w:pPr>
    </w:p>
    <w:p w14:paraId="72D86106">
      <w:pPr>
        <w:pStyle w:val="2"/>
        <w:rPr>
          <w:rFonts w:ascii="宋体" w:hAnsi="宋体" w:cs="宋体"/>
          <w:b/>
          <w:bCs/>
          <w:kern w:val="0"/>
          <w:sz w:val="28"/>
          <w:szCs w:val="28"/>
        </w:rPr>
      </w:pPr>
    </w:p>
    <w:p w14:paraId="1CA02DBF">
      <w:pPr>
        <w:rPr>
          <w:rFonts w:ascii="宋体" w:hAnsi="宋体" w:cs="宋体"/>
          <w:b/>
          <w:bCs/>
          <w:kern w:val="0"/>
          <w:sz w:val="28"/>
          <w:szCs w:val="28"/>
        </w:rPr>
      </w:pPr>
    </w:p>
    <w:p w14:paraId="50016DAA">
      <w:pPr>
        <w:pStyle w:val="2"/>
        <w:rPr>
          <w:rFonts w:ascii="宋体" w:hAnsi="宋体" w:cs="宋体"/>
          <w:b/>
          <w:bCs/>
          <w:kern w:val="0"/>
          <w:sz w:val="28"/>
          <w:szCs w:val="28"/>
        </w:rPr>
      </w:pPr>
    </w:p>
    <w:p w14:paraId="48C6A49C">
      <w:pPr>
        <w:rPr>
          <w:rFonts w:ascii="宋体" w:hAnsi="宋体" w:cs="宋体"/>
          <w:b/>
          <w:bCs/>
          <w:kern w:val="0"/>
          <w:sz w:val="28"/>
          <w:szCs w:val="28"/>
        </w:rPr>
      </w:pPr>
    </w:p>
    <w:p w14:paraId="3666DE06">
      <w:pPr>
        <w:pStyle w:val="2"/>
      </w:pPr>
    </w:p>
    <w:p w14:paraId="07379C7D">
      <w:pPr>
        <w:tabs>
          <w:tab w:val="center" w:pos="6979"/>
        </w:tabs>
        <w:spacing w:line="380" w:lineRule="exact"/>
        <w:jc w:val="center"/>
        <w:rPr>
          <w:rFonts w:ascii="宋体" w:hAnsi="宋体" w:cs="宋体"/>
          <w:b/>
          <w:bCs/>
          <w:kern w:val="0"/>
          <w:sz w:val="28"/>
          <w:szCs w:val="28"/>
        </w:rPr>
      </w:pPr>
    </w:p>
    <w:p w14:paraId="37EF7128">
      <w:pPr>
        <w:jc w:val="both"/>
        <w:rPr>
          <w:rFonts w:hint="eastAsia" w:ascii="黑体" w:eastAsia="黑体"/>
          <w:sz w:val="32"/>
          <w:szCs w:val="32"/>
        </w:rPr>
      </w:pPr>
    </w:p>
    <w:p w14:paraId="7E781FC3">
      <w:pPr>
        <w:ind w:firstLine="640" w:firstLineChars="200"/>
        <w:jc w:val="center"/>
        <w:rPr>
          <w:rFonts w:hint="eastAsia" w:ascii="黑体" w:eastAsia="黑体"/>
          <w:sz w:val="32"/>
          <w:szCs w:val="32"/>
        </w:rPr>
      </w:pPr>
    </w:p>
    <w:p w14:paraId="08C6F74F">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E27571C">
      <w:pPr>
        <w:ind w:firstLine="560" w:firstLineChars="200"/>
        <w:rPr>
          <w:rFonts w:hint="eastAsia" w:ascii="黑体" w:eastAsia="黑体"/>
          <w:sz w:val="28"/>
          <w:szCs w:val="28"/>
          <w:highlight w:val="yellow"/>
        </w:rPr>
      </w:pPr>
    </w:p>
    <w:p w14:paraId="3FBBA162">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7A26BD0E">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794953EC">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2632691C">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55DA3E43">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7679DDF">
      <w:pPr>
        <w:spacing w:line="480" w:lineRule="exact"/>
        <w:rPr>
          <w:rFonts w:hint="eastAsia" w:ascii="仿宋_GB2312" w:hAnsi="仿宋_GB2312" w:eastAsia="仿宋_GB2312" w:cs="仿宋_GB2312"/>
          <w:sz w:val="32"/>
          <w:szCs w:val="32"/>
        </w:rPr>
      </w:pPr>
    </w:p>
    <w:p w14:paraId="11D1EAA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F716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D82871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2136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4B04D8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521F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BC1F4A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E1F2B19"/>
    <w:multiLevelType w:val="singleLevel"/>
    <w:tmpl w:val="0E1F2B19"/>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663886"/>
    <w:rsid w:val="0BA148CA"/>
    <w:rsid w:val="0C1165C4"/>
    <w:rsid w:val="0D6D544B"/>
    <w:rsid w:val="0DD136FE"/>
    <w:rsid w:val="0F8E2C57"/>
    <w:rsid w:val="1059665E"/>
    <w:rsid w:val="10AC13BA"/>
    <w:rsid w:val="145A6C1B"/>
    <w:rsid w:val="14B73493"/>
    <w:rsid w:val="167A2FF9"/>
    <w:rsid w:val="17263548"/>
    <w:rsid w:val="18581C69"/>
    <w:rsid w:val="1AEC0734"/>
    <w:rsid w:val="1DEF20B0"/>
    <w:rsid w:val="214243FA"/>
    <w:rsid w:val="21AD613C"/>
    <w:rsid w:val="22467189"/>
    <w:rsid w:val="257A14F5"/>
    <w:rsid w:val="25F87BF5"/>
    <w:rsid w:val="27196C26"/>
    <w:rsid w:val="29EF086F"/>
    <w:rsid w:val="2EFFE297"/>
    <w:rsid w:val="301437CA"/>
    <w:rsid w:val="349D1F0A"/>
    <w:rsid w:val="34DD0473"/>
    <w:rsid w:val="3C684897"/>
    <w:rsid w:val="3E6E3876"/>
    <w:rsid w:val="433E495C"/>
    <w:rsid w:val="46911EDD"/>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8525057"/>
    <w:rsid w:val="71793A80"/>
    <w:rsid w:val="7357290B"/>
    <w:rsid w:val="78FA4686"/>
    <w:rsid w:val="798524E4"/>
    <w:rsid w:val="7A107117"/>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3704.12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e508f9e-234b-49bc-b35b-700b1184cc4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3122.66</c:v>
                </c:pt>
                <c:pt idx="1">
                  <c:v>581.45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164b8b0-3986-4ed4-9e2f-a7b0edbfd066}"/>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1299</Words>
  <Characters>1595</Characters>
  <Lines>44</Lines>
  <Paragraphs>12</Paragraphs>
  <TotalTime>26</TotalTime>
  <ScaleCrop>false</ScaleCrop>
  <LinksUpToDate>false</LinksUpToDate>
  <CharactersWithSpaces>1614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2025-08-27T12:11:57Z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