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1DE1E">
      <w:pPr>
        <w:jc w:val="center"/>
        <w:rPr>
          <w:rFonts w:ascii="仿宋_GB2312" w:eastAsia="仿宋_GB2312"/>
          <w:b/>
          <w:sz w:val="32"/>
          <w:szCs w:val="32"/>
        </w:rPr>
      </w:pPr>
    </w:p>
    <w:p w14:paraId="11560E4A">
      <w:pPr>
        <w:jc w:val="center"/>
        <w:rPr>
          <w:rFonts w:ascii="黑体" w:eastAsia="黑体"/>
          <w:sz w:val="72"/>
          <w:szCs w:val="72"/>
        </w:rPr>
      </w:pPr>
    </w:p>
    <w:p w14:paraId="5111D78E">
      <w:pPr>
        <w:jc w:val="center"/>
        <w:rPr>
          <w:rFonts w:ascii="黑体" w:eastAsia="黑体"/>
          <w:sz w:val="72"/>
          <w:szCs w:val="72"/>
        </w:rPr>
      </w:pPr>
    </w:p>
    <w:p w14:paraId="22D9D427">
      <w:pPr>
        <w:jc w:val="center"/>
        <w:rPr>
          <w:rFonts w:ascii="黑体" w:eastAsia="黑体"/>
          <w:sz w:val="72"/>
          <w:szCs w:val="72"/>
        </w:rPr>
      </w:pPr>
    </w:p>
    <w:p w14:paraId="39354800">
      <w:pPr>
        <w:jc w:val="center"/>
        <w:rPr>
          <w:rFonts w:ascii="黑体" w:eastAsia="黑体"/>
          <w:sz w:val="72"/>
          <w:szCs w:val="72"/>
        </w:rPr>
      </w:pPr>
    </w:p>
    <w:p w14:paraId="406AE760">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33C7AAEF">
      <w:pPr>
        <w:jc w:val="center"/>
        <w:rPr>
          <w:rFonts w:ascii="黑体" w:eastAsia="黑体"/>
          <w:sz w:val="52"/>
          <w:szCs w:val="52"/>
        </w:rPr>
      </w:pPr>
    </w:p>
    <w:p w14:paraId="1796CB39">
      <w:pPr>
        <w:jc w:val="center"/>
        <w:rPr>
          <w:rFonts w:ascii="黑体" w:eastAsia="黑体"/>
          <w:sz w:val="52"/>
          <w:szCs w:val="52"/>
        </w:rPr>
      </w:pPr>
    </w:p>
    <w:p w14:paraId="621C4122">
      <w:pPr>
        <w:jc w:val="center"/>
        <w:rPr>
          <w:rFonts w:ascii="黑体" w:eastAsia="黑体"/>
          <w:sz w:val="52"/>
          <w:szCs w:val="52"/>
        </w:rPr>
      </w:pPr>
    </w:p>
    <w:p w14:paraId="4EE83624">
      <w:pPr>
        <w:jc w:val="center"/>
        <w:rPr>
          <w:rFonts w:ascii="黑体" w:eastAsia="黑体"/>
          <w:sz w:val="52"/>
          <w:szCs w:val="52"/>
        </w:rPr>
      </w:pPr>
    </w:p>
    <w:p w14:paraId="6B93BFF5">
      <w:pPr>
        <w:jc w:val="center"/>
        <w:rPr>
          <w:rFonts w:ascii="黑体" w:eastAsia="黑体"/>
          <w:sz w:val="32"/>
          <w:szCs w:val="32"/>
        </w:rPr>
      </w:pPr>
    </w:p>
    <w:p w14:paraId="185E90D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6C26D70">
      <w:pPr>
        <w:spacing w:line="500" w:lineRule="exact"/>
        <w:ind w:firstLine="645"/>
        <w:jc w:val="center"/>
        <w:rPr>
          <w:rFonts w:ascii="宋体" w:hAnsi="宋体" w:cs="宋体"/>
          <w:b/>
          <w:bCs/>
          <w:kern w:val="0"/>
          <w:sz w:val="36"/>
          <w:szCs w:val="36"/>
        </w:rPr>
      </w:pPr>
    </w:p>
    <w:p w14:paraId="0F779D0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70458BC4">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D6BF64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AD5E13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43046B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BE229A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A74AA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9D9C7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0BC59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7475F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7FF134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D63DC6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C31EE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5558AC8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134F00F2">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061AB64">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4017986D">
      <w:pPr>
        <w:tabs>
          <w:tab w:val="center" w:pos="6979"/>
        </w:tabs>
        <w:spacing w:before="156" w:beforeLines="50" w:after="156" w:afterLines="50"/>
        <w:jc w:val="center"/>
        <w:rPr>
          <w:rFonts w:ascii="宋体" w:hAnsi="宋体" w:cs="宋体"/>
          <w:b/>
          <w:bCs/>
          <w:spacing w:val="40"/>
          <w:kern w:val="0"/>
          <w:sz w:val="32"/>
          <w:szCs w:val="32"/>
        </w:rPr>
      </w:pPr>
    </w:p>
    <w:p w14:paraId="731BBC93">
      <w:pPr>
        <w:tabs>
          <w:tab w:val="center" w:pos="6979"/>
        </w:tabs>
        <w:spacing w:before="156" w:beforeLines="50" w:after="156" w:afterLines="50"/>
        <w:jc w:val="center"/>
        <w:rPr>
          <w:rFonts w:ascii="宋体" w:hAnsi="宋体" w:cs="宋体"/>
          <w:b/>
          <w:bCs/>
          <w:spacing w:val="40"/>
          <w:kern w:val="0"/>
          <w:sz w:val="32"/>
          <w:szCs w:val="32"/>
        </w:rPr>
      </w:pPr>
    </w:p>
    <w:p w14:paraId="7720BEBD">
      <w:pPr>
        <w:tabs>
          <w:tab w:val="center" w:pos="6979"/>
        </w:tabs>
        <w:spacing w:before="156" w:beforeLines="50" w:after="156" w:afterLines="50"/>
        <w:jc w:val="center"/>
        <w:rPr>
          <w:rFonts w:ascii="宋体" w:hAnsi="宋体" w:cs="宋体"/>
          <w:b/>
          <w:bCs/>
          <w:spacing w:val="40"/>
          <w:kern w:val="0"/>
          <w:sz w:val="32"/>
          <w:szCs w:val="32"/>
        </w:rPr>
      </w:pPr>
    </w:p>
    <w:p w14:paraId="7A1F8D09">
      <w:pPr>
        <w:tabs>
          <w:tab w:val="center" w:pos="6979"/>
        </w:tabs>
        <w:spacing w:before="156" w:beforeLines="50" w:after="156" w:afterLines="50"/>
        <w:jc w:val="center"/>
        <w:rPr>
          <w:rFonts w:ascii="宋体" w:hAnsi="宋体" w:cs="宋体"/>
          <w:b/>
          <w:bCs/>
          <w:spacing w:val="40"/>
          <w:kern w:val="0"/>
          <w:sz w:val="32"/>
          <w:szCs w:val="32"/>
        </w:rPr>
      </w:pPr>
    </w:p>
    <w:p w14:paraId="34D9B76A">
      <w:pPr>
        <w:tabs>
          <w:tab w:val="center" w:pos="6979"/>
        </w:tabs>
        <w:spacing w:before="156" w:beforeLines="50" w:after="156" w:afterLines="50"/>
        <w:jc w:val="center"/>
        <w:rPr>
          <w:rFonts w:ascii="宋体" w:hAnsi="宋体" w:cs="宋体"/>
          <w:b/>
          <w:bCs/>
          <w:spacing w:val="40"/>
          <w:kern w:val="0"/>
          <w:sz w:val="32"/>
          <w:szCs w:val="32"/>
        </w:rPr>
      </w:pPr>
    </w:p>
    <w:p w14:paraId="544186A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797A299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1091F34">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58E5A4A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710959E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机构设置、职责</w:t>
      </w:r>
      <w:r>
        <w:rPr>
          <w:rFonts w:hint="eastAsia" w:ascii="仿宋_GB2312" w:eastAsia="仿宋_GB2312"/>
          <w:sz w:val="28"/>
          <w:szCs w:val="28"/>
          <w:lang w:eastAsia="zh-CN"/>
        </w:rPr>
        <w:t>：</w:t>
      </w:r>
      <w:bookmarkStart w:id="0" w:name="_GoBack"/>
      <w:bookmarkEnd w:id="0"/>
      <w:r>
        <w:rPr>
          <w:rFonts w:hint="eastAsia" w:ascii="仿宋_GB2312" w:eastAsia="仿宋_GB2312"/>
          <w:sz w:val="28"/>
          <w:szCs w:val="28"/>
        </w:rPr>
        <w:t>我园为学前教育（幼儿园），主要职责为学龄前儿童提供保育和教育服务。</w:t>
      </w:r>
    </w:p>
    <w:p w14:paraId="0CFD6808">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A5434E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3980.35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减少265.61万元，下降6.26%。</w:t>
      </w:r>
    </w:p>
    <w:p w14:paraId="402375C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D5BDDD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3980.35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减少265.61万元，下降6.26%。</w:t>
      </w:r>
    </w:p>
    <w:p w14:paraId="3110EA7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3980.35</w:t>
      </w:r>
      <w:r>
        <w:rPr>
          <w:rFonts w:hint="eastAsia" w:ascii="仿宋_GB2312" w:eastAsia="仿宋_GB2312"/>
          <w:sz w:val="28"/>
          <w:szCs w:val="28"/>
        </w:rPr>
        <w:t>万元，占收入合计的100%。其中：一般公共预算财政拨款收入</w:t>
      </w:r>
      <w:r>
        <w:rPr>
          <w:rFonts w:ascii="仿宋_GB2312" w:eastAsia="仿宋_GB2312"/>
          <w:sz w:val="28"/>
          <w:szCs w:val="28"/>
        </w:rPr>
        <w:t>3980.35</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68A4AA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2FD2710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6F1E4A5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2D97CFA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4D087A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57F506DD">
      <w:pPr>
        <w:pStyle w:val="2"/>
        <w:jc w:val="center"/>
      </w:pPr>
      <w:r>
        <w:rPr>
          <w:rFonts w:hint="eastAsia" w:ascii="仿宋_GB2312" w:eastAsia="仿宋_GB2312"/>
          <w:color w:val="000000"/>
          <w:sz w:val="32"/>
        </w:rPr>
        <w:t>图1：收入决算</w:t>
      </w:r>
    </w:p>
    <w:p w14:paraId="0142A17D">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D61105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569912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3980.35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减少265.61万元，下降6.26%，其中：基本支出</w:t>
      </w:r>
      <w:r>
        <w:rPr>
          <w:rFonts w:ascii="仿宋_GB2312" w:eastAsia="仿宋_GB2312"/>
          <w:sz w:val="28"/>
          <w:szCs w:val="28"/>
        </w:rPr>
        <w:t>3180.9</w:t>
      </w:r>
      <w:r>
        <w:rPr>
          <w:rFonts w:hint="eastAsia" w:ascii="仿宋_GB2312" w:eastAsia="仿宋_GB2312"/>
          <w:sz w:val="28"/>
          <w:szCs w:val="28"/>
        </w:rPr>
        <w:t>万元，占支出合计的79.92%；项目支出</w:t>
      </w:r>
      <w:r>
        <w:rPr>
          <w:rFonts w:ascii="仿宋_GB2312" w:eastAsia="仿宋_GB2312"/>
          <w:sz w:val="28"/>
          <w:szCs w:val="28"/>
        </w:rPr>
        <w:t>799.45</w:t>
      </w:r>
      <w:r>
        <w:rPr>
          <w:rFonts w:hint="eastAsia" w:ascii="仿宋_GB2312" w:eastAsia="仿宋_GB2312"/>
          <w:sz w:val="28"/>
          <w:szCs w:val="28"/>
        </w:rPr>
        <w:t>万元，占支出合计的20.08%;上缴上级支出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EB5134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9A82CE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BCBC53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D95018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3980.35</w:t>
      </w:r>
      <w:r>
        <w:rPr>
          <w:rFonts w:hint="eastAsia" w:ascii="仿宋_GB2312" w:eastAsia="仿宋_GB2312"/>
          <w:sz w:val="28"/>
          <w:szCs w:val="28"/>
        </w:rPr>
        <w:t>万元，比上年减少265.61万元，下降6.26%。主要原因：2023年有大型工程项目网络全覆盖和3号楼外立面粉刷工程。</w:t>
      </w:r>
    </w:p>
    <w:p w14:paraId="505C748A">
      <w:pPr>
        <w:pStyle w:val="2"/>
      </w:pPr>
      <w:r>
        <w:rPr>
          <w:rFonts w:hint="eastAsia"/>
        </w:rPr>
        <w:t xml:space="preserve">    </w:t>
      </w:r>
    </w:p>
    <w:p w14:paraId="5537A322">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3B771FA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3312CE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3980.35</w:t>
      </w:r>
      <w:r>
        <w:rPr>
          <w:rFonts w:hint="eastAsia" w:ascii="仿宋_GB2312" w:eastAsia="仿宋_GB2312"/>
          <w:sz w:val="28"/>
          <w:szCs w:val="28"/>
        </w:rPr>
        <w:t>万元，主要用于以下方面（按大类）：一般公共服务支出3980.35万元，占本年财政拨款支出100%。“一般公共服务支出”（类）2024年度年初预算3980.35万元，2024年度决算3980.35万元，完成年初预算的100%。</w:t>
      </w:r>
    </w:p>
    <w:p w14:paraId="78C17AA4">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0E298060">
      <w:pPr>
        <w:pStyle w:val="2"/>
        <w:ind w:firstLine="560" w:firstLineChars="200"/>
        <w:rPr>
          <w:rFonts w:ascii="仿宋_GB2312" w:eastAsia="仿宋_GB2312"/>
          <w:sz w:val="28"/>
          <w:szCs w:val="28"/>
        </w:rPr>
      </w:pPr>
      <w:r>
        <w:rPr>
          <w:rFonts w:hint="eastAsia" w:ascii="仿宋_GB2312" w:hAnsi="Times New Roman" w:eastAsia="仿宋_GB2312"/>
          <w:b w:val="0"/>
          <w:bCs w:val="0"/>
          <w:kern w:val="2"/>
          <w:sz w:val="28"/>
          <w:szCs w:val="28"/>
        </w:rPr>
        <w:t>教育支出2962.39万元，占74.73%；社会保障和就业支出417.62万元，占10.49%；卫生健康支出163.26万元，占4.1%；住房保障支出437.09万元，占10.98%</w:t>
      </w:r>
      <w:r>
        <w:rPr>
          <w:rFonts w:hint="eastAsia" w:ascii="仿宋_GB2312" w:eastAsia="仿宋_GB2312"/>
          <w:sz w:val="28"/>
          <w:szCs w:val="28"/>
        </w:rPr>
        <w:t xml:space="preserve">    </w:t>
      </w:r>
    </w:p>
    <w:p w14:paraId="78CE14F4">
      <w:pPr>
        <w:pStyle w:val="2"/>
        <w:ind w:firstLine="560" w:firstLineChars="200"/>
        <w:rPr>
          <w:rFonts w:ascii="仿宋_GB2312" w:eastAsia="仿宋_GB2312"/>
          <w:sz w:val="28"/>
          <w:szCs w:val="28"/>
        </w:rPr>
      </w:pPr>
      <w:r>
        <w:rPr>
          <w:rFonts w:hint="eastAsia" w:ascii="仿宋_GB2312" w:hAnsi="Times New Roman" w:eastAsia="仿宋_GB2312"/>
          <w:b w:val="0"/>
          <w:bCs w:val="0"/>
          <w:kern w:val="2"/>
          <w:sz w:val="28"/>
          <w:szCs w:val="28"/>
        </w:rPr>
        <w:t>普通教育支出2955.91万元，社会保障和就业支出417.62万元，卫生健康支出163.26万元，住房保障支出437.09万元。</w:t>
      </w:r>
    </w:p>
    <w:p w14:paraId="6ACC00F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7BA407F">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1、“教育支出”(类)2024年度年初预算2797.44万元，2024年度决算2962.39万元，完成年初预算的105.90%。其中：</w:t>
      </w:r>
    </w:p>
    <w:p w14:paraId="37618C20">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“普通教育”（款）2024年度年初预算2790.96万元，2024年度决算2955.91万元，完成年初预算的105.91%。主要原因：追加外聘人员经费、追加2024年人员经费。</w:t>
      </w:r>
    </w:p>
    <w:p w14:paraId="10CB883A">
      <w:pPr>
        <w:spacing w:line="580" w:lineRule="exact"/>
        <w:ind w:firstLine="420" w:firstLineChars="200"/>
        <w:rPr>
          <w:rFonts w:ascii="仿宋_GB2312" w:eastAsia="仿宋_GB2312"/>
          <w:sz w:val="28"/>
          <w:szCs w:val="28"/>
        </w:rPr>
      </w:pPr>
      <w:r>
        <w:rPr>
          <w:rFonts w:hint="eastAsia"/>
        </w:rPr>
        <w:t xml:space="preserve">   </w:t>
      </w:r>
      <w:r>
        <w:rPr>
          <w:rFonts w:hint="eastAsia" w:ascii="仿宋_GB2312" w:eastAsia="仿宋_GB2312"/>
          <w:sz w:val="28"/>
          <w:szCs w:val="28"/>
        </w:rPr>
        <w:t>“进修及培训”（款）2024年度年初预算6.48万元，2024年度决算6.48万元，完成年初预算的100%。主要原因：完成培训。</w:t>
      </w:r>
    </w:p>
    <w:p w14:paraId="0CD00BC7">
      <w:pPr>
        <w:numPr>
          <w:ilvl w:val="0"/>
          <w:numId w:val="1"/>
        </w:numPr>
        <w:spacing w:line="580" w:lineRule="exact"/>
        <w:rPr>
          <w:rFonts w:ascii="仿宋_GB2312" w:eastAsia="仿宋_GB2312"/>
          <w:sz w:val="28"/>
          <w:szCs w:val="28"/>
        </w:rPr>
      </w:pPr>
      <w:r>
        <w:rPr>
          <w:rFonts w:hint="eastAsia" w:ascii="仿宋_GB2312" w:eastAsia="仿宋_GB2312"/>
          <w:sz w:val="28"/>
          <w:szCs w:val="28"/>
        </w:rPr>
        <w:t>“社会保障和就业支出”(类)2024年度年初预算420.43万元，2024年度决算417.62万元，完成年初预算的99.33%。其中：</w:t>
      </w:r>
    </w:p>
    <w:p w14:paraId="47E174EE">
      <w:pPr>
        <w:pStyle w:val="2"/>
        <w:ind w:left="735"/>
        <w:rPr>
          <w:rFonts w:ascii="仿宋_GB2312" w:hAnsi="Times New Roman" w:eastAsia="仿宋_GB2312"/>
          <w:b w:val="0"/>
          <w:bCs w:val="0"/>
          <w:kern w:val="2"/>
          <w:sz w:val="28"/>
          <w:szCs w:val="28"/>
        </w:rPr>
      </w:pPr>
      <w:r>
        <w:rPr>
          <w:rFonts w:hint="eastAsia" w:ascii="仿宋_GB2312" w:hAnsi="Times New Roman" w:eastAsia="仿宋_GB2312"/>
          <w:b w:val="0"/>
          <w:bCs w:val="0"/>
          <w:kern w:val="2"/>
          <w:sz w:val="28"/>
          <w:szCs w:val="28"/>
        </w:rPr>
        <w:t>“行政事业单位养老支出”(款)2024年度年初预算420.43万元，2024年度决算417.62万元，完成年初预算的99.33%。主要原因：有2名退休教师，追加退休人员一次性补贴。</w:t>
      </w:r>
    </w:p>
    <w:p w14:paraId="3F198F26">
      <w:pPr>
        <w:numPr>
          <w:ilvl w:val="0"/>
          <w:numId w:val="1"/>
        </w:numPr>
        <w:spacing w:line="580" w:lineRule="exact"/>
        <w:rPr>
          <w:rFonts w:ascii="仿宋_GB2312" w:eastAsia="仿宋_GB2312"/>
          <w:sz w:val="28"/>
          <w:szCs w:val="28"/>
        </w:rPr>
      </w:pPr>
      <w:r>
        <w:rPr>
          <w:rFonts w:hint="eastAsia" w:ascii="仿宋_GB2312" w:eastAsia="仿宋_GB2312"/>
          <w:sz w:val="28"/>
          <w:szCs w:val="28"/>
        </w:rPr>
        <w:t>“卫生健康支出”(类)2024年度年初预算204.69万元，2024年度决算163.26万元，完成年初预算的79.76%。其中：</w:t>
      </w:r>
    </w:p>
    <w:p w14:paraId="34EC626D">
      <w:pPr>
        <w:ind w:left="840" w:hanging="840" w:hangingChars="400"/>
        <w:rPr>
          <w:rFonts w:ascii="仿宋_GB2312" w:eastAsia="仿宋_GB2312"/>
          <w:sz w:val="28"/>
          <w:szCs w:val="28"/>
        </w:rPr>
      </w:pPr>
      <w:r>
        <w:rPr>
          <w:rFonts w:hint="eastAsia"/>
        </w:rPr>
        <w:t xml:space="preserve">      </w:t>
      </w:r>
      <w:r>
        <w:rPr>
          <w:rFonts w:hint="eastAsia" w:ascii="仿宋_GB2312" w:eastAsia="仿宋_GB2312"/>
          <w:sz w:val="28"/>
          <w:szCs w:val="28"/>
        </w:rPr>
        <w:t>“行政事业单位医疗”(款)2024年度年初预算204.69万元，2024年度决算163.26万元，完成年初预算的79.76%主要原因：有2名退休教师。</w:t>
      </w:r>
    </w:p>
    <w:p w14:paraId="77401F2E">
      <w:pPr>
        <w:numPr>
          <w:ilvl w:val="0"/>
          <w:numId w:val="1"/>
        </w:numPr>
        <w:spacing w:line="580" w:lineRule="exact"/>
      </w:pPr>
      <w:r>
        <w:rPr>
          <w:rFonts w:hint="eastAsia" w:ascii="仿宋_GB2312" w:eastAsia="仿宋_GB2312"/>
          <w:sz w:val="28"/>
          <w:szCs w:val="28"/>
        </w:rPr>
        <w:t>“住房保障支出”(类)2024年度年初预算437.13万元，2024年度决算437.09万元，完成年初预算的99.99%。</w:t>
      </w:r>
    </w:p>
    <w:p w14:paraId="05FD6AD5">
      <w:pPr>
        <w:pStyle w:val="2"/>
        <w:rPr>
          <w:rFonts w:ascii="仿宋_GB2312" w:hAnsi="Times New Roman" w:eastAsia="仿宋_GB2312"/>
          <w:b w:val="0"/>
          <w:bCs w:val="0"/>
          <w:kern w:val="2"/>
          <w:sz w:val="28"/>
          <w:szCs w:val="28"/>
        </w:rPr>
      </w:pPr>
      <w:r>
        <w:rPr>
          <w:rFonts w:hint="eastAsia"/>
        </w:rPr>
        <w:t xml:space="preserve">  </w:t>
      </w:r>
      <w:r>
        <w:rPr>
          <w:rFonts w:hint="eastAsia" w:ascii="仿宋_GB2312" w:hAnsi="Times New Roman" w:eastAsia="仿宋_GB2312"/>
          <w:b w:val="0"/>
          <w:bCs w:val="0"/>
          <w:kern w:val="2"/>
          <w:sz w:val="28"/>
          <w:szCs w:val="28"/>
        </w:rPr>
        <w:t xml:space="preserve">   其中：</w:t>
      </w:r>
    </w:p>
    <w:p w14:paraId="01AA8154">
      <w:pPr>
        <w:spacing w:line="580" w:lineRule="exact"/>
        <w:ind w:left="735"/>
        <w:rPr>
          <w:rFonts w:ascii="仿宋_GB2312" w:eastAsia="仿宋_GB2312"/>
          <w:sz w:val="28"/>
          <w:szCs w:val="28"/>
        </w:rPr>
      </w:pPr>
      <w:r>
        <w:rPr>
          <w:rFonts w:hint="eastAsia" w:ascii="仿宋_GB2312" w:eastAsia="仿宋_GB2312"/>
          <w:sz w:val="28"/>
          <w:szCs w:val="28"/>
        </w:rPr>
        <w:t>“住房改革支出”(款)2024年度年初预算437.13万元，2024年度决算437.09万元，完成年初预算的99.99%。主要原因：有暂未通过审核人员，不予发放。</w:t>
      </w:r>
    </w:p>
    <w:p w14:paraId="709DD6A7"/>
    <w:p w14:paraId="1A152EA4">
      <w:pPr>
        <w:pStyle w:val="2"/>
      </w:pPr>
    </w:p>
    <w:p w14:paraId="3602C5F3">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59F94E3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66F1944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本单位无此项经费。</w:t>
      </w:r>
    </w:p>
    <w:p w14:paraId="2F992C6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11524330">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043A7911">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683DC3C">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442C86A8">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64B6001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3180.9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4F052F8">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5FF34B82">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78788DC4">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F26A751">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5FAF91E0">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65A4F7C9">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22AF2BBD">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3.公务用车购置及运行维护费。本单位无此项经费。2024年度购置（更新）0辆。公务用车运行维护费2024年度决算数0万元。2024年度公务用车保有量</w:t>
      </w:r>
      <w:r>
        <w:rPr>
          <w:rFonts w:ascii="仿宋_GB2312" w:eastAsia="仿宋_GB2312"/>
          <w:sz w:val="28"/>
          <w:szCs w:val="28"/>
        </w:rPr>
        <w:t>0</w:t>
      </w:r>
      <w:r>
        <w:rPr>
          <w:rFonts w:hint="eastAsia" w:ascii="仿宋_GB2312" w:eastAsia="仿宋_GB2312"/>
          <w:sz w:val="28"/>
          <w:szCs w:val="28"/>
        </w:rPr>
        <w:t>辆。</w:t>
      </w:r>
    </w:p>
    <w:p w14:paraId="6ACB9BA0">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DDDA2D9">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49EEB123">
      <w:pPr>
        <w:ind w:left="540"/>
        <w:rPr>
          <w:rFonts w:ascii="黑体" w:eastAsia="黑体"/>
          <w:sz w:val="28"/>
          <w:szCs w:val="28"/>
        </w:rPr>
      </w:pPr>
      <w:r>
        <w:rPr>
          <w:rFonts w:hint="eastAsia" w:ascii="黑体" w:eastAsia="黑体"/>
          <w:sz w:val="28"/>
          <w:szCs w:val="28"/>
        </w:rPr>
        <w:t>三、政府采购支出情况</w:t>
      </w:r>
    </w:p>
    <w:p w14:paraId="217D2C40">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23.76</w:t>
      </w:r>
      <w:r>
        <w:rPr>
          <w:rFonts w:hint="eastAsia" w:ascii="仿宋_GB2312" w:eastAsia="仿宋_GB2312"/>
          <w:sz w:val="28"/>
          <w:szCs w:val="28"/>
        </w:rPr>
        <w:t>万元，其中：政府采购货物支出</w:t>
      </w:r>
      <w:r>
        <w:rPr>
          <w:rFonts w:ascii="仿宋_GB2312" w:eastAsia="仿宋_GB2312"/>
          <w:sz w:val="28"/>
          <w:szCs w:val="28"/>
        </w:rPr>
        <w:t>8.36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15.4</w:t>
      </w:r>
      <w:r>
        <w:rPr>
          <w:rFonts w:hint="eastAsia" w:ascii="仿宋_GB2312" w:eastAsia="仿宋_GB2312"/>
          <w:sz w:val="28"/>
          <w:szCs w:val="28"/>
        </w:rPr>
        <w:t>万元。授予中小企业合同金额</w:t>
      </w:r>
      <w:r>
        <w:rPr>
          <w:rFonts w:ascii="仿宋_GB2312" w:eastAsia="仿宋_GB2312"/>
          <w:sz w:val="28"/>
          <w:szCs w:val="28"/>
        </w:rPr>
        <w:t>23.76</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23.76</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68DA79C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5C73BFE">
      <w:pPr>
        <w:ind w:firstLine="560" w:firstLineChars="200"/>
        <w:rPr>
          <w:rFonts w:ascii="仿宋_GB2312" w:eastAsia="仿宋_GB2312"/>
          <w:sz w:val="32"/>
          <w:szCs w:val="32"/>
        </w:rPr>
      </w:pPr>
      <w:r>
        <w:rPr>
          <w:rFonts w:hint="eastAsia" w:ascii="仿宋_GB2312" w:eastAsia="仿宋_GB2312"/>
          <w:sz w:val="28"/>
          <w:szCs w:val="28"/>
        </w:rPr>
        <w:t>截至12月31日，北京市宣武回民幼儿园共有车辆0台；单位价值100万元（含）以上的设备0台（套）。</w:t>
      </w:r>
    </w:p>
    <w:p w14:paraId="4B0A3E7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D6AC2E6">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51CA9339">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8A37835">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261D2C8">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2A30A43">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46D0D3A">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6A46205">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E083C58">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0832861">
      <w:pPr>
        <w:ind w:firstLine="420" w:firstLineChars="150"/>
        <w:rPr>
          <w:rFonts w:ascii="仿宋_GB2312" w:eastAsia="仿宋_GB2312"/>
          <w:sz w:val="28"/>
          <w:szCs w:val="28"/>
        </w:rPr>
      </w:pPr>
      <w:r>
        <w:rPr>
          <w:rFonts w:hint="eastAsia" w:ascii="仿宋_GB2312" w:eastAsia="仿宋_GB2312"/>
          <w:sz w:val="28"/>
          <w:szCs w:val="28"/>
        </w:rPr>
        <w:t>7.教育支出（类）普通教育（款）学前教育（项）：反映本部门举办的学前教育支出。</w:t>
      </w:r>
    </w:p>
    <w:p w14:paraId="4C29B681">
      <w:pPr>
        <w:numPr>
          <w:ilvl w:val="0"/>
          <w:numId w:val="2"/>
        </w:numPr>
        <w:ind w:firstLine="420" w:firstLineChars="150"/>
        <w:rPr>
          <w:rFonts w:ascii="仿宋_GB2312" w:eastAsia="仿宋_GB2312"/>
          <w:sz w:val="28"/>
          <w:szCs w:val="28"/>
        </w:rPr>
      </w:pPr>
      <w:r>
        <w:rPr>
          <w:rFonts w:hint="eastAsia" w:ascii="仿宋_GB2312" w:eastAsia="仿宋_GB2312"/>
          <w:sz w:val="28"/>
          <w:szCs w:val="28"/>
        </w:rPr>
        <w:t>教育支出（类）进修及培训（款）培训支出（项）：反映本部门安排的用于培训的支出。</w:t>
      </w:r>
    </w:p>
    <w:p w14:paraId="0D038987">
      <w:pPr>
        <w:numPr>
          <w:ilvl w:val="0"/>
          <w:numId w:val="2"/>
        </w:num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w:t>
      </w:r>
    </w:p>
    <w:p w14:paraId="7649FB8B">
      <w:pPr>
        <w:numPr>
          <w:ilvl w:val="0"/>
          <w:numId w:val="2"/>
        </w:num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005E1578">
      <w:pPr>
        <w:numPr>
          <w:ilvl w:val="0"/>
          <w:numId w:val="2"/>
        </w:num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513E6E68">
      <w:pPr>
        <w:numPr>
          <w:ilvl w:val="0"/>
          <w:numId w:val="2"/>
        </w:numPr>
        <w:ind w:firstLine="420" w:firstLineChars="15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58EE053F">
      <w:pPr>
        <w:numPr>
          <w:ilvl w:val="0"/>
          <w:numId w:val="2"/>
        </w:numPr>
        <w:ind w:firstLine="420" w:firstLineChars="150"/>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236B101A">
      <w:pPr>
        <w:numPr>
          <w:ilvl w:val="0"/>
          <w:numId w:val="2"/>
        </w:numPr>
        <w:ind w:firstLine="420" w:firstLineChars="150"/>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36CBDE5D">
      <w:pPr>
        <w:numPr>
          <w:ilvl w:val="0"/>
          <w:numId w:val="2"/>
        </w:numPr>
        <w:ind w:firstLine="420" w:firstLineChars="150"/>
        <w:rPr>
          <w:rFonts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2E60367C">
      <w:pPr>
        <w:pStyle w:val="20"/>
        <w:ind w:left="0" w:firstLine="560" w:firstLineChars="200"/>
        <w:rPr>
          <w:rFonts w:ascii="仿宋_GB2312" w:eastAsia="仿宋_GB2312"/>
          <w:sz w:val="28"/>
          <w:szCs w:val="28"/>
        </w:rPr>
      </w:pPr>
    </w:p>
    <w:p w14:paraId="656AF884">
      <w:pPr>
        <w:pStyle w:val="2"/>
      </w:pPr>
    </w:p>
    <w:p w14:paraId="037A62A1">
      <w:pPr>
        <w:rPr>
          <w:rFonts w:ascii="黑体" w:eastAsia="黑体"/>
          <w:sz w:val="32"/>
          <w:szCs w:val="32"/>
        </w:rPr>
      </w:pPr>
    </w:p>
    <w:p w14:paraId="4C04AB1D">
      <w:pPr>
        <w:tabs>
          <w:tab w:val="center" w:pos="6979"/>
        </w:tabs>
        <w:spacing w:line="380" w:lineRule="exact"/>
        <w:jc w:val="center"/>
        <w:rPr>
          <w:rFonts w:ascii="宋体" w:hAnsi="宋体" w:cs="宋体"/>
          <w:b/>
          <w:bCs/>
          <w:kern w:val="0"/>
          <w:sz w:val="28"/>
          <w:szCs w:val="28"/>
        </w:rPr>
      </w:pPr>
    </w:p>
    <w:p w14:paraId="7B94E4C7">
      <w:pPr>
        <w:tabs>
          <w:tab w:val="center" w:pos="6979"/>
        </w:tabs>
        <w:spacing w:line="380" w:lineRule="exact"/>
        <w:jc w:val="center"/>
        <w:rPr>
          <w:rFonts w:ascii="宋体" w:hAnsi="宋体" w:cs="宋体"/>
          <w:b/>
          <w:bCs/>
          <w:kern w:val="0"/>
          <w:sz w:val="28"/>
          <w:szCs w:val="28"/>
        </w:rPr>
      </w:pPr>
    </w:p>
    <w:p w14:paraId="4C539F99">
      <w:pPr>
        <w:rPr>
          <w:rFonts w:ascii="黑体" w:eastAsia="黑体"/>
          <w:sz w:val="32"/>
          <w:szCs w:val="32"/>
        </w:rPr>
      </w:pPr>
    </w:p>
    <w:p w14:paraId="61B0F2C8">
      <w:pPr>
        <w:ind w:firstLine="640" w:firstLineChars="200"/>
        <w:jc w:val="center"/>
        <w:rPr>
          <w:rFonts w:ascii="黑体" w:eastAsia="黑体"/>
          <w:sz w:val="32"/>
          <w:szCs w:val="32"/>
        </w:rPr>
      </w:pPr>
    </w:p>
    <w:p w14:paraId="3BA10AC7">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63E0D6D6">
      <w:pPr>
        <w:ind w:firstLine="560" w:firstLineChars="200"/>
        <w:rPr>
          <w:rFonts w:ascii="黑体" w:eastAsia="黑体"/>
          <w:sz w:val="28"/>
          <w:szCs w:val="28"/>
          <w:highlight w:val="yellow"/>
        </w:rPr>
      </w:pPr>
    </w:p>
    <w:p w14:paraId="38F213EF">
      <w:pPr>
        <w:numPr>
          <w:ilvl w:val="0"/>
          <w:numId w:val="3"/>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0D6871B1">
      <w:pPr>
        <w:numPr>
          <w:ilvl w:val="0"/>
          <w:numId w:val="3"/>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79EC9AD7">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5AEE5D21">
      <w:pPr>
        <w:numPr>
          <w:ilvl w:val="0"/>
          <w:numId w:val="3"/>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73716A3F">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5DD1898A">
      <w:pPr>
        <w:spacing w:line="480" w:lineRule="exact"/>
        <w:rPr>
          <w:rFonts w:ascii="仿宋_GB2312" w:hAnsi="仿宋_GB2312" w:eastAsia="仿宋_GB2312" w:cs="仿宋_GB2312"/>
          <w:sz w:val="32"/>
          <w:szCs w:val="32"/>
        </w:rPr>
      </w:pPr>
    </w:p>
    <w:p w14:paraId="2744D8E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E09F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2832B5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1733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C8DEDE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6C1E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57FE3F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C1E7B64C"/>
    <w:multiLevelType w:val="singleLevel"/>
    <w:tmpl w:val="C1E7B64C"/>
    <w:lvl w:ilvl="0" w:tentative="0">
      <w:start w:val="8"/>
      <w:numFmt w:val="decimal"/>
      <w:lvlText w:val="%1."/>
      <w:lvlJc w:val="left"/>
      <w:pPr>
        <w:tabs>
          <w:tab w:val="left" w:pos="312"/>
        </w:tabs>
      </w:pPr>
    </w:lvl>
  </w:abstractNum>
  <w:abstractNum w:abstractNumId="2">
    <w:nsid w:val="F59F0217"/>
    <w:multiLevelType w:val="singleLevel"/>
    <w:tmpl w:val="F59F0217"/>
    <w:lvl w:ilvl="0" w:tentative="0">
      <w:start w:val="2"/>
      <w:numFmt w:val="decimal"/>
      <w:suff w:val="nothing"/>
      <w:lvlText w:val="%1、"/>
      <w:lvlJc w:val="left"/>
      <w:pPr>
        <w:ind w:left="735"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352C"/>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D6029"/>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6113"/>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8A570F"/>
    <w:rsid w:val="04C3537C"/>
    <w:rsid w:val="058A7C48"/>
    <w:rsid w:val="074A3B33"/>
    <w:rsid w:val="079004AC"/>
    <w:rsid w:val="08FD1BFE"/>
    <w:rsid w:val="09047D11"/>
    <w:rsid w:val="0A4505E1"/>
    <w:rsid w:val="0A743D5B"/>
    <w:rsid w:val="0BA148CA"/>
    <w:rsid w:val="0C1165C4"/>
    <w:rsid w:val="0D356CF2"/>
    <w:rsid w:val="0D6D544B"/>
    <w:rsid w:val="0DD136FE"/>
    <w:rsid w:val="0F8E2C57"/>
    <w:rsid w:val="1059665E"/>
    <w:rsid w:val="10AC13BA"/>
    <w:rsid w:val="1356560D"/>
    <w:rsid w:val="137A57A0"/>
    <w:rsid w:val="145A6C1B"/>
    <w:rsid w:val="14B73493"/>
    <w:rsid w:val="16004CB7"/>
    <w:rsid w:val="16353C00"/>
    <w:rsid w:val="167A2FF9"/>
    <w:rsid w:val="18581C69"/>
    <w:rsid w:val="1AEC0734"/>
    <w:rsid w:val="1DEF20B0"/>
    <w:rsid w:val="1E707384"/>
    <w:rsid w:val="214243FA"/>
    <w:rsid w:val="21AD613C"/>
    <w:rsid w:val="22467189"/>
    <w:rsid w:val="257A14F5"/>
    <w:rsid w:val="25CB19DA"/>
    <w:rsid w:val="27196C26"/>
    <w:rsid w:val="29EF086F"/>
    <w:rsid w:val="2EFFE297"/>
    <w:rsid w:val="2FE14784"/>
    <w:rsid w:val="301437CA"/>
    <w:rsid w:val="30D21065"/>
    <w:rsid w:val="31421705"/>
    <w:rsid w:val="32E1180E"/>
    <w:rsid w:val="349D1F0A"/>
    <w:rsid w:val="34DD0473"/>
    <w:rsid w:val="38E76B84"/>
    <w:rsid w:val="3B885385"/>
    <w:rsid w:val="3C684897"/>
    <w:rsid w:val="403A7190"/>
    <w:rsid w:val="433E495C"/>
    <w:rsid w:val="489F2FD7"/>
    <w:rsid w:val="4A2878AF"/>
    <w:rsid w:val="4A7929DA"/>
    <w:rsid w:val="4A9B33D5"/>
    <w:rsid w:val="4AC27CB3"/>
    <w:rsid w:val="4B1D6FAC"/>
    <w:rsid w:val="4BF72BEF"/>
    <w:rsid w:val="4FA90297"/>
    <w:rsid w:val="4FC41A43"/>
    <w:rsid w:val="51DB3C59"/>
    <w:rsid w:val="52350508"/>
    <w:rsid w:val="52D81505"/>
    <w:rsid w:val="550C0952"/>
    <w:rsid w:val="55762E42"/>
    <w:rsid w:val="56384123"/>
    <w:rsid w:val="57A7B272"/>
    <w:rsid w:val="58470068"/>
    <w:rsid w:val="58747CAC"/>
    <w:rsid w:val="5A1720F9"/>
    <w:rsid w:val="5B9C37C2"/>
    <w:rsid w:val="5BA7C654"/>
    <w:rsid w:val="5F164ADB"/>
    <w:rsid w:val="60A54109"/>
    <w:rsid w:val="61D01CDF"/>
    <w:rsid w:val="64C0607C"/>
    <w:rsid w:val="65756C86"/>
    <w:rsid w:val="674D385B"/>
    <w:rsid w:val="676F09E1"/>
    <w:rsid w:val="679073C2"/>
    <w:rsid w:val="6EE3336E"/>
    <w:rsid w:val="71793A80"/>
    <w:rsid w:val="71B40FF2"/>
    <w:rsid w:val="7357290B"/>
    <w:rsid w:val="74836A59"/>
    <w:rsid w:val="77B70EF4"/>
    <w:rsid w:val="798524E4"/>
    <w:rsid w:val="7A7F1C49"/>
    <w:rsid w:val="7B5B7AE6"/>
    <w:rsid w:val="7B7B6628"/>
    <w:rsid w:val="7BA7071E"/>
    <w:rsid w:val="7BDF6DA8"/>
    <w:rsid w:val="7C7EDC1A"/>
    <w:rsid w:val="7CCED98D"/>
    <w:rsid w:val="7D08410F"/>
    <w:rsid w:val="7DB96DED"/>
    <w:rsid w:val="7DD3AD81"/>
    <w:rsid w:val="7F3D31C4"/>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3980.35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5ec9df9-792c-4da4-93af-113e61f9816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3180.9</c:v>
                </c:pt>
                <c:pt idx="1">
                  <c:v>799.45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6f61fe6-eeab-4c2d-8a5c-59e1cf907c8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617</Words>
  <Characters>706</Characters>
  <Lines>32</Lines>
  <Paragraphs>9</Paragraphs>
  <TotalTime>20</TotalTime>
  <ScaleCrop>false</ScaleCrop>
  <LinksUpToDate>false</LinksUpToDate>
  <CharactersWithSpaces>727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2025-08-28T02:58:24Z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