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A9F12">
      <w:pPr>
        <w:jc w:val="center"/>
        <w:rPr>
          <w:rFonts w:ascii="仿宋_GB2312" w:eastAsia="仿宋_GB2312"/>
          <w:b/>
          <w:sz w:val="32"/>
          <w:szCs w:val="32"/>
        </w:rPr>
      </w:pPr>
    </w:p>
    <w:p w14:paraId="555E8751">
      <w:pPr>
        <w:jc w:val="center"/>
        <w:rPr>
          <w:rFonts w:ascii="黑体" w:eastAsia="黑体"/>
          <w:sz w:val="72"/>
          <w:szCs w:val="72"/>
        </w:rPr>
      </w:pPr>
    </w:p>
    <w:p w14:paraId="7D44DB42">
      <w:pPr>
        <w:jc w:val="center"/>
        <w:rPr>
          <w:rFonts w:ascii="黑体" w:eastAsia="黑体"/>
          <w:sz w:val="72"/>
          <w:szCs w:val="72"/>
        </w:rPr>
      </w:pPr>
    </w:p>
    <w:p w14:paraId="35F8A649">
      <w:pPr>
        <w:jc w:val="center"/>
        <w:rPr>
          <w:rFonts w:ascii="黑体" w:eastAsia="黑体"/>
          <w:sz w:val="72"/>
          <w:szCs w:val="72"/>
        </w:rPr>
      </w:pPr>
    </w:p>
    <w:p w14:paraId="63DE0974">
      <w:pPr>
        <w:jc w:val="center"/>
        <w:rPr>
          <w:rFonts w:ascii="黑体" w:eastAsia="黑体"/>
          <w:sz w:val="72"/>
          <w:szCs w:val="72"/>
        </w:rPr>
      </w:pPr>
    </w:p>
    <w:p w14:paraId="30AB144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DBDDAAD">
      <w:pPr>
        <w:jc w:val="center"/>
        <w:rPr>
          <w:rFonts w:ascii="黑体" w:eastAsia="黑体"/>
          <w:sz w:val="52"/>
          <w:szCs w:val="52"/>
        </w:rPr>
      </w:pPr>
    </w:p>
    <w:p w14:paraId="52091CA2">
      <w:pPr>
        <w:jc w:val="center"/>
        <w:rPr>
          <w:rFonts w:ascii="黑体" w:eastAsia="黑体"/>
          <w:sz w:val="52"/>
          <w:szCs w:val="52"/>
        </w:rPr>
      </w:pPr>
    </w:p>
    <w:p w14:paraId="3CC08A2E">
      <w:pPr>
        <w:jc w:val="center"/>
        <w:rPr>
          <w:rFonts w:ascii="黑体" w:eastAsia="黑体"/>
          <w:sz w:val="52"/>
          <w:szCs w:val="52"/>
        </w:rPr>
      </w:pPr>
    </w:p>
    <w:p w14:paraId="17054437">
      <w:pPr>
        <w:jc w:val="center"/>
        <w:rPr>
          <w:rFonts w:ascii="黑体" w:eastAsia="黑体"/>
          <w:sz w:val="52"/>
          <w:szCs w:val="52"/>
        </w:rPr>
      </w:pPr>
    </w:p>
    <w:p w14:paraId="7770B4DD">
      <w:pPr>
        <w:jc w:val="center"/>
        <w:rPr>
          <w:rFonts w:ascii="黑体" w:eastAsia="黑体"/>
          <w:sz w:val="32"/>
          <w:szCs w:val="32"/>
        </w:rPr>
      </w:pPr>
    </w:p>
    <w:p w14:paraId="40304BF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7F4049D">
      <w:pPr>
        <w:spacing w:line="500" w:lineRule="exact"/>
        <w:ind w:firstLine="645"/>
        <w:jc w:val="center"/>
        <w:rPr>
          <w:rFonts w:hint="eastAsia" w:ascii="宋体" w:hAnsi="宋体" w:cs="宋体"/>
          <w:b/>
          <w:bCs/>
          <w:kern w:val="0"/>
          <w:sz w:val="36"/>
          <w:szCs w:val="36"/>
        </w:rPr>
      </w:pPr>
    </w:p>
    <w:p w14:paraId="36B5E52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DE572D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F15F96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BBAA9E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9DDD9B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74AB9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C87AA1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9D8B2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44636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3C3127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29C2A3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6C8AD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934389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E17988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4541AF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F90877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F28C89B">
      <w:pPr>
        <w:tabs>
          <w:tab w:val="center" w:pos="6979"/>
        </w:tabs>
        <w:spacing w:before="156" w:beforeLines="50" w:after="156" w:afterLines="50"/>
        <w:jc w:val="center"/>
        <w:rPr>
          <w:rFonts w:ascii="宋体" w:hAnsi="宋体" w:cs="宋体"/>
          <w:b/>
          <w:bCs/>
          <w:spacing w:val="40"/>
          <w:kern w:val="0"/>
          <w:sz w:val="32"/>
          <w:szCs w:val="32"/>
        </w:rPr>
      </w:pPr>
    </w:p>
    <w:p w14:paraId="67E98293">
      <w:pPr>
        <w:tabs>
          <w:tab w:val="center" w:pos="6979"/>
        </w:tabs>
        <w:spacing w:before="156" w:beforeLines="50" w:after="156" w:afterLines="50"/>
        <w:jc w:val="center"/>
        <w:rPr>
          <w:rFonts w:ascii="宋体" w:hAnsi="宋体" w:cs="宋体"/>
          <w:b/>
          <w:bCs/>
          <w:spacing w:val="40"/>
          <w:kern w:val="0"/>
          <w:sz w:val="32"/>
          <w:szCs w:val="32"/>
        </w:rPr>
      </w:pPr>
    </w:p>
    <w:p w14:paraId="2E03ED0C">
      <w:pPr>
        <w:tabs>
          <w:tab w:val="center" w:pos="6979"/>
        </w:tabs>
        <w:spacing w:before="156" w:beforeLines="50" w:after="156" w:afterLines="50"/>
        <w:jc w:val="center"/>
        <w:rPr>
          <w:rFonts w:ascii="宋体" w:hAnsi="宋体" w:cs="宋体"/>
          <w:b/>
          <w:bCs/>
          <w:spacing w:val="40"/>
          <w:kern w:val="0"/>
          <w:sz w:val="32"/>
          <w:szCs w:val="32"/>
        </w:rPr>
      </w:pPr>
    </w:p>
    <w:p w14:paraId="674DFCB2">
      <w:pPr>
        <w:tabs>
          <w:tab w:val="center" w:pos="6979"/>
        </w:tabs>
        <w:spacing w:before="156" w:beforeLines="50" w:after="156" w:afterLines="50"/>
        <w:jc w:val="center"/>
        <w:rPr>
          <w:rFonts w:ascii="宋体" w:hAnsi="宋体" w:cs="宋体"/>
          <w:b/>
          <w:bCs/>
          <w:spacing w:val="40"/>
          <w:kern w:val="0"/>
          <w:sz w:val="32"/>
          <w:szCs w:val="32"/>
        </w:rPr>
      </w:pPr>
    </w:p>
    <w:p w14:paraId="4C0E4E95">
      <w:pPr>
        <w:tabs>
          <w:tab w:val="center" w:pos="6979"/>
        </w:tabs>
        <w:spacing w:before="156" w:beforeLines="50" w:after="156" w:afterLines="50"/>
        <w:jc w:val="center"/>
        <w:rPr>
          <w:rFonts w:ascii="宋体" w:hAnsi="宋体" w:cs="宋体"/>
          <w:b/>
          <w:bCs/>
          <w:spacing w:val="40"/>
          <w:kern w:val="0"/>
          <w:sz w:val="32"/>
          <w:szCs w:val="32"/>
        </w:rPr>
      </w:pPr>
    </w:p>
    <w:p w14:paraId="67A6C1E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F67C8A0">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5ABAA35">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158EF4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bookmarkStart w:id="0" w:name="_GoBack"/>
      <w:bookmarkEnd w:id="0"/>
    </w:p>
    <w:p w14:paraId="4884CC3E">
      <w:pPr>
        <w:tabs>
          <w:tab w:val="center" w:pos="6979"/>
        </w:tabs>
        <w:spacing w:line="580" w:lineRule="exact"/>
        <w:ind w:firstLine="700" w:firstLineChars="250"/>
        <w:rPr>
          <w:rFonts w:hint="eastAsia"/>
        </w:rPr>
      </w:pPr>
      <w:r>
        <w:rPr>
          <w:rFonts w:hint="eastAsia" w:ascii="仿宋_GB2312" w:hAnsi="Times New Roman" w:eastAsia="仿宋_GB2312" w:cs="Times New Roman"/>
          <w:b w:val="0"/>
          <w:bCs w:val="0"/>
          <w:kern w:val="2"/>
          <w:sz w:val="28"/>
          <w:szCs w:val="28"/>
          <w:lang w:val="en-US" w:eastAsia="zh-CN" w:bidi="ar-SA"/>
        </w:rPr>
        <w:t>北京市西城区名苑幼儿园隶属于北京市西城区教育委员会，是西城区学前教育工作部门，主要职责是为学龄前儿童提供保育和教育服务</w:t>
      </w:r>
      <w:r>
        <w:rPr>
          <w:rFonts w:hint="eastAsia" w:ascii="仿宋_GB2312"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US" w:eastAsia="zh-CN" w:bidi="ar-SA"/>
        </w:rPr>
        <w:t>具体职责涵盖日常教育教学、健康监管、运行保障等，无下属单位。</w:t>
      </w:r>
    </w:p>
    <w:p w14:paraId="43DF0BD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B49670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5714.12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339.55</w:t>
      </w:r>
      <w:r>
        <w:rPr>
          <w:rFonts w:hint="eastAsia" w:ascii="仿宋_GB2312" w:eastAsia="仿宋_GB2312"/>
          <w:sz w:val="28"/>
          <w:szCs w:val="28"/>
        </w:rPr>
        <w:t>万元，下降</w:t>
      </w:r>
      <w:r>
        <w:rPr>
          <w:rFonts w:hint="eastAsia" w:ascii="仿宋_GB2312" w:eastAsia="仿宋_GB2312"/>
          <w:sz w:val="28"/>
          <w:szCs w:val="28"/>
          <w:lang w:val="en-US" w:eastAsia="zh-CN"/>
        </w:rPr>
        <w:t>5.61</w:t>
      </w:r>
      <w:r>
        <w:rPr>
          <w:rFonts w:hint="eastAsia" w:ascii="仿宋_GB2312" w:eastAsia="仿宋_GB2312"/>
          <w:sz w:val="28"/>
          <w:szCs w:val="28"/>
        </w:rPr>
        <w:t>%。</w:t>
      </w:r>
    </w:p>
    <w:p w14:paraId="231C3B2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718718A">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5714.12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337.66</w:t>
      </w:r>
      <w:r>
        <w:rPr>
          <w:rFonts w:hint="eastAsia" w:ascii="仿宋_GB2312" w:eastAsia="仿宋_GB2312"/>
          <w:sz w:val="28"/>
          <w:szCs w:val="28"/>
        </w:rPr>
        <w:t>万元，下降</w:t>
      </w:r>
      <w:r>
        <w:rPr>
          <w:rFonts w:hint="eastAsia" w:ascii="仿宋_GB2312" w:eastAsia="仿宋_GB2312"/>
          <w:sz w:val="28"/>
          <w:szCs w:val="28"/>
          <w:lang w:val="en-US" w:eastAsia="zh-CN"/>
        </w:rPr>
        <w:t>5.58</w:t>
      </w:r>
      <w:r>
        <w:rPr>
          <w:rFonts w:hint="eastAsia" w:ascii="仿宋_GB2312" w:eastAsia="仿宋_GB2312"/>
          <w:sz w:val="28"/>
          <w:szCs w:val="28"/>
        </w:rPr>
        <w:t>%</w:t>
      </w:r>
      <w:r>
        <w:rPr>
          <w:rFonts w:hint="eastAsia" w:ascii="仿宋_GB2312" w:eastAsia="仿宋_GB2312"/>
          <w:sz w:val="28"/>
          <w:szCs w:val="28"/>
          <w:lang w:eastAsia="zh-CN"/>
        </w:rPr>
        <w:t>。</w:t>
      </w:r>
    </w:p>
    <w:p w14:paraId="3E6188F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5714.12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5714.12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D232F5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7C0F4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0AC8BB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E9FCD1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35B497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156EE73">
      <w:pPr>
        <w:pStyle w:val="2"/>
        <w:ind w:firstLine="0"/>
        <w:jc w:val="center"/>
      </w:pPr>
      <w:r>
        <w:rPr>
          <w:rFonts w:hint="eastAsia" w:ascii="仿宋_GB2312" w:eastAsia="仿宋_GB2312"/>
          <w:color w:val="000000"/>
          <w:sz w:val="32"/>
          <w:szCs w:val="32"/>
          <w:highlight w:val="none"/>
          <w:lang w:val="en-US" w:eastAsia="zh-CN"/>
        </w:rPr>
        <w:t>图1：收入决算</w:t>
      </w:r>
    </w:p>
    <w:p w14:paraId="2C9799B3">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38F86A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9B6DB5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5714.12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337.66</w:t>
      </w:r>
      <w:r>
        <w:rPr>
          <w:rFonts w:hint="eastAsia" w:ascii="仿宋_GB2312" w:eastAsia="仿宋_GB2312"/>
          <w:sz w:val="28"/>
          <w:szCs w:val="28"/>
        </w:rPr>
        <w:t>万元，下降</w:t>
      </w:r>
      <w:r>
        <w:rPr>
          <w:rFonts w:hint="eastAsia" w:ascii="仿宋_GB2312" w:eastAsia="仿宋_GB2312"/>
          <w:sz w:val="28"/>
          <w:szCs w:val="28"/>
          <w:lang w:val="en-US" w:eastAsia="zh-CN"/>
        </w:rPr>
        <w:t>5.58</w:t>
      </w:r>
      <w:r>
        <w:rPr>
          <w:rFonts w:hint="eastAsia" w:ascii="仿宋_GB2312" w:eastAsia="仿宋_GB2312"/>
          <w:sz w:val="28"/>
          <w:szCs w:val="28"/>
        </w:rPr>
        <w:t>%，其中：基本支出</w:t>
      </w:r>
      <w:r>
        <w:rPr>
          <w:rFonts w:ascii="仿宋_GB2312" w:eastAsia="仿宋_GB2312"/>
          <w:sz w:val="28"/>
          <w:szCs w:val="28"/>
        </w:rPr>
        <w:t>4160.57</w:t>
      </w:r>
      <w:r>
        <w:rPr>
          <w:rFonts w:hint="eastAsia" w:ascii="仿宋_GB2312" w:eastAsia="仿宋_GB2312"/>
          <w:sz w:val="28"/>
          <w:szCs w:val="28"/>
        </w:rPr>
        <w:t>万元，占支出合计的</w:t>
      </w:r>
      <w:r>
        <w:rPr>
          <w:rFonts w:hint="eastAsia" w:ascii="仿宋_GB2312" w:eastAsia="仿宋_GB2312"/>
          <w:sz w:val="28"/>
          <w:szCs w:val="28"/>
          <w:lang w:eastAsia="zh-CN"/>
        </w:rPr>
        <w:t>72.81</w:t>
      </w:r>
      <w:r>
        <w:rPr>
          <w:rFonts w:hint="eastAsia" w:ascii="仿宋_GB2312" w:eastAsia="仿宋_GB2312"/>
          <w:sz w:val="28"/>
          <w:szCs w:val="28"/>
        </w:rPr>
        <w:t>%；项目支出</w:t>
      </w:r>
      <w:r>
        <w:rPr>
          <w:rFonts w:ascii="仿宋_GB2312" w:eastAsia="仿宋_GB2312"/>
          <w:sz w:val="28"/>
          <w:szCs w:val="28"/>
        </w:rPr>
        <w:t>1553.55</w:t>
      </w:r>
      <w:r>
        <w:rPr>
          <w:rFonts w:hint="eastAsia" w:ascii="仿宋_GB2312" w:eastAsia="仿宋_GB2312"/>
          <w:sz w:val="28"/>
          <w:szCs w:val="28"/>
        </w:rPr>
        <w:t>万元，占支出合计的</w:t>
      </w:r>
      <w:r>
        <w:rPr>
          <w:rFonts w:hint="eastAsia" w:ascii="仿宋_GB2312" w:eastAsia="仿宋_GB2312"/>
          <w:sz w:val="28"/>
          <w:szCs w:val="28"/>
          <w:lang w:eastAsia="zh-CN"/>
        </w:rPr>
        <w:t>27.19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06CDE6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17C6AA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BDAA03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442D79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5714.12</w:t>
      </w:r>
      <w:r>
        <w:rPr>
          <w:rFonts w:hint="eastAsia" w:ascii="仿宋_GB2312" w:eastAsia="仿宋_GB2312"/>
          <w:sz w:val="28"/>
          <w:szCs w:val="28"/>
        </w:rPr>
        <w:t>万元，比上年减少</w:t>
      </w:r>
      <w:r>
        <w:rPr>
          <w:rFonts w:hint="eastAsia" w:ascii="仿宋_GB2312" w:eastAsia="仿宋_GB2312"/>
          <w:sz w:val="28"/>
          <w:szCs w:val="28"/>
          <w:lang w:val="en-US" w:eastAsia="zh-CN"/>
        </w:rPr>
        <w:t>339.55</w:t>
      </w:r>
      <w:r>
        <w:rPr>
          <w:rFonts w:hint="eastAsia" w:ascii="仿宋_GB2312" w:eastAsia="仿宋_GB2312"/>
          <w:sz w:val="28"/>
          <w:szCs w:val="28"/>
        </w:rPr>
        <w:t>万元，下降</w:t>
      </w:r>
      <w:r>
        <w:rPr>
          <w:rFonts w:hint="eastAsia" w:ascii="仿宋_GB2312" w:eastAsia="仿宋_GB2312"/>
          <w:sz w:val="28"/>
          <w:szCs w:val="28"/>
          <w:lang w:val="en-US" w:eastAsia="zh-CN"/>
        </w:rPr>
        <w:t>5.61</w:t>
      </w:r>
      <w:r>
        <w:rPr>
          <w:rFonts w:hint="eastAsia" w:ascii="仿宋_GB2312" w:eastAsia="仿宋_GB2312"/>
          <w:sz w:val="28"/>
          <w:szCs w:val="28"/>
        </w:rPr>
        <w:t>%。主要原因：2024年较2023年在职员工数、幼儿数有所下降</w:t>
      </w:r>
      <w:r>
        <w:rPr>
          <w:rFonts w:hint="eastAsia" w:ascii="仿宋_GB2312" w:eastAsia="仿宋_GB2312"/>
          <w:sz w:val="28"/>
          <w:szCs w:val="28"/>
          <w:lang w:eastAsia="zh-CN"/>
        </w:rPr>
        <w:t>，</w:t>
      </w:r>
      <w:r>
        <w:rPr>
          <w:rFonts w:hint="eastAsia" w:ascii="仿宋_GB2312" w:eastAsia="仿宋_GB2312"/>
          <w:sz w:val="28"/>
          <w:szCs w:val="28"/>
          <w:lang w:val="en-US" w:eastAsia="zh-CN"/>
        </w:rPr>
        <w:t>本着过紧日子的原则相应经费有所下降</w:t>
      </w:r>
      <w:r>
        <w:rPr>
          <w:rFonts w:hint="eastAsia" w:ascii="仿宋_GB2312" w:eastAsia="仿宋_GB2312"/>
          <w:sz w:val="28"/>
          <w:szCs w:val="28"/>
        </w:rPr>
        <w:t>。</w:t>
      </w:r>
    </w:p>
    <w:p w14:paraId="6541DC2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587F1D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6FF6E7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5714.12</w:t>
      </w:r>
      <w:r>
        <w:rPr>
          <w:rFonts w:hint="eastAsia" w:ascii="仿宋_GB2312" w:eastAsia="仿宋_GB2312"/>
          <w:sz w:val="28"/>
          <w:szCs w:val="28"/>
        </w:rPr>
        <w:t>万元，主要用于以下方面：一般公共服务支出5714.12万元，占本年财政拨款支出100%。</w:t>
      </w:r>
    </w:p>
    <w:p w14:paraId="1B5D747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955F451">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5488.63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rPr>
        <w:t>5714.12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104.11</w:t>
      </w:r>
      <w:r>
        <w:rPr>
          <w:rFonts w:hint="eastAsia" w:ascii="仿宋_GB2312" w:eastAsia="仿宋_GB2312"/>
          <w:sz w:val="28"/>
          <w:szCs w:val="28"/>
        </w:rPr>
        <w:t>%。其中：</w:t>
      </w:r>
    </w:p>
    <w:p w14:paraId="7DE1B20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4164.34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4344.25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104.32</w:t>
      </w:r>
      <w:r>
        <w:rPr>
          <w:rFonts w:hint="eastAsia" w:ascii="仿宋_GB2312" w:eastAsia="仿宋_GB2312"/>
          <w:sz w:val="28"/>
          <w:szCs w:val="28"/>
        </w:rPr>
        <w:t>%。主要原因：</w:t>
      </w:r>
      <w:r>
        <w:rPr>
          <w:rFonts w:hint="eastAsia" w:ascii="仿宋_GB2312" w:eastAsia="仿宋_GB2312"/>
          <w:sz w:val="28"/>
          <w:szCs w:val="28"/>
          <w:lang w:val="en-US" w:eastAsia="zh-CN"/>
        </w:rPr>
        <w:t>年初预算不包括8-12月外聘人员经费，年中根据实际业务需要申请了8-12月外聘人员经费</w:t>
      </w:r>
      <w:r>
        <w:rPr>
          <w:rFonts w:hint="eastAsia" w:ascii="仿宋_GB2312" w:eastAsia="仿宋_GB2312"/>
          <w:sz w:val="28"/>
          <w:szCs w:val="28"/>
        </w:rPr>
        <w:t>。</w:t>
      </w:r>
    </w:p>
    <w:p w14:paraId="51DE409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548.22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601.69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109.75</w:t>
      </w:r>
      <w:r>
        <w:rPr>
          <w:rFonts w:hint="eastAsia" w:ascii="仿宋_GB2312" w:eastAsia="仿宋_GB2312"/>
          <w:sz w:val="28"/>
          <w:szCs w:val="28"/>
        </w:rPr>
        <w:t>%。主要原因：</w:t>
      </w:r>
      <w:r>
        <w:rPr>
          <w:rFonts w:hint="eastAsia" w:ascii="仿宋_GB2312" w:eastAsia="仿宋_GB2312"/>
          <w:sz w:val="28"/>
          <w:szCs w:val="28"/>
          <w:lang w:val="en-US" w:eastAsia="zh-CN"/>
        </w:rPr>
        <w:t>本年调整并补发了离休人员护理费待遇</w:t>
      </w:r>
      <w:r>
        <w:rPr>
          <w:rFonts w:hint="eastAsia" w:ascii="仿宋_GB2312" w:eastAsia="仿宋_GB2312"/>
          <w:sz w:val="28"/>
          <w:szCs w:val="28"/>
        </w:rPr>
        <w:t>。</w:t>
      </w:r>
    </w:p>
    <w:p w14:paraId="4E5FD0B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272.31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92.79</w:t>
      </w:r>
      <w:r>
        <w:rPr>
          <w:rFonts w:hint="eastAsia" w:ascii="仿宋_GB2312" w:eastAsia="仿宋_GB2312"/>
          <w:sz w:val="28"/>
          <w:szCs w:val="28"/>
        </w:rPr>
        <w:t>%。主要原因：</w:t>
      </w:r>
      <w:r>
        <w:rPr>
          <w:rFonts w:hint="eastAsia" w:ascii="仿宋_GB2312" w:eastAsia="仿宋_GB2312"/>
          <w:sz w:val="28"/>
          <w:szCs w:val="28"/>
          <w:lang w:val="en-US" w:eastAsia="zh-CN"/>
        </w:rPr>
        <w:t>本年末较年初在职人数有所下降</w:t>
      </w:r>
      <w:r>
        <w:rPr>
          <w:rFonts w:hint="eastAsia" w:ascii="仿宋_GB2312" w:eastAsia="仿宋_GB2312"/>
          <w:sz w:val="28"/>
          <w:szCs w:val="28"/>
        </w:rPr>
        <w:t>。</w:t>
      </w:r>
    </w:p>
    <w:p w14:paraId="154FBF6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503.76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515.51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102.33</w:t>
      </w:r>
      <w:r>
        <w:rPr>
          <w:rFonts w:hint="eastAsia" w:ascii="仿宋_GB2312" w:eastAsia="仿宋_GB2312"/>
          <w:sz w:val="28"/>
          <w:szCs w:val="28"/>
        </w:rPr>
        <w:t>%。主要原因：</w:t>
      </w:r>
      <w:r>
        <w:rPr>
          <w:rFonts w:hint="eastAsia" w:ascii="仿宋_GB2312" w:eastAsia="仿宋_GB2312"/>
          <w:sz w:val="28"/>
          <w:szCs w:val="28"/>
          <w:lang w:val="en-US" w:eastAsia="zh-CN"/>
        </w:rPr>
        <w:t>年初预算不包含因薪级晋级而增长的住房补贴部分，年中根据岗位等级需要调整了住房补贴经费</w:t>
      </w:r>
      <w:r>
        <w:rPr>
          <w:rFonts w:hint="eastAsia" w:ascii="仿宋_GB2312" w:eastAsia="仿宋_GB2312"/>
          <w:sz w:val="28"/>
          <w:szCs w:val="28"/>
        </w:rPr>
        <w:t>。</w:t>
      </w:r>
    </w:p>
    <w:p w14:paraId="37E813FE">
      <w:pPr>
        <w:autoSpaceDE w:val="0"/>
        <w:autoSpaceDN w:val="0"/>
        <w:adjustRightInd w:val="0"/>
        <w:spacing w:line="580" w:lineRule="exact"/>
        <w:ind w:firstLine="560" w:firstLineChars="200"/>
        <w:jc w:val="left"/>
        <w:rPr>
          <w:rFonts w:hint="eastAsia" w:ascii="仿宋_GB2312" w:eastAsia="仿宋_GB2312"/>
          <w:sz w:val="28"/>
          <w:szCs w:val="28"/>
        </w:rPr>
      </w:pPr>
    </w:p>
    <w:p w14:paraId="009D29C2">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DCB5F7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6AD77B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580C62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5A88C3FF">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2D7719E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8FB9D7A">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BB9D44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FD56D2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4160.57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08A5EB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6278F8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C6EB6B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4352679">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w:t>
      </w:r>
    </w:p>
    <w:p w14:paraId="649533DD">
      <w:pPr>
        <w:spacing w:line="580" w:lineRule="exact"/>
        <w:ind w:firstLine="560" w:firstLineChars="200"/>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6610D3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7FADE52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A95202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C456EAE">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298572EA">
      <w:pPr>
        <w:ind w:left="540"/>
        <w:rPr>
          <w:rFonts w:hint="eastAsia" w:ascii="黑体" w:eastAsia="黑体"/>
          <w:sz w:val="28"/>
          <w:szCs w:val="28"/>
        </w:rPr>
      </w:pPr>
      <w:r>
        <w:rPr>
          <w:rFonts w:hint="eastAsia" w:ascii="黑体" w:eastAsia="黑体"/>
          <w:sz w:val="28"/>
          <w:szCs w:val="28"/>
        </w:rPr>
        <w:t>三、政府采购支出情况</w:t>
      </w:r>
    </w:p>
    <w:p w14:paraId="075FAB1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243.08</w:t>
      </w:r>
      <w:r>
        <w:rPr>
          <w:rFonts w:hint="eastAsia" w:ascii="仿宋_GB2312" w:eastAsia="仿宋_GB2312"/>
          <w:sz w:val="28"/>
          <w:szCs w:val="28"/>
        </w:rPr>
        <w:t>万元，其中：政府采购货物支出</w:t>
      </w:r>
      <w:r>
        <w:rPr>
          <w:rFonts w:ascii="仿宋_GB2312" w:eastAsia="仿宋_GB2312"/>
          <w:sz w:val="28"/>
          <w:szCs w:val="28"/>
        </w:rPr>
        <w:t>8.36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234.72</w:t>
      </w:r>
      <w:r>
        <w:rPr>
          <w:rFonts w:hint="eastAsia" w:ascii="仿宋_GB2312" w:eastAsia="仿宋_GB2312"/>
          <w:sz w:val="28"/>
          <w:szCs w:val="28"/>
        </w:rPr>
        <w:t>万元。授予中小企业合同金额</w:t>
      </w:r>
      <w:r>
        <w:rPr>
          <w:rFonts w:ascii="仿宋_GB2312" w:eastAsia="仿宋_GB2312"/>
          <w:sz w:val="28"/>
          <w:szCs w:val="28"/>
        </w:rPr>
        <w:t>243.08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243.08</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0676986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8E7593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12月31日，北京市西城区名苑幼儿园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70B776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6C930D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D7A220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2D4761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14A80A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182BE1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7A0CB76">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D6A121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46B4A40">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FE5CEF">
      <w:pPr>
        <w:pStyle w:val="20"/>
        <w:numPr>
          <w:ilvl w:val="0"/>
          <w:numId w:val="0"/>
        </w:numPr>
        <w:ind w:left="472" w:leftChars="213" w:hanging="25" w:hangingChars="9"/>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7F5A48D5">
      <w:pPr>
        <w:pStyle w:val="20"/>
        <w:numPr>
          <w:ilvl w:val="0"/>
          <w:numId w:val="0"/>
        </w:numPr>
        <w:ind w:left="472" w:leftChars="213" w:hanging="25" w:hangingChars="9"/>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8.教育支出（类）进修及培训（款）培训支出（项）：反映本部门安排的用于培训的支出。</w:t>
      </w:r>
    </w:p>
    <w:p w14:paraId="08567765">
      <w:pPr>
        <w:pStyle w:val="20"/>
        <w:numPr>
          <w:ilvl w:val="0"/>
          <w:numId w:val="0"/>
        </w:numPr>
        <w:ind w:left="0" w:leftChars="0"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7B75151A">
      <w:pPr>
        <w:pStyle w:val="20"/>
        <w:numPr>
          <w:ilvl w:val="0"/>
          <w:numId w:val="0"/>
        </w:num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14:paraId="04A408A7">
      <w:pPr>
        <w:pStyle w:val="20"/>
        <w:numPr>
          <w:ilvl w:val="0"/>
          <w:numId w:val="0"/>
        </w:num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w:t>
      </w:r>
    </w:p>
    <w:p w14:paraId="019369EB">
      <w:pPr>
        <w:pStyle w:val="20"/>
        <w:numPr>
          <w:ilvl w:val="0"/>
          <w:numId w:val="0"/>
        </w:num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12.社会保障和就业支出（类）抚恤（款）死亡抚恤（项）：反映按规定用于烈士和牺牲、病故人员家属的一次性和定期抚恤金、丧葬补助费以及烈士褒扬金。</w:t>
      </w:r>
    </w:p>
    <w:p w14:paraId="61D85437">
      <w:pPr>
        <w:pStyle w:val="20"/>
        <w:numPr>
          <w:ilvl w:val="0"/>
          <w:numId w:val="0"/>
        </w:num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52F29449">
      <w:pPr>
        <w:pStyle w:val="20"/>
        <w:numPr>
          <w:ilvl w:val="0"/>
          <w:numId w:val="0"/>
        </w:numPr>
        <w:ind w:left="0" w:leftChars="0" w:firstLine="420" w:firstLineChars="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0687BFE5">
      <w:pPr>
        <w:pStyle w:val="20"/>
        <w:numPr>
          <w:ilvl w:val="0"/>
          <w:numId w:val="0"/>
        </w:numPr>
        <w:ind w:left="0" w:leftChars="0" w:firstLine="42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15.住房保障支出（类）住房改革支出（款）住房公积金（项）：反映行政事业单位按人力资源和社会保障部、财政部规定的基本工资和津贴补贴以及规定比例为职工缴纳的住房公积金。</w:t>
      </w:r>
    </w:p>
    <w:p w14:paraId="520C63F4">
      <w:pPr>
        <w:pStyle w:val="20"/>
        <w:numPr>
          <w:ilvl w:val="0"/>
          <w:numId w:val="0"/>
        </w:numPr>
        <w:ind w:left="0" w:leftChars="0" w:firstLine="42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16.住房保障支出（类）住房改革支出（款）提租补贴（项）：反映按房改政策规定的标准，行政事业单位向职工（含离退休人员）发放的租金补助。</w:t>
      </w:r>
    </w:p>
    <w:p w14:paraId="63BE1762">
      <w:pPr>
        <w:pStyle w:val="20"/>
        <w:numPr>
          <w:ilvl w:val="0"/>
          <w:numId w:val="0"/>
        </w:numPr>
        <w:ind w:left="0" w:leftChars="0" w:firstLine="420" w:firstLineChars="0"/>
        <w:rPr>
          <w:rFonts w:hint="eastAsia" w:ascii="仿宋_GB2312" w:eastAsia="仿宋_GB2312"/>
          <w:sz w:val="28"/>
          <w:szCs w:val="28"/>
        </w:rPr>
      </w:pPr>
      <w:r>
        <w:rPr>
          <w:rFonts w:hint="eastAsia" w:ascii="仿宋_GB2312" w:eastAsia="仿宋_GB2312"/>
          <w:sz w:val="28"/>
          <w:szCs w:val="28"/>
          <w:lang w:val="en-US" w:eastAsia="zh-CN"/>
        </w:rPr>
        <w:t>17.住房保障支出（类）住房改革支出（款）购房补贴（项）：反映按房改政策规定的标准，行政事业单位向符合条件职工（含离退休人员）发放的用于购买住房的补贴。</w:t>
      </w:r>
    </w:p>
    <w:p w14:paraId="61107607">
      <w:pPr>
        <w:ind w:firstLine="640" w:firstLineChars="200"/>
        <w:jc w:val="center"/>
        <w:rPr>
          <w:rFonts w:hint="eastAsia" w:ascii="黑体" w:eastAsia="黑体"/>
          <w:sz w:val="32"/>
          <w:szCs w:val="32"/>
        </w:rPr>
      </w:pPr>
    </w:p>
    <w:p w14:paraId="283424D1">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40B7BE4">
      <w:pPr>
        <w:ind w:firstLine="560" w:firstLineChars="200"/>
        <w:rPr>
          <w:rFonts w:hint="eastAsia" w:ascii="黑体" w:eastAsia="黑体"/>
          <w:sz w:val="28"/>
          <w:szCs w:val="28"/>
          <w:highlight w:val="yellow"/>
        </w:rPr>
      </w:pPr>
    </w:p>
    <w:p w14:paraId="5A7390DA">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5249489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F637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5556D6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E0E9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D45D4E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AF72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7E61F7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3A089E"/>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7B55804"/>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5A3F24"/>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5714.12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378682c-f5bb-42a4-8de4-10caf5513a4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4160.57</c:v>
                </c:pt>
                <c:pt idx="1">
                  <c:v>1553.55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93a482b-17e2-4558-b077-e3ea0e69d56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3562</Words>
  <Characters>3946</Characters>
  <Lines>44</Lines>
  <Paragraphs>12</Paragraphs>
  <TotalTime>31</TotalTime>
  <ScaleCrop>false</ScaleCrop>
  <LinksUpToDate>false</LinksUpToDate>
  <CharactersWithSpaces>3965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2025-08-27T12:59:55Z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