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93CDD">
      <w:pPr>
        <w:jc w:val="center"/>
        <w:rPr>
          <w:rFonts w:ascii="仿宋_GB2312" w:eastAsia="仿宋_GB2312"/>
          <w:b/>
          <w:sz w:val="32"/>
          <w:szCs w:val="32"/>
        </w:rPr>
      </w:pPr>
    </w:p>
    <w:p w14:paraId="2F8C51FC">
      <w:pPr>
        <w:jc w:val="center"/>
        <w:rPr>
          <w:rFonts w:ascii="黑体" w:eastAsia="黑体"/>
          <w:sz w:val="72"/>
          <w:szCs w:val="72"/>
        </w:rPr>
      </w:pPr>
    </w:p>
    <w:p w14:paraId="6FA59177">
      <w:pPr>
        <w:jc w:val="center"/>
        <w:rPr>
          <w:rFonts w:ascii="黑体" w:eastAsia="黑体"/>
          <w:sz w:val="72"/>
          <w:szCs w:val="72"/>
        </w:rPr>
      </w:pPr>
    </w:p>
    <w:p w14:paraId="3E74F4BE">
      <w:pPr>
        <w:jc w:val="center"/>
        <w:rPr>
          <w:rFonts w:ascii="黑体" w:eastAsia="黑体"/>
          <w:sz w:val="72"/>
          <w:szCs w:val="72"/>
        </w:rPr>
      </w:pPr>
    </w:p>
    <w:p w14:paraId="3ADABB4F">
      <w:pPr>
        <w:jc w:val="center"/>
        <w:rPr>
          <w:rFonts w:ascii="黑体" w:eastAsia="黑体"/>
          <w:sz w:val="72"/>
          <w:szCs w:val="72"/>
        </w:rPr>
      </w:pPr>
    </w:p>
    <w:p w14:paraId="4D1BD236">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0B7742DF">
      <w:pPr>
        <w:jc w:val="center"/>
        <w:rPr>
          <w:rFonts w:ascii="黑体" w:eastAsia="黑体"/>
          <w:sz w:val="52"/>
          <w:szCs w:val="52"/>
        </w:rPr>
      </w:pPr>
    </w:p>
    <w:p w14:paraId="0F6E6636">
      <w:pPr>
        <w:jc w:val="center"/>
        <w:rPr>
          <w:rFonts w:ascii="黑体" w:eastAsia="黑体"/>
          <w:sz w:val="52"/>
          <w:szCs w:val="52"/>
        </w:rPr>
      </w:pPr>
    </w:p>
    <w:p w14:paraId="0ECB60B8">
      <w:pPr>
        <w:jc w:val="center"/>
        <w:rPr>
          <w:rFonts w:ascii="黑体" w:eastAsia="黑体"/>
          <w:sz w:val="52"/>
          <w:szCs w:val="52"/>
        </w:rPr>
      </w:pPr>
    </w:p>
    <w:p w14:paraId="07C525C1">
      <w:pPr>
        <w:jc w:val="center"/>
        <w:rPr>
          <w:rFonts w:ascii="黑体" w:eastAsia="黑体"/>
          <w:sz w:val="52"/>
          <w:szCs w:val="52"/>
        </w:rPr>
      </w:pPr>
    </w:p>
    <w:p w14:paraId="2B233B69">
      <w:pPr>
        <w:jc w:val="center"/>
        <w:rPr>
          <w:rFonts w:ascii="黑体" w:eastAsia="黑体"/>
          <w:sz w:val="32"/>
          <w:szCs w:val="32"/>
        </w:rPr>
      </w:pPr>
    </w:p>
    <w:p w14:paraId="77A150F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B6B881A">
      <w:pPr>
        <w:spacing w:line="500" w:lineRule="exact"/>
        <w:ind w:firstLine="645"/>
        <w:jc w:val="center"/>
        <w:rPr>
          <w:rFonts w:ascii="宋体" w:hAnsi="宋体" w:cs="宋体"/>
          <w:b/>
          <w:bCs/>
          <w:kern w:val="0"/>
          <w:sz w:val="36"/>
          <w:szCs w:val="36"/>
        </w:rPr>
      </w:pPr>
    </w:p>
    <w:p w14:paraId="6275F05A">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35F5864C">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B31D5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BC0E1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1B6C2B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503C7E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D1872C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9A77E3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03B64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BF961B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13FA9BD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431F86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B7FF1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6E5F903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A416E86">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A8E8C98">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29A47625">
      <w:pPr>
        <w:tabs>
          <w:tab w:val="center" w:pos="6979"/>
        </w:tabs>
        <w:spacing w:before="156" w:beforeLines="50" w:after="156" w:afterLines="50"/>
        <w:jc w:val="center"/>
        <w:rPr>
          <w:rFonts w:ascii="宋体" w:hAnsi="宋体" w:cs="宋体"/>
          <w:b/>
          <w:bCs/>
          <w:spacing w:val="40"/>
          <w:kern w:val="0"/>
          <w:sz w:val="32"/>
          <w:szCs w:val="32"/>
        </w:rPr>
      </w:pPr>
    </w:p>
    <w:p w14:paraId="5483B371">
      <w:pPr>
        <w:tabs>
          <w:tab w:val="center" w:pos="6979"/>
        </w:tabs>
        <w:spacing w:before="156" w:beforeLines="50" w:after="156" w:afterLines="50"/>
        <w:jc w:val="center"/>
        <w:rPr>
          <w:rFonts w:ascii="宋体" w:hAnsi="宋体" w:cs="宋体"/>
          <w:b/>
          <w:bCs/>
          <w:spacing w:val="40"/>
          <w:kern w:val="0"/>
          <w:sz w:val="32"/>
          <w:szCs w:val="32"/>
        </w:rPr>
      </w:pPr>
    </w:p>
    <w:p w14:paraId="6CFBA630">
      <w:pPr>
        <w:tabs>
          <w:tab w:val="center" w:pos="6979"/>
        </w:tabs>
        <w:spacing w:before="156" w:beforeLines="50" w:after="156" w:afterLines="50"/>
        <w:jc w:val="center"/>
        <w:rPr>
          <w:rFonts w:ascii="宋体" w:hAnsi="宋体" w:cs="宋体"/>
          <w:b/>
          <w:bCs/>
          <w:spacing w:val="40"/>
          <w:kern w:val="0"/>
          <w:sz w:val="32"/>
          <w:szCs w:val="32"/>
        </w:rPr>
      </w:pPr>
    </w:p>
    <w:p w14:paraId="4BFA4222">
      <w:pPr>
        <w:tabs>
          <w:tab w:val="center" w:pos="6979"/>
        </w:tabs>
        <w:spacing w:before="156" w:beforeLines="50" w:after="156" w:afterLines="50"/>
        <w:jc w:val="center"/>
        <w:rPr>
          <w:rFonts w:ascii="宋体" w:hAnsi="宋体" w:cs="宋体"/>
          <w:b/>
          <w:bCs/>
          <w:spacing w:val="40"/>
          <w:kern w:val="0"/>
          <w:sz w:val="32"/>
          <w:szCs w:val="32"/>
        </w:rPr>
      </w:pPr>
    </w:p>
    <w:p w14:paraId="32C15348">
      <w:pPr>
        <w:tabs>
          <w:tab w:val="center" w:pos="6979"/>
        </w:tabs>
        <w:spacing w:before="156" w:beforeLines="50" w:after="156" w:afterLines="50"/>
        <w:jc w:val="center"/>
        <w:rPr>
          <w:rFonts w:ascii="宋体" w:hAnsi="宋体" w:cs="宋体"/>
          <w:b/>
          <w:bCs/>
          <w:spacing w:val="40"/>
          <w:kern w:val="0"/>
          <w:sz w:val="32"/>
          <w:szCs w:val="32"/>
        </w:rPr>
      </w:pPr>
    </w:p>
    <w:p w14:paraId="72C3B65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09848B38">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86A70A5">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75FF9F3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2CDC6FA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本单位，北京宣武红旗业余大学，纳入预算编制范围的独立核算单位共1个机构，主要职责为成人高等教育，继续教育，社区教育及老年教育。我校以服务本区，面向全市为宗旨，办学模式多样，社会效益显著。</w:t>
      </w:r>
    </w:p>
    <w:p w14:paraId="18B25F3E">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0CA4C6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2903.43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578.42</w:t>
      </w:r>
      <w:r>
        <w:rPr>
          <w:rFonts w:hint="eastAsia" w:ascii="仿宋_GB2312" w:eastAsia="仿宋_GB2312"/>
          <w:sz w:val="28"/>
          <w:szCs w:val="28"/>
        </w:rPr>
        <w:t>万元，下降</w:t>
      </w:r>
      <w:r>
        <w:rPr>
          <w:rFonts w:ascii="仿宋_GB2312" w:eastAsia="仿宋_GB2312"/>
          <w:sz w:val="28"/>
          <w:szCs w:val="28"/>
        </w:rPr>
        <w:t>16.61</w:t>
      </w:r>
      <w:r>
        <w:rPr>
          <w:rFonts w:hint="eastAsia" w:ascii="仿宋_GB2312" w:eastAsia="仿宋_GB2312"/>
          <w:sz w:val="28"/>
          <w:szCs w:val="28"/>
        </w:rPr>
        <w:t>%。</w:t>
      </w:r>
    </w:p>
    <w:p w14:paraId="7913305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F9A19F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2823.43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减少433.49万元，下降13.31%。</w:t>
      </w:r>
    </w:p>
    <w:p w14:paraId="6E1B67A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2793.43</w:t>
      </w:r>
      <w:r>
        <w:rPr>
          <w:rFonts w:hint="eastAsia" w:ascii="仿宋_GB2312" w:eastAsia="仿宋_GB2312"/>
          <w:sz w:val="28"/>
          <w:szCs w:val="28"/>
        </w:rPr>
        <w:t>万元，占收入合计的98.94%。其中：一般公共预算财政拨款收入</w:t>
      </w:r>
      <w:r>
        <w:rPr>
          <w:rFonts w:ascii="仿宋_GB2312" w:eastAsia="仿宋_GB2312"/>
          <w:sz w:val="28"/>
          <w:szCs w:val="28"/>
        </w:rPr>
        <w:t>2793.43</w:t>
      </w:r>
      <w:r>
        <w:rPr>
          <w:rFonts w:hint="eastAsia" w:ascii="仿宋_GB2312" w:eastAsia="仿宋_GB2312"/>
          <w:sz w:val="28"/>
          <w:szCs w:val="28"/>
        </w:rPr>
        <w:t>万元，占收入合计的98.94%；政府性基金预算财政拨款收入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5220817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3047A2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30</w:t>
      </w:r>
      <w:r>
        <w:rPr>
          <w:rFonts w:hint="eastAsia" w:ascii="仿宋_GB2312" w:eastAsia="仿宋_GB2312"/>
          <w:sz w:val="28"/>
          <w:szCs w:val="28"/>
        </w:rPr>
        <w:t>万元，占收入合计的1.06%；</w:t>
      </w:r>
    </w:p>
    <w:p w14:paraId="57DBF34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FF9613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3033FA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652B4080">
      <w:pPr>
        <w:pStyle w:val="2"/>
        <w:jc w:val="center"/>
      </w:pPr>
      <w:r>
        <w:rPr>
          <w:rFonts w:hint="eastAsia" w:ascii="仿宋_GB2312" w:eastAsia="仿宋_GB2312"/>
          <w:color w:val="000000"/>
          <w:sz w:val="32"/>
        </w:rPr>
        <w:t>图1：收入决算</w:t>
      </w:r>
    </w:p>
    <w:p w14:paraId="7AAE102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FC2B7D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29C347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2811.19</w:t>
      </w:r>
      <w:r>
        <w:rPr>
          <w:rFonts w:hint="eastAsia" w:ascii="仿宋_GB2312" w:eastAsia="仿宋_GB2312"/>
          <w:sz w:val="28"/>
          <w:szCs w:val="28"/>
        </w:rPr>
        <w:t>万元，比上年减少445.72万元，下降13.69%，其中：基本支出</w:t>
      </w:r>
      <w:r>
        <w:rPr>
          <w:rFonts w:ascii="仿宋_GB2312" w:eastAsia="仿宋_GB2312"/>
          <w:sz w:val="28"/>
          <w:szCs w:val="28"/>
        </w:rPr>
        <w:t>2626.23</w:t>
      </w:r>
      <w:r>
        <w:rPr>
          <w:rFonts w:hint="eastAsia" w:ascii="仿宋_GB2312" w:eastAsia="仿宋_GB2312"/>
          <w:sz w:val="28"/>
          <w:szCs w:val="28"/>
        </w:rPr>
        <w:t>万元，占支出合计的93.42%；项目支出</w:t>
      </w:r>
      <w:r>
        <w:rPr>
          <w:rFonts w:ascii="仿宋_GB2312" w:eastAsia="仿宋_GB2312"/>
          <w:sz w:val="28"/>
          <w:szCs w:val="28"/>
        </w:rPr>
        <w:t>184.97</w:t>
      </w:r>
      <w:r>
        <w:rPr>
          <w:rFonts w:hint="eastAsia" w:ascii="仿宋_GB2312" w:eastAsia="仿宋_GB2312"/>
          <w:sz w:val="28"/>
          <w:szCs w:val="28"/>
        </w:rPr>
        <w:t>万元，占支出合计的6.58%;上缴上级支出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2822B3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5B469E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D33D0E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F87841E">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2793.43</w:t>
      </w:r>
      <w:r>
        <w:rPr>
          <w:rFonts w:hint="eastAsia" w:ascii="仿宋_GB2312" w:eastAsia="仿宋_GB2312"/>
          <w:sz w:val="28"/>
          <w:szCs w:val="28"/>
        </w:rPr>
        <w:t>万元，比上年减少431.56万元，下降13.38%。主要原因：本年人员经费有所减少，</w:t>
      </w:r>
      <w:r>
        <w:rPr>
          <w:rFonts w:hint="eastAsia" w:ascii="仿宋_GB2312" w:eastAsia="仿宋_GB2312"/>
          <w:sz w:val="28"/>
          <w:szCs w:val="28"/>
          <w:lang w:val="en-US" w:eastAsia="zh-CN"/>
        </w:rPr>
        <w:t>2023年搬家到三址，搬家费支出较多，2024年办公地址基本确定，</w:t>
      </w:r>
      <w:r>
        <w:rPr>
          <w:rFonts w:hint="eastAsia" w:ascii="仿宋_GB2312" w:eastAsia="仿宋_GB2312"/>
          <w:sz w:val="28"/>
          <w:szCs w:val="28"/>
        </w:rPr>
        <w:t>搬家费等有所减少。</w:t>
      </w:r>
      <w:r>
        <w:rPr>
          <w:rFonts w:hint="eastAsia" w:ascii="仿宋_GB2312" w:eastAsia="仿宋_GB2312"/>
          <w:sz w:val="28"/>
          <w:szCs w:val="28"/>
          <w:lang w:val="en-US" w:eastAsia="zh-CN"/>
        </w:rPr>
        <w:t>导致整体经费下降。</w:t>
      </w:r>
      <w:bookmarkStart w:id="0" w:name="_GoBack"/>
      <w:bookmarkEnd w:id="0"/>
    </w:p>
    <w:p w14:paraId="798D1907">
      <w:pPr>
        <w:tabs>
          <w:tab w:val="center" w:pos="6979"/>
        </w:tabs>
        <w:spacing w:line="580" w:lineRule="exact"/>
        <w:ind w:firstLine="570"/>
        <w:rPr>
          <w:rFonts w:ascii="黑体" w:eastAsia="黑体"/>
          <w:b/>
          <w:sz w:val="28"/>
          <w:szCs w:val="28"/>
        </w:rPr>
      </w:pPr>
      <w:r>
        <w:rPr>
          <w:rFonts w:hint="eastAsia" w:ascii="黑体" w:eastAsia="黑体"/>
          <w:b/>
          <w:sz w:val="28"/>
          <w:szCs w:val="28"/>
        </w:rPr>
        <w:t>四、一般公共预算财政拨款支出决算情况说明</w:t>
      </w:r>
    </w:p>
    <w:p w14:paraId="3EEF43B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52865B1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2793.43</w:t>
      </w:r>
      <w:r>
        <w:rPr>
          <w:rFonts w:hint="eastAsia" w:ascii="仿宋_GB2312" w:eastAsia="仿宋_GB2312"/>
          <w:sz w:val="28"/>
          <w:szCs w:val="28"/>
        </w:rPr>
        <w:t>万元，主要用于以下方面（按大类）：教育支出1775.29万元，占本年财政拨款支出63.55%；社会保障和就业支出477.19万元，占本年财政拨款支出17.08%；卫生健康支出191.40万元，占本年财政拨款支出6.85%；住房保障支出349.54万元，占本年财政拨款支出12.51%。</w:t>
      </w:r>
    </w:p>
    <w:p w14:paraId="530F2EC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（二）一般公共预算财政拨款支出决算具体情况</w:t>
      </w:r>
    </w:p>
    <w:p w14:paraId="28413B2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w:t>
      </w:r>
      <w:r>
        <w:rPr>
          <w:rFonts w:ascii="仿宋_GB2312" w:eastAsia="仿宋_GB2312"/>
          <w:sz w:val="28"/>
          <w:szCs w:val="28"/>
        </w:rPr>
        <w:t>1816.61</w:t>
      </w:r>
      <w:r>
        <w:rPr>
          <w:rFonts w:hint="eastAsia" w:ascii="仿宋_GB2312" w:eastAsia="仿宋_GB2312"/>
          <w:sz w:val="28"/>
          <w:szCs w:val="28"/>
        </w:rPr>
        <w:t>万元，2024年度决算</w:t>
      </w:r>
      <w:r>
        <w:rPr>
          <w:rFonts w:ascii="仿宋_GB2312" w:eastAsia="仿宋_GB2312"/>
          <w:sz w:val="28"/>
          <w:szCs w:val="28"/>
        </w:rPr>
        <w:t>1775.29</w:t>
      </w:r>
      <w:r>
        <w:rPr>
          <w:rFonts w:hint="eastAsia" w:ascii="仿宋_GB2312" w:eastAsia="仿宋_GB2312"/>
          <w:sz w:val="28"/>
          <w:szCs w:val="28"/>
        </w:rPr>
        <w:t>万元，完成年初预算的</w:t>
      </w:r>
      <w:r>
        <w:rPr>
          <w:rFonts w:ascii="仿宋_GB2312" w:eastAsia="仿宋_GB2312"/>
          <w:sz w:val="28"/>
          <w:szCs w:val="28"/>
        </w:rPr>
        <w:t>97.73</w:t>
      </w:r>
      <w:r>
        <w:rPr>
          <w:rFonts w:hint="eastAsia" w:ascii="仿宋_GB2312" w:eastAsia="仿宋_GB2312"/>
          <w:sz w:val="28"/>
          <w:szCs w:val="28"/>
        </w:rPr>
        <w:t>%。</w:t>
      </w:r>
    </w:p>
    <w:p w14:paraId="429863D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其中：普通教育年初预算为0，决算1</w:t>
      </w:r>
      <w:r>
        <w:rPr>
          <w:rFonts w:ascii="仿宋_GB2312" w:eastAsia="仿宋_GB2312"/>
          <w:sz w:val="28"/>
          <w:szCs w:val="28"/>
        </w:rPr>
        <w:t>.8</w:t>
      </w:r>
      <w:r>
        <w:rPr>
          <w:rFonts w:hint="eastAsia" w:ascii="仿宋_GB2312" w:eastAsia="仿宋_GB2312"/>
          <w:sz w:val="28"/>
          <w:szCs w:val="28"/>
        </w:rPr>
        <w:t>万元，主要原因是支教支出；成人教育年初预算1</w:t>
      </w:r>
      <w:r>
        <w:rPr>
          <w:rFonts w:ascii="仿宋_GB2312" w:eastAsia="仿宋_GB2312"/>
          <w:sz w:val="28"/>
          <w:szCs w:val="28"/>
        </w:rPr>
        <w:t>811.49</w:t>
      </w:r>
      <w:r>
        <w:rPr>
          <w:rFonts w:hint="eastAsia" w:ascii="仿宋_GB2312" w:eastAsia="仿宋_GB2312"/>
          <w:sz w:val="28"/>
          <w:szCs w:val="28"/>
        </w:rPr>
        <w:t>万元，决算1</w:t>
      </w:r>
      <w:r>
        <w:rPr>
          <w:rFonts w:ascii="仿宋_GB2312" w:eastAsia="仿宋_GB2312"/>
          <w:sz w:val="28"/>
          <w:szCs w:val="28"/>
        </w:rPr>
        <w:t>768.38</w:t>
      </w:r>
      <w:r>
        <w:rPr>
          <w:rFonts w:hint="eastAsia" w:ascii="仿宋_GB2312" w:eastAsia="仿宋_GB2312"/>
          <w:sz w:val="28"/>
          <w:szCs w:val="28"/>
        </w:rPr>
        <w:t>万元，完成预算的9</w:t>
      </w:r>
      <w:r>
        <w:rPr>
          <w:rFonts w:ascii="仿宋_GB2312" w:eastAsia="仿宋_GB2312"/>
          <w:sz w:val="28"/>
          <w:szCs w:val="28"/>
        </w:rPr>
        <w:t>7.62</w:t>
      </w:r>
      <w:r>
        <w:rPr>
          <w:rFonts w:hint="eastAsia" w:ascii="仿宋_GB2312" w:eastAsia="仿宋_GB2312"/>
          <w:sz w:val="28"/>
          <w:szCs w:val="28"/>
        </w:rPr>
        <w:t>%，本年人员经费有所减少，搬家费等有所减少；进修及培训年初预算5</w:t>
      </w:r>
      <w:r>
        <w:rPr>
          <w:rFonts w:ascii="仿宋_GB2312" w:eastAsia="仿宋_GB2312"/>
          <w:sz w:val="28"/>
          <w:szCs w:val="28"/>
        </w:rPr>
        <w:t>.12</w:t>
      </w:r>
      <w:r>
        <w:rPr>
          <w:rFonts w:hint="eastAsia" w:ascii="仿宋_GB2312" w:eastAsia="仿宋_GB2312"/>
          <w:sz w:val="28"/>
          <w:szCs w:val="28"/>
        </w:rPr>
        <w:t>万元，决算5</w:t>
      </w:r>
      <w:r>
        <w:rPr>
          <w:rFonts w:ascii="仿宋_GB2312" w:eastAsia="仿宋_GB2312"/>
          <w:sz w:val="28"/>
          <w:szCs w:val="28"/>
        </w:rPr>
        <w:t>.11</w:t>
      </w:r>
      <w:r>
        <w:rPr>
          <w:rFonts w:hint="eastAsia" w:ascii="仿宋_GB2312" w:eastAsia="仿宋_GB2312"/>
          <w:sz w:val="28"/>
          <w:szCs w:val="28"/>
        </w:rPr>
        <w:t>万元，完成预算的9</w:t>
      </w:r>
      <w:r>
        <w:rPr>
          <w:rFonts w:ascii="仿宋_GB2312" w:eastAsia="仿宋_GB2312"/>
          <w:sz w:val="28"/>
          <w:szCs w:val="28"/>
        </w:rPr>
        <w:t>9.84</w:t>
      </w:r>
      <w:r>
        <w:rPr>
          <w:rFonts w:hint="eastAsia" w:ascii="仿宋_GB2312" w:eastAsia="仿宋_GB2312"/>
          <w:sz w:val="28"/>
          <w:szCs w:val="28"/>
        </w:rPr>
        <w:t>%，主要原因是培训经费有所节约，培训数量减少。</w:t>
      </w:r>
    </w:p>
    <w:p w14:paraId="7FBE1C48">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2、社会保障和就业支出2024年度年初预算</w:t>
      </w:r>
      <w:r>
        <w:rPr>
          <w:rFonts w:ascii="仿宋_GB2312" w:eastAsia="仿宋_GB2312"/>
          <w:sz w:val="28"/>
          <w:szCs w:val="28"/>
        </w:rPr>
        <w:t>503.41</w:t>
      </w:r>
      <w:r>
        <w:rPr>
          <w:rFonts w:hint="eastAsia" w:ascii="仿宋_GB2312" w:eastAsia="仿宋_GB2312"/>
          <w:sz w:val="28"/>
          <w:szCs w:val="28"/>
        </w:rPr>
        <w:t>万元，2024年度决算4</w:t>
      </w:r>
      <w:r>
        <w:rPr>
          <w:rFonts w:ascii="仿宋_GB2312" w:eastAsia="仿宋_GB2312"/>
          <w:sz w:val="28"/>
          <w:szCs w:val="28"/>
        </w:rPr>
        <w:t>77.19</w:t>
      </w:r>
      <w:r>
        <w:rPr>
          <w:rFonts w:hint="eastAsia" w:ascii="仿宋_GB2312" w:eastAsia="仿宋_GB2312"/>
          <w:sz w:val="28"/>
          <w:szCs w:val="28"/>
        </w:rPr>
        <w:t>万元，完成年初预算的</w:t>
      </w:r>
      <w:r>
        <w:rPr>
          <w:rFonts w:ascii="仿宋_GB2312" w:eastAsia="仿宋_GB2312"/>
          <w:sz w:val="28"/>
          <w:szCs w:val="28"/>
        </w:rPr>
        <w:t>94.79</w:t>
      </w:r>
      <w:r>
        <w:rPr>
          <w:rFonts w:hint="eastAsia" w:ascii="仿宋_GB2312" w:eastAsia="仿宋_GB2312"/>
          <w:sz w:val="28"/>
          <w:szCs w:val="28"/>
        </w:rPr>
        <w:t>%。其中：行政事业单位养老支出年初预算5</w:t>
      </w:r>
      <w:r>
        <w:rPr>
          <w:rFonts w:ascii="仿宋_GB2312" w:eastAsia="仿宋_GB2312"/>
          <w:sz w:val="28"/>
          <w:szCs w:val="28"/>
        </w:rPr>
        <w:t>03.41</w:t>
      </w:r>
      <w:r>
        <w:rPr>
          <w:rFonts w:hint="eastAsia" w:ascii="仿宋_GB2312" w:eastAsia="仿宋_GB2312"/>
          <w:sz w:val="28"/>
          <w:szCs w:val="28"/>
        </w:rPr>
        <w:t>万元，决算4</w:t>
      </w:r>
      <w:r>
        <w:rPr>
          <w:rFonts w:ascii="仿宋_GB2312" w:eastAsia="仿宋_GB2312"/>
          <w:sz w:val="28"/>
          <w:szCs w:val="28"/>
        </w:rPr>
        <w:t>62.41</w:t>
      </w:r>
      <w:r>
        <w:rPr>
          <w:rFonts w:hint="eastAsia" w:ascii="仿宋_GB2312" w:eastAsia="仿宋_GB2312"/>
          <w:sz w:val="28"/>
          <w:szCs w:val="28"/>
        </w:rPr>
        <w:t>万元，完成预算的9</w:t>
      </w:r>
      <w:r>
        <w:rPr>
          <w:rFonts w:ascii="仿宋_GB2312" w:eastAsia="仿宋_GB2312"/>
          <w:sz w:val="28"/>
          <w:szCs w:val="28"/>
        </w:rPr>
        <w:t>1.8</w:t>
      </w:r>
      <w:r>
        <w:rPr>
          <w:rFonts w:hint="eastAsia" w:ascii="仿宋_GB2312" w:eastAsia="仿宋_GB2312"/>
          <w:sz w:val="28"/>
          <w:szCs w:val="28"/>
        </w:rPr>
        <w:t>%，抚恤年初无预算，决算1</w:t>
      </w:r>
      <w:r>
        <w:rPr>
          <w:rFonts w:ascii="仿宋_GB2312" w:eastAsia="仿宋_GB2312"/>
          <w:sz w:val="28"/>
          <w:szCs w:val="28"/>
        </w:rPr>
        <w:t>5.05</w:t>
      </w:r>
      <w:r>
        <w:rPr>
          <w:rFonts w:hint="eastAsia" w:ascii="仿宋_GB2312" w:eastAsia="仿宋_GB2312"/>
          <w:sz w:val="28"/>
          <w:szCs w:val="28"/>
        </w:rPr>
        <w:t>万元，主要原因是有人员去世。</w:t>
      </w:r>
    </w:p>
    <w:p w14:paraId="6E5F86C8">
      <w:pPr>
        <w:spacing w:line="580" w:lineRule="exact"/>
        <w:ind w:firstLine="560" w:firstLineChars="200"/>
        <w:rPr>
          <w:rFonts w:hint="eastAsia"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、卫生健康支出2024年度年初预算</w:t>
      </w:r>
      <w:r>
        <w:rPr>
          <w:rFonts w:ascii="仿宋_GB2312" w:eastAsia="仿宋_GB2312"/>
          <w:sz w:val="28"/>
          <w:szCs w:val="28"/>
        </w:rPr>
        <w:t>195.38</w:t>
      </w:r>
      <w:r>
        <w:rPr>
          <w:rFonts w:hint="eastAsia" w:ascii="仿宋_GB2312" w:eastAsia="仿宋_GB2312"/>
          <w:sz w:val="28"/>
          <w:szCs w:val="28"/>
        </w:rPr>
        <w:t>万元，2024年度决算</w:t>
      </w:r>
      <w:r>
        <w:rPr>
          <w:rFonts w:ascii="仿宋_GB2312" w:eastAsia="仿宋_GB2312"/>
          <w:sz w:val="28"/>
          <w:szCs w:val="28"/>
        </w:rPr>
        <w:t>191.4</w:t>
      </w:r>
      <w:r>
        <w:rPr>
          <w:rFonts w:hint="eastAsia" w:ascii="仿宋_GB2312" w:eastAsia="仿宋_GB2312"/>
          <w:sz w:val="28"/>
          <w:szCs w:val="28"/>
        </w:rPr>
        <w:t>万元，完成年初预算的</w:t>
      </w:r>
      <w:r>
        <w:rPr>
          <w:rFonts w:ascii="仿宋_GB2312" w:eastAsia="仿宋_GB2312"/>
          <w:sz w:val="28"/>
          <w:szCs w:val="28"/>
        </w:rPr>
        <w:t>97.96</w:t>
      </w:r>
      <w:r>
        <w:rPr>
          <w:rFonts w:hint="eastAsia" w:ascii="仿宋_GB2312" w:eastAsia="仿宋_GB2312"/>
          <w:sz w:val="28"/>
          <w:szCs w:val="28"/>
        </w:rPr>
        <w:t>%，均为行政事业单位医疗支出，主要原因是有人员去世。</w:t>
      </w:r>
    </w:p>
    <w:p w14:paraId="0C64C5F2">
      <w:pPr>
        <w:spacing w:line="580" w:lineRule="exact"/>
        <w:ind w:firstLine="560" w:firstLineChars="200"/>
        <w:rPr>
          <w:rFonts w:hint="eastAsia" w:ascii="仿宋_GB2312" w:eastAsia="仿宋_GB2312"/>
          <w:sz w:val="28"/>
          <w:szCs w:val="28"/>
        </w:rPr>
      </w:pPr>
      <w:r>
        <w:rPr>
          <w:rFonts w:ascii="仿宋_GB2312" w:eastAsia="仿宋_GB2312"/>
          <w:sz w:val="28"/>
          <w:szCs w:val="28"/>
        </w:rPr>
        <w:t>4</w:t>
      </w:r>
      <w:r>
        <w:rPr>
          <w:rFonts w:hint="eastAsia" w:ascii="仿宋_GB2312" w:eastAsia="仿宋_GB2312"/>
          <w:sz w:val="28"/>
          <w:szCs w:val="28"/>
        </w:rPr>
        <w:t>、住房保障支出2024年度年初预算</w:t>
      </w:r>
      <w:r>
        <w:rPr>
          <w:rFonts w:ascii="仿宋_GB2312" w:eastAsia="仿宋_GB2312"/>
          <w:sz w:val="28"/>
          <w:szCs w:val="28"/>
        </w:rPr>
        <w:t>345.51</w:t>
      </w:r>
      <w:r>
        <w:rPr>
          <w:rFonts w:hint="eastAsia" w:ascii="仿宋_GB2312" w:eastAsia="仿宋_GB2312"/>
          <w:sz w:val="28"/>
          <w:szCs w:val="28"/>
        </w:rPr>
        <w:t>万元，2024年度决算</w:t>
      </w:r>
      <w:r>
        <w:rPr>
          <w:rFonts w:ascii="仿宋_GB2312" w:eastAsia="仿宋_GB2312"/>
          <w:sz w:val="28"/>
          <w:szCs w:val="28"/>
        </w:rPr>
        <w:t>349.54</w:t>
      </w:r>
      <w:r>
        <w:rPr>
          <w:rFonts w:hint="eastAsia" w:ascii="仿宋_GB2312" w:eastAsia="仿宋_GB2312"/>
          <w:sz w:val="28"/>
          <w:szCs w:val="28"/>
        </w:rPr>
        <w:t>万元，完成年初预算的</w:t>
      </w:r>
      <w:r>
        <w:rPr>
          <w:rFonts w:ascii="仿宋_GB2312" w:eastAsia="仿宋_GB2312"/>
          <w:sz w:val="28"/>
          <w:szCs w:val="28"/>
        </w:rPr>
        <w:t>101.17</w:t>
      </w:r>
      <w:r>
        <w:rPr>
          <w:rFonts w:hint="eastAsia" w:ascii="仿宋_GB2312" w:eastAsia="仿宋_GB2312"/>
          <w:sz w:val="28"/>
          <w:szCs w:val="28"/>
        </w:rPr>
        <w:t>%，均为住房改革支出，主要原因是公积金基数增长。</w:t>
      </w:r>
    </w:p>
    <w:p w14:paraId="0BCDD76A">
      <w:pPr>
        <w:rPr>
          <w:rFonts w:hint="eastAsia"/>
        </w:rPr>
      </w:pPr>
    </w:p>
    <w:p w14:paraId="4A027565">
      <w:pPr>
        <w:spacing w:line="580" w:lineRule="exact"/>
        <w:ind w:firstLine="560" w:firstLineChars="200"/>
        <w:rPr>
          <w:rFonts w:ascii="仿宋_GB2312" w:eastAsia="仿宋_GB2312"/>
          <w:sz w:val="28"/>
          <w:szCs w:val="28"/>
        </w:rPr>
      </w:pPr>
    </w:p>
    <w:p w14:paraId="04A2970F">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32C650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3E854C8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584D29C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4804024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165A1BDE">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30C0B75">
      <w:pPr>
        <w:spacing w:line="580" w:lineRule="exact"/>
        <w:ind w:firstLine="548" w:firstLineChars="196"/>
        <w:rPr>
          <w:rFonts w:ascii="仿宋_GB2312" w:eastAsia="仿宋_GB2312"/>
          <w:sz w:val="28"/>
          <w:szCs w:val="28"/>
        </w:rPr>
      </w:pPr>
      <w:r>
        <w:rPr>
          <w:rFonts w:hint="eastAsia" w:ascii="仿宋_GB2312" w:eastAsia="仿宋_GB2312"/>
          <w:sz w:val="28"/>
          <w:szCs w:val="28"/>
        </w:rPr>
        <w:t>本单位无此项经费</w:t>
      </w:r>
    </w:p>
    <w:p w14:paraId="24BB9BF9">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D7A60B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2626.23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手续费、水费、电费、邮电费、取暖费、物业管理费、差旅费、维修（护）费、培训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CE79C1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744A14D">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63C87368">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11E7F01">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0.57</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万元增加（减少）</w:t>
      </w:r>
      <w:r>
        <w:rPr>
          <w:rFonts w:ascii="仿宋_GB2312" w:eastAsia="仿宋_GB2312"/>
          <w:sz w:val="28"/>
          <w:szCs w:val="28"/>
        </w:rPr>
        <w:t>-2.13</w:t>
      </w:r>
      <w:r>
        <w:rPr>
          <w:rFonts w:hint="eastAsia" w:ascii="仿宋_GB2312" w:eastAsia="仿宋_GB2312"/>
          <w:sz w:val="28"/>
          <w:szCs w:val="28"/>
        </w:rPr>
        <w:t>万元。其中：</w:t>
      </w:r>
    </w:p>
    <w:p w14:paraId="1C8F178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1.因公出国（境）费用。本单位无此项经费。</w:t>
      </w:r>
    </w:p>
    <w:p w14:paraId="30591DE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2.公务接待费。本单位无此项经费。</w:t>
      </w:r>
    </w:p>
    <w:p w14:paraId="6B271C77">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0.57</w:t>
      </w:r>
      <w:r>
        <w:rPr>
          <w:rFonts w:hint="eastAsia" w:ascii="仿宋_GB2312" w:eastAsia="仿宋_GB2312"/>
          <w:sz w:val="28"/>
          <w:szCs w:val="28"/>
        </w:rPr>
        <w:t>万元，比2024年度年初预算数</w:t>
      </w:r>
      <w:r>
        <w:rPr>
          <w:rFonts w:ascii="仿宋_GB2312" w:eastAsia="仿宋_GB2312"/>
          <w:sz w:val="28"/>
          <w:szCs w:val="28"/>
        </w:rPr>
        <w:t>2.7</w:t>
      </w:r>
      <w:r>
        <w:rPr>
          <w:rFonts w:hint="eastAsia" w:ascii="仿宋_GB2312" w:eastAsia="仿宋_GB2312"/>
          <w:sz w:val="28"/>
          <w:szCs w:val="28"/>
        </w:rPr>
        <w:t>万元增加（减少）</w:t>
      </w:r>
      <w:r>
        <w:rPr>
          <w:rFonts w:ascii="仿宋_GB2312" w:eastAsia="仿宋_GB2312"/>
          <w:sz w:val="28"/>
          <w:szCs w:val="28"/>
        </w:rPr>
        <w:t>-2.13</w:t>
      </w:r>
      <w:r>
        <w:rPr>
          <w:rFonts w:hint="eastAsia" w:ascii="仿宋_GB2312" w:eastAsia="仿宋_GB2312"/>
          <w:sz w:val="28"/>
          <w:szCs w:val="28"/>
        </w:rPr>
        <w:t>万元。其中，公务用车购置费2024年度决算数0万元，主要原因：本单位本年无公务用车购置，2024年度购置（更新）0辆。公务用车运行维护费2024年度决算数0.57万元，主要原因：本年厉行节约，公务用车运行维护费主要用于维修费、保险费、停车费等。2024年度公务用车保有量</w:t>
      </w:r>
      <w:r>
        <w:rPr>
          <w:rFonts w:ascii="仿宋_GB2312" w:eastAsia="仿宋_GB2312"/>
          <w:sz w:val="28"/>
          <w:szCs w:val="28"/>
        </w:rPr>
        <w:t>1</w:t>
      </w:r>
      <w:r>
        <w:rPr>
          <w:rFonts w:hint="eastAsia" w:ascii="仿宋_GB2312" w:eastAsia="仿宋_GB2312"/>
          <w:sz w:val="28"/>
          <w:szCs w:val="28"/>
        </w:rPr>
        <w:t>辆。</w:t>
      </w:r>
    </w:p>
    <w:p w14:paraId="538A5CCF">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47BDC04">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50AAA4B2">
      <w:pPr>
        <w:ind w:left="540"/>
        <w:rPr>
          <w:rFonts w:ascii="黑体" w:eastAsia="黑体"/>
          <w:sz w:val="28"/>
          <w:szCs w:val="28"/>
        </w:rPr>
      </w:pPr>
      <w:r>
        <w:rPr>
          <w:rFonts w:hint="eastAsia" w:ascii="黑体" w:eastAsia="黑体"/>
          <w:sz w:val="28"/>
          <w:szCs w:val="28"/>
        </w:rPr>
        <w:t>三、政府采购支出情况</w:t>
      </w:r>
    </w:p>
    <w:p w14:paraId="46F0A82C">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46.45</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46.45</w:t>
      </w:r>
      <w:r>
        <w:rPr>
          <w:rFonts w:hint="eastAsia" w:ascii="仿宋_GB2312" w:eastAsia="仿宋_GB2312"/>
          <w:sz w:val="28"/>
          <w:szCs w:val="28"/>
        </w:rPr>
        <w:t>万元。授予中小企业合同金额</w:t>
      </w:r>
      <w:r>
        <w:rPr>
          <w:rFonts w:ascii="仿宋_GB2312" w:eastAsia="仿宋_GB2312"/>
          <w:sz w:val="28"/>
          <w:szCs w:val="28"/>
        </w:rPr>
        <w:t>46.31</w:t>
      </w:r>
      <w:r>
        <w:rPr>
          <w:rFonts w:hint="eastAsia" w:ascii="仿宋_GB2312" w:eastAsia="仿宋_GB2312"/>
          <w:sz w:val="28"/>
          <w:szCs w:val="28"/>
        </w:rPr>
        <w:t>万元，占政府采购支出总额的99.7%，其中：授予小微企业合同金额</w:t>
      </w:r>
      <w:r>
        <w:rPr>
          <w:rFonts w:ascii="仿宋_GB2312" w:eastAsia="仿宋_GB2312"/>
          <w:sz w:val="28"/>
          <w:szCs w:val="28"/>
        </w:rPr>
        <w:t>46.31</w:t>
      </w:r>
      <w:r>
        <w:rPr>
          <w:rFonts w:hint="eastAsia" w:ascii="仿宋_GB2312" w:eastAsia="仿宋_GB2312"/>
          <w:sz w:val="28"/>
          <w:szCs w:val="28"/>
        </w:rPr>
        <w:t>万元，占政府采购支出总额的</w:t>
      </w:r>
      <w:r>
        <w:rPr>
          <w:rFonts w:ascii="仿宋_GB2312" w:eastAsia="仿宋_GB2312"/>
          <w:sz w:val="28"/>
          <w:szCs w:val="28"/>
        </w:rPr>
        <w:t>99.7</w:t>
      </w:r>
      <w:r>
        <w:rPr>
          <w:rFonts w:hint="eastAsia" w:ascii="仿宋_GB2312" w:eastAsia="仿宋_GB2312"/>
          <w:sz w:val="28"/>
          <w:szCs w:val="28"/>
        </w:rPr>
        <w:t>%。</w:t>
      </w:r>
    </w:p>
    <w:p w14:paraId="2C681FD9">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E635282">
      <w:pPr>
        <w:ind w:firstLine="560" w:firstLineChars="200"/>
        <w:rPr>
          <w:rFonts w:ascii="仿宋_GB2312" w:eastAsia="仿宋_GB2312"/>
          <w:sz w:val="32"/>
          <w:szCs w:val="32"/>
        </w:rPr>
      </w:pPr>
      <w:r>
        <w:rPr>
          <w:rFonts w:hint="eastAsia" w:ascii="仿宋_GB2312" w:eastAsia="仿宋_GB2312"/>
          <w:sz w:val="28"/>
          <w:szCs w:val="28"/>
        </w:rPr>
        <w:t>截至12月31日，北京宣武红旗业余大学共有车辆1台；单位价值100万元（含）以上的设备0台（套）。</w:t>
      </w:r>
    </w:p>
    <w:p w14:paraId="439E2EF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F5FF266">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47ED0E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D0812D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01044C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B638F38">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A7FF34B">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1B9365A">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5B6D20C0">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7C84F2B">
      <w:pPr>
        <w:ind w:firstLine="560" w:firstLineChars="200"/>
        <w:rPr>
          <w:rFonts w:hint="eastAsia" w:ascii="仿宋_GB2312" w:eastAsia="仿宋_GB2312"/>
          <w:sz w:val="28"/>
          <w:szCs w:val="28"/>
        </w:rPr>
      </w:pPr>
      <w:r>
        <w:rPr>
          <w:rFonts w:hint="eastAsia" w:ascii="仿宋_GB2312" w:eastAsia="仿宋_GB2312"/>
          <w:sz w:val="28"/>
          <w:szCs w:val="28"/>
        </w:rPr>
        <w:t>7. 教育支出（类）普通教育（款）其他普通教育支出（项）：反映除上述项目以外其他用于普通教育方面的支出。</w:t>
      </w:r>
    </w:p>
    <w:p w14:paraId="142962DC">
      <w:pPr>
        <w:ind w:firstLine="560" w:firstLineChars="200"/>
        <w:rPr>
          <w:rFonts w:hint="eastAsia" w:ascii="仿宋_GB2312" w:eastAsia="仿宋_GB2312"/>
          <w:sz w:val="28"/>
          <w:szCs w:val="28"/>
        </w:rPr>
      </w:pPr>
      <w:r>
        <w:rPr>
          <w:rFonts w:hint="eastAsia" w:ascii="仿宋_GB2312" w:eastAsia="仿宋_GB2312"/>
          <w:sz w:val="28"/>
          <w:szCs w:val="28"/>
        </w:rPr>
        <w:t>8.教育支出（类）成人教育（款）成人高等教育（项）：反映本部门举办函授、夜大、自学考试等方面的支出。</w:t>
      </w:r>
    </w:p>
    <w:p w14:paraId="2D41F489">
      <w:pPr>
        <w:ind w:firstLine="560" w:firstLineChars="200"/>
        <w:rPr>
          <w:rFonts w:hint="eastAsia" w:ascii="仿宋_GB2312" w:eastAsia="仿宋_GB2312"/>
          <w:sz w:val="28"/>
          <w:szCs w:val="28"/>
        </w:rPr>
      </w:pPr>
      <w:r>
        <w:rPr>
          <w:rFonts w:hint="eastAsia" w:ascii="仿宋_GB2312" w:eastAsia="仿宋_GB2312"/>
          <w:sz w:val="28"/>
          <w:szCs w:val="28"/>
        </w:rPr>
        <w:t>9.教育支出（类）进修及培训（款）培训支出（项）：反映本部门安排的用于培训的支出。</w:t>
      </w:r>
    </w:p>
    <w:p w14:paraId="03ACB351">
      <w:pPr>
        <w:ind w:firstLine="560" w:firstLineChars="200"/>
        <w:rPr>
          <w:rFonts w:hint="eastAsia" w:ascii="仿宋_GB2312" w:eastAsia="仿宋_GB2312"/>
          <w:sz w:val="28"/>
          <w:szCs w:val="28"/>
        </w:rPr>
      </w:pPr>
      <w:r>
        <w:rPr>
          <w:rFonts w:hint="eastAsia" w:ascii="仿宋_GB2312" w:eastAsia="仿宋_GB2312"/>
          <w:sz w:val="28"/>
          <w:szCs w:val="28"/>
        </w:rPr>
        <w:t>10.社会保障和就业支出（类）行政事业单位养老支出（款）事业单位离退休（项）：反映事业单位开支的离退休经费。</w:t>
      </w:r>
    </w:p>
    <w:p w14:paraId="078B4F95">
      <w:pPr>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14:paraId="168DFB44">
      <w:pPr>
        <w:ind w:firstLine="560" w:firstLineChars="200"/>
        <w:rPr>
          <w:rFonts w:hint="eastAsia"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p>
    <w:p w14:paraId="0556A430">
      <w:pPr>
        <w:ind w:firstLine="560" w:firstLineChars="200"/>
        <w:rPr>
          <w:rFonts w:hint="eastAsia" w:ascii="仿宋_GB2312" w:eastAsia="仿宋_GB2312"/>
          <w:sz w:val="28"/>
          <w:szCs w:val="28"/>
        </w:rPr>
      </w:pPr>
      <w:r>
        <w:rPr>
          <w:rFonts w:hint="eastAsia" w:ascii="仿宋_GB2312" w:eastAsia="仿宋_GB2312"/>
          <w:sz w:val="28"/>
          <w:szCs w:val="28"/>
        </w:rPr>
        <w:t>13.社会保障和就业支出（类）抚恤（款）死亡抚恤（项）：反映按规定用于烈士和牺牲、病故人员家属的一次性和定期抚恤金、丧葬补助费以及烈士褒扬金。</w:t>
      </w:r>
    </w:p>
    <w:p w14:paraId="5CAAF434">
      <w:pPr>
        <w:ind w:firstLine="560" w:firstLineChars="200"/>
        <w:rPr>
          <w:rFonts w:hint="eastAsia"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3721AFA5">
      <w:pPr>
        <w:ind w:firstLine="560" w:firstLineChars="200"/>
        <w:rPr>
          <w:rFonts w:hint="eastAsia" w:ascii="仿宋_GB2312" w:eastAsia="仿宋_GB2312"/>
          <w:sz w:val="28"/>
          <w:szCs w:val="28"/>
        </w:rPr>
      </w:pPr>
      <w:r>
        <w:rPr>
          <w:rFonts w:hint="eastAsia" w:ascii="仿宋_GB2312" w:eastAsia="仿宋_GB2312"/>
          <w:sz w:val="28"/>
          <w:szCs w:val="28"/>
        </w:rPr>
        <w:t>15.住房保障支出（类）住房改革支出（款）住房公积金（项）：反映行政事业单位按人力资源和社会保障部、财政部规定的基本工资和津贴补贴以及规定比例为职工缴纳的住房公积金。</w:t>
      </w:r>
    </w:p>
    <w:p w14:paraId="0FF6E03A">
      <w:pPr>
        <w:ind w:firstLine="560" w:firstLineChars="200"/>
        <w:rPr>
          <w:rFonts w:hint="eastAsia" w:ascii="仿宋_GB2312" w:eastAsia="仿宋_GB2312"/>
          <w:sz w:val="28"/>
          <w:szCs w:val="28"/>
        </w:rPr>
      </w:pPr>
      <w:r>
        <w:rPr>
          <w:rFonts w:hint="eastAsia" w:ascii="仿宋_GB2312" w:eastAsia="仿宋_GB2312"/>
          <w:sz w:val="28"/>
          <w:szCs w:val="28"/>
        </w:rPr>
        <w:t>16.住房保障支出（类）住房改革支出（款）提租补贴（项）：反映按房改政策规定的标准，行政事业单位向职工（含离退休人员）发放的租金补助。</w:t>
      </w:r>
    </w:p>
    <w:p w14:paraId="31F730CB">
      <w:pPr>
        <w:ind w:firstLine="560" w:firstLineChars="200"/>
        <w:rPr>
          <w:rFonts w:ascii="黑体" w:eastAsia="黑体"/>
          <w:sz w:val="32"/>
          <w:szCs w:val="32"/>
        </w:rPr>
      </w:pPr>
      <w:r>
        <w:rPr>
          <w:rFonts w:hint="eastAsia" w:ascii="仿宋_GB2312" w:eastAsia="仿宋_GB2312"/>
          <w:sz w:val="28"/>
          <w:szCs w:val="28"/>
        </w:rPr>
        <w:t>17.住房保障支出（类）住房改革支出（款）购房补贴（项）：反映按房改政策规定的标准，行政事业单位向符合条件职工（含离退休人员）发放的用于购买住房的补贴。</w:t>
      </w:r>
    </w:p>
    <w:p w14:paraId="1A4725A7">
      <w:pPr>
        <w:tabs>
          <w:tab w:val="center" w:pos="6979"/>
        </w:tabs>
        <w:spacing w:line="380" w:lineRule="exact"/>
        <w:jc w:val="center"/>
        <w:rPr>
          <w:rFonts w:ascii="宋体" w:hAnsi="宋体" w:cs="宋体"/>
          <w:b/>
          <w:bCs/>
          <w:kern w:val="0"/>
          <w:sz w:val="28"/>
          <w:szCs w:val="28"/>
        </w:rPr>
      </w:pPr>
    </w:p>
    <w:p w14:paraId="5F21D6F6">
      <w:pPr>
        <w:tabs>
          <w:tab w:val="center" w:pos="6979"/>
        </w:tabs>
        <w:spacing w:line="380" w:lineRule="exact"/>
        <w:jc w:val="center"/>
        <w:rPr>
          <w:rFonts w:ascii="宋体" w:hAnsi="宋体" w:cs="宋体"/>
          <w:b/>
          <w:bCs/>
          <w:kern w:val="0"/>
          <w:sz w:val="28"/>
          <w:szCs w:val="28"/>
        </w:rPr>
      </w:pPr>
    </w:p>
    <w:p w14:paraId="1217C25B">
      <w:pPr>
        <w:rPr>
          <w:rFonts w:ascii="黑体" w:eastAsia="黑体"/>
          <w:sz w:val="32"/>
          <w:szCs w:val="32"/>
        </w:rPr>
      </w:pPr>
    </w:p>
    <w:p w14:paraId="36AA7D2E">
      <w:pPr>
        <w:ind w:firstLine="640" w:firstLineChars="200"/>
        <w:jc w:val="center"/>
        <w:rPr>
          <w:rFonts w:ascii="黑体" w:eastAsia="黑体"/>
          <w:sz w:val="32"/>
          <w:szCs w:val="32"/>
        </w:rPr>
      </w:pPr>
    </w:p>
    <w:p w14:paraId="53CF67D0">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CF6EA1F">
      <w:pPr>
        <w:ind w:firstLine="560" w:firstLineChars="200"/>
        <w:rPr>
          <w:rFonts w:ascii="黑体" w:eastAsia="黑体"/>
          <w:sz w:val="28"/>
          <w:szCs w:val="28"/>
          <w:highlight w:val="yellow"/>
        </w:rPr>
      </w:pPr>
    </w:p>
    <w:p w14:paraId="21E71300">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6358EDE4">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72A60101">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4E881FA3">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2D6CE1A6">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6319050D">
      <w:pPr>
        <w:spacing w:line="480" w:lineRule="exact"/>
        <w:rPr>
          <w:rFonts w:ascii="仿宋_GB2312" w:hAnsi="仿宋_GB2312" w:eastAsia="仿宋_GB2312" w:cs="仿宋_GB2312"/>
          <w:sz w:val="32"/>
          <w:szCs w:val="32"/>
        </w:rPr>
      </w:pPr>
    </w:p>
    <w:p w14:paraId="0BC85CC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74B2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F17898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629A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14:paraId="6E22416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A2A7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3ED34D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3B"/>
    <w:rsid w:val="00000AFD"/>
    <w:rsid w:val="002F06E0"/>
    <w:rsid w:val="00493109"/>
    <w:rsid w:val="004F0154"/>
    <w:rsid w:val="005147EB"/>
    <w:rsid w:val="00563BF7"/>
    <w:rsid w:val="006001FF"/>
    <w:rsid w:val="0064659D"/>
    <w:rsid w:val="0086319D"/>
    <w:rsid w:val="00904A82"/>
    <w:rsid w:val="00B26791"/>
    <w:rsid w:val="00BB66A4"/>
    <w:rsid w:val="00C84666"/>
    <w:rsid w:val="00D62743"/>
    <w:rsid w:val="00D87B6F"/>
    <w:rsid w:val="00DD393B"/>
    <w:rsid w:val="00FC5161"/>
    <w:rsid w:val="09AF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2793.43</c:v>
                </c:pt>
                <c:pt idx="1">
                  <c:v>0</c:v>
                </c:pt>
                <c:pt idx="2">
                  <c:v>30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c1a82e0-9e44-4165-88de-478f570d56f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2626.23</c:v>
                </c:pt>
                <c:pt idx="1">
                  <c:v>184.97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6f0901d-151b-4a58-bc3e-c508cd62e831}"/>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3964</Words>
  <Characters>4430</Characters>
  <Lines>32</Lines>
  <Paragraphs>9</Paragraphs>
  <TotalTime>0</TotalTime>
  <ScaleCrop>false</ScaleCrop>
  <LinksUpToDate>false</LinksUpToDate>
  <CharactersWithSpaces>4451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...Q</cp:lastModifiedBy>
  <cp:lastPrinted>2020-08-07T19:39:00Z</cp:lastPrinted>
  <dcterms:modified xsi:type="dcterms:W3CDTF">2025-08-28T02:06:32Z</dcterms:modified>
  <dc:title>北京市财政局关于做好向市人大常委会报送2015年度市级部门决算（草案）</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124E2AAA09C745F69E71F87BD3F3A210_13</vt:lpwstr>
  </property>
  <property fmtid="{D5CDD505-2E9C-101B-9397-08002B2CF9AE}" pid="4" name="KSOTemplateDocerSaveRecord">
    <vt:lpwstr>eyJoZGlkIjoiMTY2OGJhYTljNTRhM2FkOTNiYTI0NmZmZGZlZjc5MDciLCJ1c2VySWQiOiIyNDAxNTE3MTcifQ==</vt:lpwstr>
  </property>
</Properties>
</file>