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D4D6A">
      <w:pPr>
        <w:jc w:val="center"/>
        <w:rPr>
          <w:rFonts w:ascii="仿宋_GB2312" w:eastAsia="仿宋_GB2312"/>
          <w:b/>
          <w:sz w:val="32"/>
          <w:szCs w:val="32"/>
        </w:rPr>
      </w:pPr>
    </w:p>
    <w:p w14:paraId="4B43DB29">
      <w:pPr>
        <w:jc w:val="center"/>
        <w:rPr>
          <w:rFonts w:ascii="黑体" w:eastAsia="黑体"/>
          <w:sz w:val="72"/>
          <w:szCs w:val="72"/>
        </w:rPr>
      </w:pPr>
    </w:p>
    <w:p w14:paraId="64DF828F">
      <w:pPr>
        <w:jc w:val="center"/>
        <w:rPr>
          <w:rFonts w:ascii="黑体" w:eastAsia="黑体"/>
          <w:sz w:val="72"/>
          <w:szCs w:val="72"/>
        </w:rPr>
      </w:pPr>
    </w:p>
    <w:p w14:paraId="1B0B260A">
      <w:pPr>
        <w:jc w:val="center"/>
        <w:rPr>
          <w:rFonts w:ascii="黑体" w:eastAsia="黑体"/>
          <w:sz w:val="72"/>
          <w:szCs w:val="72"/>
        </w:rPr>
      </w:pPr>
    </w:p>
    <w:p w14:paraId="5C1AFD7D">
      <w:pPr>
        <w:jc w:val="center"/>
        <w:rPr>
          <w:rFonts w:ascii="黑体" w:eastAsia="黑体"/>
          <w:sz w:val="72"/>
          <w:szCs w:val="72"/>
        </w:rPr>
      </w:pPr>
    </w:p>
    <w:p w14:paraId="36117571">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2AE3FB12">
      <w:pPr>
        <w:jc w:val="center"/>
        <w:rPr>
          <w:rFonts w:ascii="黑体" w:eastAsia="黑体"/>
          <w:sz w:val="52"/>
          <w:szCs w:val="52"/>
        </w:rPr>
      </w:pPr>
    </w:p>
    <w:p w14:paraId="2690F58D">
      <w:pPr>
        <w:jc w:val="center"/>
        <w:rPr>
          <w:rFonts w:ascii="黑体" w:eastAsia="黑体"/>
          <w:sz w:val="52"/>
          <w:szCs w:val="52"/>
        </w:rPr>
      </w:pPr>
    </w:p>
    <w:p w14:paraId="211F1541">
      <w:pPr>
        <w:jc w:val="center"/>
        <w:rPr>
          <w:rFonts w:ascii="黑体" w:eastAsia="黑体"/>
          <w:sz w:val="52"/>
          <w:szCs w:val="52"/>
        </w:rPr>
      </w:pPr>
    </w:p>
    <w:p w14:paraId="4FBF7966">
      <w:pPr>
        <w:jc w:val="center"/>
        <w:rPr>
          <w:rFonts w:ascii="黑体" w:eastAsia="黑体"/>
          <w:sz w:val="52"/>
          <w:szCs w:val="52"/>
        </w:rPr>
      </w:pPr>
    </w:p>
    <w:p w14:paraId="7D36E790">
      <w:pPr>
        <w:jc w:val="center"/>
        <w:rPr>
          <w:rFonts w:ascii="黑体" w:eastAsia="黑体"/>
          <w:sz w:val="32"/>
          <w:szCs w:val="32"/>
        </w:rPr>
      </w:pPr>
    </w:p>
    <w:p w14:paraId="07A1D4E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F07DA99">
      <w:pPr>
        <w:spacing w:line="500" w:lineRule="exact"/>
        <w:ind w:firstLine="645"/>
        <w:jc w:val="center"/>
        <w:rPr>
          <w:rFonts w:ascii="宋体" w:hAnsi="宋体" w:cs="宋体"/>
          <w:b/>
          <w:bCs/>
          <w:kern w:val="0"/>
          <w:sz w:val="36"/>
          <w:szCs w:val="36"/>
        </w:rPr>
      </w:pPr>
    </w:p>
    <w:p w14:paraId="33CAFA1D">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29A34D4C">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6E71FF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855F1A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6D8627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88CCF8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AAE8C1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196581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7789DB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FC1FFD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34AA70D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AA0293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68798D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2C209DF6">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18AC32E9">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6D39BD26">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6C54EECB">
      <w:pPr>
        <w:tabs>
          <w:tab w:val="center" w:pos="6979"/>
        </w:tabs>
        <w:spacing w:before="156" w:beforeLines="50" w:after="156" w:afterLines="50"/>
        <w:jc w:val="center"/>
        <w:rPr>
          <w:rFonts w:ascii="宋体" w:hAnsi="宋体" w:cs="宋体"/>
          <w:b/>
          <w:bCs/>
          <w:spacing w:val="40"/>
          <w:kern w:val="0"/>
          <w:sz w:val="32"/>
          <w:szCs w:val="32"/>
        </w:rPr>
      </w:pPr>
    </w:p>
    <w:p w14:paraId="29BCA831">
      <w:pPr>
        <w:tabs>
          <w:tab w:val="center" w:pos="6979"/>
        </w:tabs>
        <w:spacing w:before="156" w:beforeLines="50" w:after="156" w:afterLines="50"/>
        <w:jc w:val="center"/>
        <w:rPr>
          <w:rFonts w:ascii="宋体" w:hAnsi="宋体" w:cs="宋体"/>
          <w:b/>
          <w:bCs/>
          <w:spacing w:val="40"/>
          <w:kern w:val="0"/>
          <w:sz w:val="32"/>
          <w:szCs w:val="32"/>
        </w:rPr>
      </w:pPr>
    </w:p>
    <w:p w14:paraId="0A2D288F">
      <w:pPr>
        <w:tabs>
          <w:tab w:val="center" w:pos="6979"/>
        </w:tabs>
        <w:spacing w:before="156" w:beforeLines="50" w:after="156" w:afterLines="50"/>
        <w:jc w:val="center"/>
        <w:rPr>
          <w:rFonts w:ascii="宋体" w:hAnsi="宋体" w:cs="宋体"/>
          <w:b/>
          <w:bCs/>
          <w:spacing w:val="40"/>
          <w:kern w:val="0"/>
          <w:sz w:val="32"/>
          <w:szCs w:val="32"/>
        </w:rPr>
      </w:pPr>
    </w:p>
    <w:p w14:paraId="6CCA98E5">
      <w:pPr>
        <w:tabs>
          <w:tab w:val="center" w:pos="6979"/>
        </w:tabs>
        <w:spacing w:before="156" w:beforeLines="50" w:after="156" w:afterLines="50"/>
        <w:jc w:val="center"/>
        <w:rPr>
          <w:rFonts w:ascii="宋体" w:hAnsi="宋体" w:cs="宋体"/>
          <w:b/>
          <w:bCs/>
          <w:spacing w:val="40"/>
          <w:kern w:val="0"/>
          <w:sz w:val="32"/>
          <w:szCs w:val="32"/>
        </w:rPr>
      </w:pPr>
    </w:p>
    <w:p w14:paraId="4769CFEA">
      <w:pPr>
        <w:tabs>
          <w:tab w:val="center" w:pos="6979"/>
        </w:tabs>
        <w:spacing w:before="156" w:beforeLines="50" w:after="156" w:afterLines="50"/>
        <w:jc w:val="center"/>
        <w:rPr>
          <w:rFonts w:ascii="宋体" w:hAnsi="宋体" w:cs="宋体"/>
          <w:b/>
          <w:bCs/>
          <w:spacing w:val="40"/>
          <w:kern w:val="0"/>
          <w:sz w:val="32"/>
          <w:szCs w:val="32"/>
        </w:rPr>
      </w:pPr>
    </w:p>
    <w:p w14:paraId="4DE95710">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59F1A599">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BFCD908">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2E42231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14:paraId="150D3DE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机构设置、职责：北京开放大学西城分校，单位机构数1个,无变动。无下属单位。</w:t>
      </w:r>
    </w:p>
    <w:p w14:paraId="02FA640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北京开放大学西城分校是北京市西城区教委举办的独立设置成人高等学校，是全额拨款事业单位，执行政府会计制度的单位。学校主要职责是开展成人本专科学历继续教育、社区教育、老年教育。学校全面贯彻全国教育大会精神，按照“办好继续教育”“落实立德树人根本任务”“服务首都核心功能”的总体要求，面向区域，服务市民终身学习，办百姓身边的开放大学，为西城区学习型城市示范区创新发展和建设高品质文明城区服务。</w:t>
      </w:r>
    </w:p>
    <w:p w14:paraId="1DA7D630">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724140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2024年度收、支总计1318.96万元，比上年1327.94万元减少8.98万元，下降0.68%。</w:t>
      </w:r>
    </w:p>
    <w:p w14:paraId="1EF81CB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（一）收入决算说明</w:t>
      </w:r>
    </w:p>
    <w:p w14:paraId="31C8002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2024年度本年收入合计1318.96万元，比上年1327.94万元减少8.98万元，下降0.68%。</w:t>
      </w:r>
    </w:p>
    <w:p w14:paraId="2A2AE21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财政拨款收入1264.55万元，占收入合计的95.87%。其中：一般公共预算财政拨款收入1264.55万元，占收入合计的95.87%；政府性基金预算财政拨款收入0万元，占收入合计的0%；国有资本经营预算财政拨款收入0万元，占收入合计的0%；</w:t>
      </w:r>
    </w:p>
    <w:p w14:paraId="5450EBB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2.上级补助收入0万元，占收入合计的0%；</w:t>
      </w:r>
    </w:p>
    <w:p w14:paraId="68E8FED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3.事业收入54.41万元，占收入合计的4.13%；</w:t>
      </w:r>
    </w:p>
    <w:p w14:paraId="63F7C77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4.经营收入0万元，占收入合计的0%；</w:t>
      </w:r>
    </w:p>
    <w:p w14:paraId="1ECA2B9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5.附属单位上缴收入0万元，占收入合计的0%；</w:t>
      </w:r>
    </w:p>
    <w:p w14:paraId="423A851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6.其他收入0万元，占收入合计的0%。</w:t>
      </w:r>
    </w:p>
    <w:p w14:paraId="748D2B74">
      <w:pPr>
        <w:pStyle w:val="2"/>
        <w:jc w:val="center"/>
      </w:pPr>
      <w:r>
        <w:rPr>
          <w:rFonts w:hint="eastAsia" w:ascii="仿宋_GB2312" w:eastAsia="仿宋_GB2312"/>
          <w:color w:val="000000"/>
          <w:sz w:val="32"/>
        </w:rPr>
        <w:t>图1：收入决算</w:t>
      </w:r>
    </w:p>
    <w:p w14:paraId="0CBA61C8">
      <w:pPr>
        <w:pStyle w:val="3"/>
        <w:ind w:firstLine="420"/>
        <w:jc w:val="center"/>
      </w:pPr>
      <w:r>
        <w:drawing>
          <wp:inline distT="0" distB="0" distL="0" distR="0">
            <wp:extent cx="4036695" cy="2328545"/>
            <wp:effectExtent l="4445" t="4445" r="10160" b="1651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669C572">
      <w:pPr>
        <w:tabs>
          <w:tab w:val="center" w:pos="6979"/>
        </w:tabs>
        <w:spacing w:line="580" w:lineRule="exact"/>
        <w:ind w:firstLine="570"/>
        <w:rPr>
          <w:rFonts w:ascii="仿宋_GB2312" w:eastAsia="仿宋_GB2312"/>
          <w:sz w:val="28"/>
          <w:szCs w:val="28"/>
        </w:rPr>
      </w:pPr>
    </w:p>
    <w:p w14:paraId="40E8749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5CA38C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1318.96万元，比上年1327.94万元减少8.98万元，下降0.68%。其中：基本支出1148.83万元，占支出合计的87.1%；项目支出170.13万元，占支出合计的12.9%;上缴上级支出0万元，占支出合计的0%；经营支出0万元，占支出合计的0%；对附属单位补助支出0万元，占支出合计的0%。</w:t>
      </w:r>
    </w:p>
    <w:p w14:paraId="6DA84069">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BB8CA68">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1FC3238">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52494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支总计1264.55万元，比上年1234万元增加30.55万元，增长2.48%。主要原因：基本支出减少25.27万元，主要是人员减少。项目支出增加额55.82的万元，其中：设备类项目增加3个，增加了4.94万元，社区教育项目增加10.05万元，学费上缴项目由原其他项目变成预算内项目，增加40.84万元。</w:t>
      </w:r>
    </w:p>
    <w:p w14:paraId="53C1DCB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19339E6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（一）一般公共预算财政拨款支出决算总体情况</w:t>
      </w:r>
    </w:p>
    <w:p w14:paraId="76D34F07">
      <w:pPr>
        <w:rPr>
          <w:rFonts w:ascii="仿宋_GB2312" w:eastAsia="仿宋_GB2312"/>
          <w:sz w:val="28"/>
          <w:szCs w:val="28"/>
        </w:rPr>
      </w:pPr>
      <w:r>
        <w:rPr>
          <w:rFonts w:hint="eastAsia" w:ascii="仿宋_GB2312" w:eastAsia="仿宋_GB2312"/>
          <w:sz w:val="28"/>
          <w:szCs w:val="28"/>
        </w:rPr>
        <w:t>2024年度一般公共预算财政拨款支出1264.55万元，主要用于以下方面（按大类）：教育支出836.37万元，占本年财政拨款支出66.14 %；社会保障和就业支出193.91万元，占本年财政拨款支出15.33%；卫生健康支出73.42万元，占本年财政拨款支出5.81%；住房保障支出160.85万元，占本年财政拨款支出12.72 %；</w:t>
      </w:r>
    </w:p>
    <w:p w14:paraId="397D87BB">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14:paraId="20121C2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hAnsi="Times New Roman" w:eastAsia="仿宋_GB2312" w:cs="Times New Roman"/>
          <w:kern w:val="2"/>
          <w:sz w:val="28"/>
          <w:szCs w:val="28"/>
          <w:highlight w:val="none"/>
          <w:lang w:val="en-US" w:eastAsia="zh-CN" w:bidi="ar"/>
        </w:rPr>
      </w:pPr>
      <w:r>
        <w:rPr>
          <w:rFonts w:hint="eastAsia" w:ascii="仿宋_GB2312" w:eastAsia="仿宋_GB2312"/>
          <w:sz w:val="28"/>
          <w:szCs w:val="28"/>
          <w:highlight w:val="none"/>
        </w:rPr>
        <w:t>1．“教育支出”(款)： 2024年度年初预算</w:t>
      </w:r>
      <w:r>
        <w:rPr>
          <w:rFonts w:ascii="仿宋_GB2312" w:eastAsia="仿宋_GB2312"/>
          <w:sz w:val="28"/>
          <w:szCs w:val="28"/>
          <w:highlight w:val="none"/>
        </w:rPr>
        <w:t>844</w:t>
      </w:r>
      <w:r>
        <w:rPr>
          <w:rFonts w:hint="eastAsia" w:ascii="仿宋_GB2312" w:eastAsia="仿宋_GB2312"/>
          <w:sz w:val="28"/>
          <w:szCs w:val="28"/>
          <w:highlight w:val="none"/>
        </w:rPr>
        <w:t>.</w:t>
      </w:r>
      <w:r>
        <w:rPr>
          <w:rFonts w:ascii="仿宋_GB2312" w:eastAsia="仿宋_GB2312"/>
          <w:sz w:val="28"/>
          <w:szCs w:val="28"/>
          <w:highlight w:val="none"/>
        </w:rPr>
        <w:t>63</w:t>
      </w:r>
      <w:r>
        <w:rPr>
          <w:rFonts w:hint="eastAsia" w:ascii="仿宋_GB2312" w:eastAsia="仿宋_GB2312"/>
          <w:sz w:val="28"/>
          <w:szCs w:val="28"/>
          <w:highlight w:val="none"/>
        </w:rPr>
        <w:t>万元，2024年度决算836.37万元，完成年初预算的</w:t>
      </w:r>
      <w:r>
        <w:rPr>
          <w:rFonts w:ascii="仿宋_GB2312" w:eastAsia="仿宋_GB2312"/>
          <w:sz w:val="28"/>
          <w:szCs w:val="28"/>
          <w:highlight w:val="none"/>
        </w:rPr>
        <w:t>99</w:t>
      </w:r>
      <w:r>
        <w:rPr>
          <w:rFonts w:hint="eastAsia" w:ascii="仿宋_GB2312" w:eastAsia="仿宋_GB2312"/>
          <w:sz w:val="28"/>
          <w:szCs w:val="28"/>
          <w:highlight w:val="none"/>
        </w:rPr>
        <w:t>.</w:t>
      </w:r>
      <w:r>
        <w:rPr>
          <w:rFonts w:ascii="仿宋_GB2312" w:eastAsia="仿宋_GB2312"/>
          <w:sz w:val="28"/>
          <w:szCs w:val="28"/>
          <w:highlight w:val="none"/>
        </w:rPr>
        <w:t>02</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其中：</w:t>
      </w:r>
      <w:r>
        <w:rPr>
          <w:rFonts w:hint="eastAsia" w:ascii="仿宋_GB2312" w:hAnsi="Times New Roman" w:eastAsia="仿宋_GB2312" w:cs="Times New Roman"/>
          <w:kern w:val="2"/>
          <w:sz w:val="28"/>
          <w:szCs w:val="28"/>
          <w:highlight w:val="none"/>
          <w:lang w:val="en-US" w:eastAsia="zh-CN" w:bidi="ar"/>
        </w:rPr>
        <w:t>其中：成人教育支出834.4万元，培训支出1.97万元。</w:t>
      </w:r>
      <w:r>
        <w:rPr>
          <w:rFonts w:hint="eastAsia" w:ascii="仿宋_GB2312" w:eastAsia="仿宋_GB2312"/>
          <w:sz w:val="28"/>
          <w:szCs w:val="28"/>
          <w:highlight w:val="none"/>
          <w:lang w:val="en-US" w:eastAsia="zh-CN"/>
        </w:rPr>
        <w:t>主要原因：经费</w:t>
      </w:r>
      <w:bookmarkStart w:id="0" w:name="_GoBack"/>
      <w:bookmarkEnd w:id="0"/>
      <w:r>
        <w:rPr>
          <w:rFonts w:hint="eastAsia" w:ascii="仿宋_GB2312" w:eastAsia="仿宋_GB2312"/>
          <w:sz w:val="28"/>
          <w:szCs w:val="28"/>
          <w:highlight w:val="none"/>
          <w:lang w:val="en-US" w:eastAsia="zh-CN"/>
        </w:rPr>
        <w:t>全部用于教学支出，剩余部门财政收回。</w:t>
      </w:r>
    </w:p>
    <w:p w14:paraId="433EBAEF">
      <w:pPr>
        <w:keepNext w:val="0"/>
        <w:keepLines w:val="0"/>
        <w:pageBreakBefore w:val="0"/>
        <w:widowControl w:val="0"/>
        <w:kinsoku/>
        <w:wordWrap/>
        <w:overflowPunct/>
        <w:topLinePunct w:val="0"/>
        <w:autoSpaceDE/>
        <w:autoSpaceDN/>
        <w:bidi w:val="0"/>
        <w:adjustRightInd/>
        <w:snapToGrid/>
        <w:ind w:firstLine="560" w:firstLineChars="200"/>
        <w:textAlignment w:val="auto"/>
        <w:rPr>
          <w:szCs w:val="21"/>
          <w:highlight w:val="none"/>
        </w:rPr>
      </w:pPr>
      <w:r>
        <w:rPr>
          <w:rFonts w:hint="eastAsia" w:ascii="仿宋_GB2312" w:eastAsia="仿宋_GB2312"/>
          <w:sz w:val="28"/>
          <w:szCs w:val="28"/>
          <w:highlight w:val="none"/>
        </w:rPr>
        <w:t>2．“社会保障和就业支出”（款）：2024年度年初预算</w:t>
      </w:r>
      <w:r>
        <w:rPr>
          <w:rFonts w:ascii="仿宋_GB2312" w:eastAsia="仿宋_GB2312"/>
          <w:sz w:val="28"/>
          <w:szCs w:val="28"/>
          <w:highlight w:val="none"/>
        </w:rPr>
        <w:t>160</w:t>
      </w:r>
      <w:r>
        <w:rPr>
          <w:rFonts w:hint="eastAsia" w:ascii="仿宋_GB2312" w:eastAsia="仿宋_GB2312"/>
          <w:sz w:val="28"/>
          <w:szCs w:val="28"/>
          <w:highlight w:val="none"/>
        </w:rPr>
        <w:t>.</w:t>
      </w:r>
      <w:r>
        <w:rPr>
          <w:rFonts w:ascii="仿宋_GB2312" w:eastAsia="仿宋_GB2312"/>
          <w:sz w:val="28"/>
          <w:szCs w:val="28"/>
          <w:highlight w:val="none"/>
        </w:rPr>
        <w:t>45</w:t>
      </w:r>
      <w:r>
        <w:rPr>
          <w:rFonts w:hint="eastAsia" w:ascii="仿宋_GB2312" w:eastAsia="仿宋_GB2312"/>
          <w:sz w:val="28"/>
          <w:szCs w:val="28"/>
          <w:highlight w:val="none"/>
        </w:rPr>
        <w:t>万元，2024年度决算</w:t>
      </w:r>
      <w:r>
        <w:rPr>
          <w:rFonts w:ascii="仿宋_GB2312" w:eastAsia="仿宋_GB2312"/>
          <w:sz w:val="28"/>
          <w:szCs w:val="28"/>
          <w:highlight w:val="none"/>
        </w:rPr>
        <w:t>193</w:t>
      </w:r>
      <w:r>
        <w:rPr>
          <w:rFonts w:hint="eastAsia" w:ascii="仿宋_GB2312" w:eastAsia="仿宋_GB2312"/>
          <w:sz w:val="28"/>
          <w:szCs w:val="28"/>
          <w:highlight w:val="none"/>
        </w:rPr>
        <w:t>.</w:t>
      </w:r>
      <w:r>
        <w:rPr>
          <w:rFonts w:ascii="仿宋_GB2312" w:eastAsia="仿宋_GB2312"/>
          <w:sz w:val="28"/>
          <w:szCs w:val="28"/>
          <w:highlight w:val="none"/>
        </w:rPr>
        <w:t>91</w:t>
      </w:r>
      <w:r>
        <w:rPr>
          <w:rFonts w:hint="eastAsia" w:ascii="仿宋_GB2312" w:eastAsia="仿宋_GB2312"/>
          <w:sz w:val="28"/>
          <w:szCs w:val="28"/>
          <w:highlight w:val="none"/>
        </w:rPr>
        <w:t>万元，完成年初预算的</w:t>
      </w:r>
      <w:r>
        <w:rPr>
          <w:rFonts w:ascii="仿宋_GB2312" w:eastAsia="仿宋_GB2312"/>
          <w:sz w:val="28"/>
          <w:szCs w:val="28"/>
          <w:highlight w:val="none"/>
        </w:rPr>
        <w:t>120</w:t>
      </w:r>
      <w:r>
        <w:rPr>
          <w:rFonts w:hint="eastAsia" w:ascii="仿宋_GB2312" w:eastAsia="仿宋_GB2312"/>
          <w:sz w:val="28"/>
          <w:szCs w:val="28"/>
          <w:highlight w:val="none"/>
        </w:rPr>
        <w:t>.</w:t>
      </w:r>
      <w:r>
        <w:rPr>
          <w:rFonts w:ascii="仿宋_GB2312" w:eastAsia="仿宋_GB2312"/>
          <w:sz w:val="28"/>
          <w:szCs w:val="28"/>
          <w:highlight w:val="none"/>
        </w:rPr>
        <w:t>85</w:t>
      </w:r>
      <w:r>
        <w:rPr>
          <w:rFonts w:hint="eastAsia" w:ascii="仿宋_GB2312" w:eastAsia="仿宋_GB2312"/>
          <w:sz w:val="28"/>
          <w:szCs w:val="28"/>
          <w:highlight w:val="none"/>
        </w:rPr>
        <w:t>%。</w:t>
      </w:r>
      <w:r>
        <w:rPr>
          <w:rFonts w:hint="eastAsia" w:ascii="仿宋_GB2312" w:hAnsi="Times New Roman" w:eastAsia="仿宋_GB2312" w:cs="Times New Roman"/>
          <w:kern w:val="2"/>
          <w:sz w:val="28"/>
          <w:szCs w:val="28"/>
          <w:highlight w:val="none"/>
          <w:lang w:val="en-US" w:eastAsia="zh-CN" w:bidi="ar"/>
        </w:rPr>
        <w:t>其中：事业单位离退休支出22.5万元，机关事业单位基本养老保险费支出90.12万元 ，机关事业单位职业年金缴费支出44.99万元，抚恤金</w:t>
      </w:r>
      <w:r>
        <w:rPr>
          <w:rFonts w:hint="eastAsia" w:ascii="仿宋_GB2312" w:eastAsia="仿宋_GB2312" w:cs="Times New Roman"/>
          <w:kern w:val="2"/>
          <w:sz w:val="28"/>
          <w:szCs w:val="28"/>
          <w:highlight w:val="none"/>
          <w:lang w:val="en-US" w:eastAsia="zh-CN" w:bidi="ar"/>
        </w:rPr>
        <w:t>支出</w:t>
      </w:r>
      <w:r>
        <w:rPr>
          <w:rFonts w:hint="eastAsia" w:ascii="仿宋_GB2312" w:hAnsi="Times New Roman" w:eastAsia="仿宋_GB2312" w:cs="Times New Roman"/>
          <w:kern w:val="2"/>
          <w:sz w:val="28"/>
          <w:szCs w:val="28"/>
          <w:highlight w:val="none"/>
          <w:lang w:val="en-US" w:eastAsia="zh-CN" w:bidi="ar"/>
        </w:rPr>
        <w:t>36.3万元。</w:t>
      </w:r>
      <w:r>
        <w:rPr>
          <w:rFonts w:hint="eastAsia" w:ascii="仿宋_GB2312" w:eastAsia="仿宋_GB2312"/>
          <w:sz w:val="28"/>
          <w:szCs w:val="28"/>
          <w:highlight w:val="none"/>
          <w:lang w:val="en-US" w:eastAsia="zh-CN"/>
        </w:rPr>
        <w:t>主要原因：超出年初预算是追加了抚恤金经费。</w:t>
      </w:r>
    </w:p>
    <w:p w14:paraId="1A58B05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仿宋_GB2312"/>
          <w:szCs w:val="21"/>
          <w:highlight w:val="none"/>
          <w:lang w:eastAsia="zh-CN"/>
        </w:rPr>
      </w:pPr>
      <w:r>
        <w:rPr>
          <w:rFonts w:hint="eastAsia" w:ascii="仿宋_GB2312" w:eastAsia="仿宋_GB2312"/>
          <w:sz w:val="28"/>
          <w:szCs w:val="28"/>
          <w:highlight w:val="none"/>
        </w:rPr>
        <w:t>3．“卫生健康支出”（款）：2024年度年初预算</w:t>
      </w:r>
      <w:r>
        <w:rPr>
          <w:rFonts w:ascii="仿宋_GB2312" w:eastAsia="仿宋_GB2312"/>
          <w:sz w:val="28"/>
          <w:szCs w:val="28"/>
          <w:highlight w:val="none"/>
        </w:rPr>
        <w:t>73</w:t>
      </w:r>
      <w:r>
        <w:rPr>
          <w:rFonts w:hint="eastAsia" w:ascii="仿宋_GB2312" w:eastAsia="仿宋_GB2312"/>
          <w:sz w:val="28"/>
          <w:szCs w:val="28"/>
          <w:highlight w:val="none"/>
        </w:rPr>
        <w:t>.</w:t>
      </w:r>
      <w:r>
        <w:rPr>
          <w:rFonts w:ascii="仿宋_GB2312" w:eastAsia="仿宋_GB2312"/>
          <w:sz w:val="28"/>
          <w:szCs w:val="28"/>
          <w:highlight w:val="none"/>
        </w:rPr>
        <w:t>79</w:t>
      </w:r>
      <w:r>
        <w:rPr>
          <w:rFonts w:hint="eastAsia" w:ascii="仿宋_GB2312" w:eastAsia="仿宋_GB2312"/>
          <w:sz w:val="28"/>
          <w:szCs w:val="28"/>
          <w:highlight w:val="none"/>
        </w:rPr>
        <w:t>万元，2024年度决算</w:t>
      </w:r>
      <w:r>
        <w:rPr>
          <w:rFonts w:ascii="仿宋_GB2312" w:eastAsia="仿宋_GB2312"/>
          <w:sz w:val="28"/>
          <w:szCs w:val="28"/>
          <w:highlight w:val="none"/>
        </w:rPr>
        <w:t>73</w:t>
      </w:r>
      <w:r>
        <w:rPr>
          <w:rFonts w:hint="eastAsia" w:ascii="仿宋_GB2312" w:eastAsia="仿宋_GB2312"/>
          <w:sz w:val="28"/>
          <w:szCs w:val="28"/>
          <w:highlight w:val="none"/>
        </w:rPr>
        <w:t>.</w:t>
      </w:r>
      <w:r>
        <w:rPr>
          <w:rFonts w:ascii="仿宋_GB2312" w:eastAsia="仿宋_GB2312"/>
          <w:sz w:val="28"/>
          <w:szCs w:val="28"/>
          <w:highlight w:val="none"/>
        </w:rPr>
        <w:t>42</w:t>
      </w:r>
      <w:r>
        <w:rPr>
          <w:rFonts w:hint="eastAsia" w:ascii="仿宋_GB2312" w:eastAsia="仿宋_GB2312"/>
          <w:sz w:val="28"/>
          <w:szCs w:val="28"/>
          <w:highlight w:val="none"/>
        </w:rPr>
        <w:t>万元，完成年初预算的9</w:t>
      </w:r>
      <w:r>
        <w:rPr>
          <w:rFonts w:ascii="仿宋_GB2312" w:eastAsia="仿宋_GB2312"/>
          <w:sz w:val="28"/>
          <w:szCs w:val="28"/>
          <w:highlight w:val="none"/>
        </w:rPr>
        <w:t>9</w:t>
      </w:r>
      <w:r>
        <w:rPr>
          <w:rFonts w:hint="eastAsia" w:ascii="仿宋_GB2312" w:eastAsia="仿宋_GB2312"/>
          <w:sz w:val="28"/>
          <w:szCs w:val="28"/>
          <w:highlight w:val="none"/>
        </w:rPr>
        <w:t>.</w:t>
      </w:r>
      <w:r>
        <w:rPr>
          <w:rFonts w:ascii="仿宋_GB2312" w:eastAsia="仿宋_GB2312"/>
          <w:sz w:val="28"/>
          <w:szCs w:val="28"/>
          <w:highlight w:val="none"/>
        </w:rPr>
        <w:t>49</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hAnsi="Times New Roman" w:eastAsia="仿宋_GB2312" w:cs="Times New Roman"/>
          <w:kern w:val="2"/>
          <w:sz w:val="28"/>
          <w:szCs w:val="28"/>
          <w:highlight w:val="none"/>
          <w:lang w:val="en-US" w:eastAsia="zh-CN" w:bidi="ar"/>
        </w:rPr>
        <w:t>其中行政事业单位医疗</w:t>
      </w:r>
      <w:r>
        <w:rPr>
          <w:rFonts w:hint="eastAsia" w:ascii="仿宋_GB2312" w:eastAsia="仿宋_GB2312" w:cs="Times New Roman"/>
          <w:kern w:val="2"/>
          <w:sz w:val="28"/>
          <w:szCs w:val="28"/>
          <w:highlight w:val="none"/>
          <w:lang w:val="en-US" w:eastAsia="zh-CN" w:bidi="ar"/>
        </w:rPr>
        <w:t>支出</w:t>
      </w:r>
      <w:r>
        <w:rPr>
          <w:rFonts w:hint="eastAsia" w:ascii="仿宋_GB2312" w:hAnsi="Times New Roman" w:eastAsia="仿宋_GB2312" w:cs="Times New Roman"/>
          <w:kern w:val="2"/>
          <w:sz w:val="28"/>
          <w:szCs w:val="28"/>
          <w:highlight w:val="none"/>
          <w:lang w:val="en-US" w:eastAsia="zh-CN" w:bidi="ar"/>
        </w:rPr>
        <w:t>73.42万元。</w:t>
      </w:r>
      <w:r>
        <w:rPr>
          <w:rFonts w:hint="eastAsia" w:ascii="仿宋_GB2312" w:eastAsia="仿宋_GB2312"/>
          <w:sz w:val="28"/>
          <w:szCs w:val="28"/>
          <w:highlight w:val="none"/>
          <w:lang w:val="en-US" w:eastAsia="zh-CN"/>
        </w:rPr>
        <w:t>主要原因：医疗保险经费结略有结余，结余由财政收回。</w:t>
      </w:r>
    </w:p>
    <w:p w14:paraId="1C240552">
      <w:pPr>
        <w:keepNext w:val="0"/>
        <w:keepLines w:val="0"/>
        <w:pageBreakBefore w:val="0"/>
        <w:widowControl w:val="0"/>
        <w:kinsoku/>
        <w:wordWrap/>
        <w:overflowPunct/>
        <w:topLinePunct w:val="0"/>
        <w:autoSpaceDE/>
        <w:autoSpaceDN/>
        <w:bidi w:val="0"/>
        <w:adjustRightInd/>
        <w:snapToGrid/>
        <w:ind w:firstLine="560" w:firstLineChars="200"/>
        <w:textAlignment w:val="auto"/>
        <w:rPr>
          <w:szCs w:val="21"/>
          <w:highlight w:val="none"/>
        </w:rPr>
      </w:pPr>
      <w:r>
        <w:rPr>
          <w:rFonts w:hint="eastAsia" w:ascii="仿宋_GB2312" w:eastAsia="仿宋_GB2312"/>
          <w:sz w:val="28"/>
          <w:szCs w:val="28"/>
          <w:highlight w:val="none"/>
        </w:rPr>
        <w:t>4．“住房保障支出”（款）：2024年度年初预算</w:t>
      </w:r>
      <w:r>
        <w:rPr>
          <w:rFonts w:ascii="仿宋_GB2312" w:eastAsia="仿宋_GB2312"/>
          <w:sz w:val="28"/>
          <w:szCs w:val="28"/>
          <w:highlight w:val="none"/>
        </w:rPr>
        <w:t>155</w:t>
      </w:r>
      <w:r>
        <w:rPr>
          <w:rFonts w:hint="eastAsia" w:ascii="仿宋_GB2312" w:eastAsia="仿宋_GB2312"/>
          <w:sz w:val="28"/>
          <w:szCs w:val="28"/>
          <w:highlight w:val="none"/>
        </w:rPr>
        <w:t>.</w:t>
      </w:r>
      <w:r>
        <w:rPr>
          <w:rFonts w:ascii="仿宋_GB2312" w:eastAsia="仿宋_GB2312"/>
          <w:sz w:val="28"/>
          <w:szCs w:val="28"/>
          <w:highlight w:val="none"/>
        </w:rPr>
        <w:t>34</w:t>
      </w:r>
      <w:r>
        <w:rPr>
          <w:rFonts w:hint="eastAsia" w:ascii="仿宋_GB2312" w:eastAsia="仿宋_GB2312"/>
          <w:sz w:val="28"/>
          <w:szCs w:val="28"/>
          <w:highlight w:val="none"/>
        </w:rPr>
        <w:t>万元，2024年度决算1</w:t>
      </w:r>
      <w:r>
        <w:rPr>
          <w:rFonts w:ascii="仿宋_GB2312" w:eastAsia="仿宋_GB2312"/>
          <w:sz w:val="28"/>
          <w:szCs w:val="28"/>
          <w:highlight w:val="none"/>
        </w:rPr>
        <w:t>60</w:t>
      </w:r>
      <w:r>
        <w:rPr>
          <w:rFonts w:hint="eastAsia" w:ascii="仿宋_GB2312" w:eastAsia="仿宋_GB2312"/>
          <w:sz w:val="28"/>
          <w:szCs w:val="28"/>
          <w:highlight w:val="none"/>
        </w:rPr>
        <w:t>.</w:t>
      </w:r>
      <w:r>
        <w:rPr>
          <w:rFonts w:ascii="仿宋_GB2312" w:eastAsia="仿宋_GB2312"/>
          <w:sz w:val="28"/>
          <w:szCs w:val="28"/>
          <w:highlight w:val="none"/>
        </w:rPr>
        <w:t>85</w:t>
      </w:r>
      <w:r>
        <w:rPr>
          <w:rFonts w:hint="eastAsia" w:ascii="仿宋_GB2312" w:eastAsia="仿宋_GB2312"/>
          <w:sz w:val="28"/>
          <w:szCs w:val="28"/>
          <w:highlight w:val="none"/>
        </w:rPr>
        <w:t>万元，完成年初预算的1</w:t>
      </w:r>
      <w:r>
        <w:rPr>
          <w:rFonts w:ascii="仿宋_GB2312" w:eastAsia="仿宋_GB2312"/>
          <w:sz w:val="28"/>
          <w:szCs w:val="28"/>
          <w:highlight w:val="none"/>
        </w:rPr>
        <w:t>03</w:t>
      </w:r>
      <w:r>
        <w:rPr>
          <w:rFonts w:hint="eastAsia" w:ascii="仿宋_GB2312" w:eastAsia="仿宋_GB2312"/>
          <w:sz w:val="28"/>
          <w:szCs w:val="28"/>
          <w:highlight w:val="none"/>
        </w:rPr>
        <w:t>.</w:t>
      </w:r>
      <w:r>
        <w:rPr>
          <w:rFonts w:ascii="仿宋_GB2312" w:eastAsia="仿宋_GB2312"/>
          <w:sz w:val="28"/>
          <w:szCs w:val="28"/>
          <w:highlight w:val="none"/>
        </w:rPr>
        <w:t>54</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hAnsi="Times New Roman" w:eastAsia="仿宋_GB2312" w:cs="Times New Roman"/>
          <w:kern w:val="2"/>
          <w:sz w:val="28"/>
          <w:szCs w:val="28"/>
          <w:highlight w:val="none"/>
          <w:lang w:val="en-US" w:eastAsia="zh-CN" w:bidi="ar"/>
        </w:rPr>
        <w:t>其中：住房公积金</w:t>
      </w:r>
      <w:r>
        <w:rPr>
          <w:rFonts w:hint="eastAsia" w:ascii="仿宋_GB2312" w:eastAsia="仿宋_GB2312" w:cs="Times New Roman"/>
          <w:kern w:val="2"/>
          <w:sz w:val="28"/>
          <w:szCs w:val="28"/>
          <w:highlight w:val="none"/>
          <w:lang w:val="en-US" w:eastAsia="zh-CN" w:bidi="ar"/>
        </w:rPr>
        <w:t>支出</w:t>
      </w:r>
      <w:r>
        <w:rPr>
          <w:rFonts w:hint="eastAsia" w:ascii="仿宋_GB2312" w:hAnsi="Times New Roman" w:eastAsia="仿宋_GB2312" w:cs="Times New Roman"/>
          <w:kern w:val="2"/>
          <w:sz w:val="28"/>
          <w:szCs w:val="28"/>
          <w:highlight w:val="none"/>
          <w:lang w:val="en-US" w:eastAsia="zh-CN" w:bidi="ar"/>
        </w:rPr>
        <w:t>73.76万元，提租4.38万元，购房补贴</w:t>
      </w:r>
      <w:r>
        <w:rPr>
          <w:rFonts w:hint="eastAsia" w:ascii="仿宋_GB2312" w:eastAsia="仿宋_GB2312" w:cs="Times New Roman"/>
          <w:kern w:val="2"/>
          <w:sz w:val="28"/>
          <w:szCs w:val="28"/>
          <w:highlight w:val="none"/>
          <w:lang w:val="en-US" w:eastAsia="zh-CN" w:bidi="ar"/>
        </w:rPr>
        <w:t>支出</w:t>
      </w:r>
      <w:r>
        <w:rPr>
          <w:rFonts w:hint="eastAsia" w:ascii="仿宋_GB2312" w:hAnsi="Times New Roman" w:eastAsia="仿宋_GB2312" w:cs="Times New Roman"/>
          <w:kern w:val="2"/>
          <w:sz w:val="28"/>
          <w:szCs w:val="28"/>
          <w:highlight w:val="none"/>
          <w:lang w:val="en-US" w:eastAsia="zh-CN" w:bidi="ar"/>
        </w:rPr>
        <w:t>82.71万元。</w:t>
      </w:r>
      <w:r>
        <w:rPr>
          <w:rFonts w:hint="eastAsia" w:ascii="仿宋_GB2312" w:eastAsia="仿宋_GB2312"/>
          <w:sz w:val="28"/>
          <w:szCs w:val="28"/>
          <w:highlight w:val="none"/>
          <w:lang w:val="en-US" w:eastAsia="zh-CN"/>
        </w:rPr>
        <w:t>主要原因：追加了购房补贴经费。</w:t>
      </w:r>
    </w:p>
    <w:p w14:paraId="300413A7">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2F84841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2B78105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本单位不涉及政府性基金。</w:t>
      </w:r>
    </w:p>
    <w:p w14:paraId="5DD8616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561C0E0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本单位不涉及政府性基金。</w:t>
      </w:r>
    </w:p>
    <w:p w14:paraId="2B4A31AB">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8F2220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本单位是事业单位，不涉及国有资本经营。</w:t>
      </w:r>
    </w:p>
    <w:p w14:paraId="5C992076">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5EF06CE8">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1148.83万元，使用政府性基金财政拨款安排基本支出0万元，（1）工资福利支出984.23万元，包括基本工资、津贴补贴、奖金、伙食补助费、绩效工资、其他社会保障缴费、其他工资福利等支出；（2）商品和服务支出103.98万元，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59.06万元，包括离休费、退休费、抚恤金、生活补助、救济费、医疗费补助、助学金、奖励金、其他对个人和家庭的补助等支出。（4）其他资本性支出1.56万元，包括办公设备购置、专用设备购置等。</w:t>
      </w:r>
    </w:p>
    <w:p w14:paraId="4A67C1F8">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048040BA">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01F100BD">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4523F9F1">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0.4</w:t>
      </w:r>
      <w:r>
        <w:rPr>
          <w:rFonts w:hint="eastAsia" w:ascii="仿宋_GB2312" w:eastAsia="仿宋_GB2312"/>
          <w:sz w:val="28"/>
          <w:szCs w:val="28"/>
        </w:rPr>
        <w:t>万元，比2024年度“三公”经费财政拨款年初预算</w:t>
      </w:r>
      <w:r>
        <w:rPr>
          <w:rFonts w:ascii="仿宋_GB2312" w:eastAsia="仿宋_GB2312"/>
          <w:sz w:val="28"/>
          <w:szCs w:val="28"/>
        </w:rPr>
        <w:t>2.7</w:t>
      </w:r>
      <w:r>
        <w:rPr>
          <w:rFonts w:hint="eastAsia" w:ascii="仿宋_GB2312" w:eastAsia="仿宋_GB2312"/>
          <w:sz w:val="28"/>
          <w:szCs w:val="28"/>
        </w:rPr>
        <w:t>万元减少</w:t>
      </w:r>
      <w:r>
        <w:rPr>
          <w:rFonts w:ascii="仿宋_GB2312" w:eastAsia="仿宋_GB2312"/>
          <w:sz w:val="28"/>
          <w:szCs w:val="28"/>
        </w:rPr>
        <w:t>2.3</w:t>
      </w:r>
      <w:r>
        <w:rPr>
          <w:rFonts w:hint="eastAsia" w:ascii="仿宋_GB2312" w:eastAsia="仿宋_GB2312"/>
          <w:sz w:val="28"/>
          <w:szCs w:val="28"/>
        </w:rPr>
        <w:t>万元。其中：</w:t>
      </w:r>
    </w:p>
    <w:p w14:paraId="25E2BC63">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1.因公出国（境）费用。本单位无此项经费。</w:t>
      </w:r>
    </w:p>
    <w:p w14:paraId="0178CFED">
      <w:pPr>
        <w:spacing w:line="560" w:lineRule="exact"/>
        <w:ind w:firstLine="600"/>
        <w:rPr>
          <w:rFonts w:ascii="仿宋_GB2312" w:eastAsia="仿宋_GB2312"/>
          <w:sz w:val="28"/>
          <w:szCs w:val="28"/>
        </w:rPr>
      </w:pPr>
      <w:r>
        <w:rPr>
          <w:rFonts w:hint="eastAsia" w:ascii="仿宋_GB2312" w:eastAsia="仿宋_GB2312"/>
          <w:sz w:val="28"/>
          <w:szCs w:val="28"/>
        </w:rPr>
        <w:t>2.公务接待费。本单位无此项经费。</w:t>
      </w:r>
    </w:p>
    <w:p w14:paraId="18EFFE38">
      <w:pPr>
        <w:spacing w:line="560" w:lineRule="exact"/>
        <w:ind w:firstLine="600"/>
        <w:rPr>
          <w:rFonts w:hint="default" w:ascii="仿宋_GB2312" w:hAnsi="Times New Roman" w:eastAsia="仿宋_GB2312" w:cs="Times New Roman"/>
          <w:kern w:val="2"/>
          <w:sz w:val="28"/>
          <w:szCs w:val="28"/>
          <w:highlight w:val="green"/>
          <w:lang w:val="en-US" w:eastAsia="zh-CN" w:bidi="ar"/>
        </w:rPr>
      </w:pPr>
      <w:r>
        <w:rPr>
          <w:rFonts w:hint="eastAsia" w:ascii="仿宋_GB2312" w:eastAsia="仿宋_GB2312"/>
          <w:sz w:val="28"/>
          <w:szCs w:val="28"/>
          <w:highlight w:val="green"/>
        </w:rPr>
        <w:t>3.公务用车购置及运行维护费。</w:t>
      </w:r>
      <w:r>
        <w:rPr>
          <w:rFonts w:hint="eastAsia" w:ascii="仿宋_GB2312" w:hAnsi="Times New Roman" w:eastAsia="仿宋_GB2312" w:cs="Times New Roman"/>
          <w:kern w:val="2"/>
          <w:sz w:val="28"/>
          <w:szCs w:val="28"/>
          <w:highlight w:val="green"/>
          <w:lang w:val="en-US" w:eastAsia="zh-CN" w:bidi="ar"/>
        </w:rPr>
        <w:t>2024年度决算数0.4万元，比2024年度年初预算数2.7万元减少2.3万元。其中，公务用车购置费2024年度决算数0万元，</w:t>
      </w:r>
      <w:r>
        <w:rPr>
          <w:rFonts w:hint="eastAsia" w:ascii="仿宋_GB2312" w:eastAsia="仿宋_GB2312" w:cs="Times New Roman"/>
          <w:kern w:val="2"/>
          <w:sz w:val="28"/>
          <w:szCs w:val="28"/>
          <w:highlight w:val="green"/>
          <w:lang w:val="en-US" w:eastAsia="zh-CN" w:bidi="ar"/>
        </w:rPr>
        <w:t>主要原因：</w:t>
      </w:r>
      <w:r>
        <w:rPr>
          <w:rFonts w:hint="eastAsia" w:ascii="仿宋_GB2312" w:hAnsi="Times New Roman" w:eastAsia="仿宋_GB2312" w:cs="Times New Roman"/>
          <w:kern w:val="2"/>
          <w:sz w:val="28"/>
          <w:szCs w:val="28"/>
          <w:highlight w:val="green"/>
          <w:lang w:val="en-US" w:eastAsia="zh-CN" w:bidi="ar"/>
        </w:rPr>
        <w:t>2024年度购置（更新）0辆。公务用车运行维费2024年度决算数</w:t>
      </w:r>
      <w:r>
        <w:rPr>
          <w:rFonts w:hint="eastAsia" w:ascii="仿宋_GB2312" w:eastAsia="仿宋_GB2312" w:cs="Times New Roman"/>
          <w:kern w:val="2"/>
          <w:sz w:val="28"/>
          <w:szCs w:val="28"/>
          <w:highlight w:val="green"/>
          <w:lang w:val="en-US" w:eastAsia="zh-CN" w:bidi="ar"/>
        </w:rPr>
        <w:t>0.4</w:t>
      </w:r>
      <w:r>
        <w:rPr>
          <w:rFonts w:hint="eastAsia" w:ascii="仿宋_GB2312" w:hAnsi="Times New Roman" w:eastAsia="仿宋_GB2312" w:cs="Times New Roman"/>
          <w:kern w:val="2"/>
          <w:sz w:val="28"/>
          <w:szCs w:val="28"/>
          <w:highlight w:val="green"/>
          <w:lang w:val="en-US" w:eastAsia="zh-CN" w:bidi="ar"/>
        </w:rPr>
        <w:t>万元，主要原因:本单位公车较新，维修保养费和保险费都很低。2024年度公务用车保有量</w:t>
      </w:r>
      <w:r>
        <w:rPr>
          <w:rFonts w:hint="eastAsia" w:ascii="仿宋_GB2312" w:eastAsia="仿宋_GB2312" w:cs="Times New Roman"/>
          <w:kern w:val="2"/>
          <w:sz w:val="28"/>
          <w:szCs w:val="28"/>
          <w:highlight w:val="green"/>
          <w:lang w:val="en-US" w:eastAsia="zh-CN" w:bidi="ar"/>
        </w:rPr>
        <w:t>1辆。</w:t>
      </w:r>
    </w:p>
    <w:p w14:paraId="1397A41C">
      <w:pPr>
        <w:spacing w:line="560" w:lineRule="exact"/>
        <w:ind w:firstLine="600"/>
        <w:rPr>
          <w:rFonts w:hint="default" w:ascii="仿宋_GB2312" w:hAnsi="Times New Roman" w:eastAsia="仿宋_GB2312" w:cs="Times New Roman"/>
          <w:kern w:val="2"/>
          <w:sz w:val="28"/>
          <w:szCs w:val="28"/>
          <w:highlight w:val="green"/>
          <w:lang w:val="en-US" w:eastAsia="zh-CN" w:bidi="ar"/>
        </w:rPr>
      </w:pPr>
    </w:p>
    <w:p w14:paraId="2B4894A0">
      <w:pPr>
        <w:spacing w:line="560" w:lineRule="exact"/>
        <w:ind w:firstLine="600"/>
        <w:rPr>
          <w:rFonts w:hint="eastAsia" w:ascii="仿宋_GB2312" w:hAnsi="Times New Roman" w:eastAsia="仿宋_GB2312" w:cs="Times New Roman"/>
          <w:kern w:val="2"/>
          <w:sz w:val="28"/>
          <w:szCs w:val="28"/>
          <w:lang w:val="en-US" w:eastAsia="zh-CN" w:bidi="ar"/>
        </w:rPr>
      </w:pPr>
      <w:r>
        <w:rPr>
          <w:rFonts w:hint="eastAsia" w:ascii="仿宋_GB2312" w:hAnsi="Times New Roman" w:eastAsia="仿宋_GB2312" w:cs="Times New Roman"/>
          <w:kern w:val="2"/>
          <w:sz w:val="28"/>
          <w:szCs w:val="28"/>
          <w:highlight w:val="none"/>
          <w:lang w:val="en-US" w:eastAsia="zh-CN" w:bidi="ar"/>
        </w:rPr>
        <w:t>比2024年度年初预算数0万元增加0万元。2024年度购置（更新）0辆。</w:t>
      </w:r>
      <w:r>
        <w:rPr>
          <w:rFonts w:hint="eastAsia" w:ascii="仿宋_GB2312" w:hAnsi="Times New Roman" w:eastAsia="仿宋_GB2312" w:cs="Times New Roman"/>
          <w:kern w:val="2"/>
          <w:sz w:val="28"/>
          <w:szCs w:val="28"/>
          <w:lang w:val="en-US" w:eastAsia="zh-CN" w:bidi="ar"/>
        </w:rPr>
        <w:t>公务用车运行维护费2024年度决算数0.4万元，比2024年度年初预算数2.7万元减少2.3万元，主要原因：本单位公车较新，维修保养费和保险费都很低。2024年度公务用车运行维护费中，公务用车维修0.14万元，公务用车保险0.19万元，公务用车其他支出0.07万元。2024年度公务用车保有量1辆。</w:t>
      </w:r>
    </w:p>
    <w:p w14:paraId="421A8A82">
      <w:pPr>
        <w:spacing w:line="560" w:lineRule="exact"/>
        <w:ind w:firstLine="600"/>
        <w:rPr>
          <w:rFonts w:hint="eastAsia" w:ascii="仿宋_GB2312" w:hAnsi="Times New Roman" w:eastAsia="仿宋_GB2312" w:cs="Times New Roman"/>
          <w:kern w:val="2"/>
          <w:sz w:val="28"/>
          <w:szCs w:val="28"/>
          <w:lang w:val="en-US" w:eastAsia="zh-CN" w:bidi="ar"/>
        </w:rPr>
      </w:pPr>
      <w:r>
        <w:rPr>
          <w:rFonts w:hint="eastAsia" w:ascii="仿宋_GB2312" w:hAnsi="Times New Roman" w:eastAsia="仿宋_GB2312" w:cs="Times New Roman"/>
          <w:kern w:val="2"/>
          <w:sz w:val="28"/>
          <w:szCs w:val="28"/>
          <w:lang w:val="en-US" w:eastAsia="zh-CN" w:bidi="ar"/>
        </w:rPr>
        <w:t>2024年度决算数XXX万元，比2024年度年初算数XXX万元增加(减少)XXX万元。其中，公务用车购置费2024年度决算XXX万元，主要原因:2024年度购置(更新)XX辆。公务用车运行维费2024年度决算数XXX万元，主要原因:……。2024年度公务用车保有量</w:t>
      </w:r>
    </w:p>
    <w:p w14:paraId="6079E544">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0863E80D">
      <w:pPr>
        <w:spacing w:line="560" w:lineRule="exact"/>
        <w:ind w:firstLine="600"/>
        <w:rPr>
          <w:rFonts w:ascii="仿宋_GB2312" w:eastAsia="仿宋_GB2312"/>
          <w:sz w:val="28"/>
          <w:szCs w:val="28"/>
        </w:rPr>
      </w:pPr>
      <w:r>
        <w:rPr>
          <w:rFonts w:hint="eastAsia" w:ascii="仿宋_GB2312" w:eastAsia="仿宋_GB2312"/>
          <w:sz w:val="28"/>
          <w:szCs w:val="28"/>
        </w:rPr>
        <w:t>我单位不在机关运行经费统计范围之内。</w:t>
      </w:r>
    </w:p>
    <w:p w14:paraId="499A2048">
      <w:pPr>
        <w:ind w:left="540"/>
        <w:rPr>
          <w:rFonts w:ascii="黑体" w:eastAsia="黑体"/>
          <w:sz w:val="28"/>
          <w:szCs w:val="28"/>
        </w:rPr>
      </w:pPr>
      <w:r>
        <w:rPr>
          <w:rFonts w:hint="eastAsia" w:ascii="黑体" w:eastAsia="黑体"/>
          <w:sz w:val="28"/>
          <w:szCs w:val="28"/>
        </w:rPr>
        <w:t>三、政府采购支出情况</w:t>
      </w:r>
    </w:p>
    <w:p w14:paraId="56083C8D">
      <w:pPr>
        <w:spacing w:line="560" w:lineRule="exact"/>
        <w:ind w:firstLine="600"/>
        <w:rPr>
          <w:rFonts w:ascii="仿宋_GB2312" w:eastAsia="仿宋_GB2312"/>
          <w:sz w:val="28"/>
          <w:szCs w:val="28"/>
        </w:rPr>
      </w:pPr>
      <w:r>
        <w:rPr>
          <w:rFonts w:hint="eastAsia" w:ascii="仿宋_GB2312" w:eastAsia="仿宋_GB2312"/>
          <w:sz w:val="28"/>
          <w:szCs w:val="28"/>
        </w:rPr>
        <w:t>2024年度政府采购支出总额16.87万元，其中：政府采购货物支出4.94万元，政府采购工程支出0万元，政府采购服务支出11.94万元。授予中小企业合同金额16.72万元，占政府采购支出总额的99.09%，其中：授予小微企业合同金额16.72万元，占政府采购支出总额的99.09%。</w:t>
      </w:r>
    </w:p>
    <w:p w14:paraId="355EC1C2">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7A996CAB">
      <w:pPr>
        <w:spacing w:line="560" w:lineRule="exact"/>
        <w:ind w:firstLine="600"/>
        <w:rPr>
          <w:rFonts w:ascii="仿宋_GB2312" w:eastAsia="仿宋_GB2312"/>
          <w:sz w:val="28"/>
          <w:szCs w:val="28"/>
        </w:rPr>
      </w:pPr>
      <w:r>
        <w:rPr>
          <w:rFonts w:hint="eastAsia" w:ascii="仿宋_GB2312" w:eastAsia="仿宋_GB2312"/>
          <w:sz w:val="28"/>
          <w:szCs w:val="28"/>
        </w:rPr>
        <w:t>截至12月31日，北京开放大学西城分校共有车辆1台；单位价值100万元（含）以上的设备0台（套）。</w:t>
      </w:r>
    </w:p>
    <w:p w14:paraId="5B3B0B48">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F470837">
      <w:pPr>
        <w:spacing w:line="560" w:lineRule="exact"/>
        <w:ind w:firstLine="600"/>
        <w:rPr>
          <w:rFonts w:ascii="仿宋_GB2312" w:eastAsia="仿宋_GB2312"/>
          <w:sz w:val="28"/>
          <w:szCs w:val="28"/>
        </w:rPr>
      </w:pPr>
      <w:r>
        <w:rPr>
          <w:rFonts w:hint="eastAsia" w:ascii="仿宋_GB2312" w:eastAsia="仿宋_GB2312"/>
          <w:sz w:val="28"/>
          <w:szCs w:val="28"/>
        </w:rPr>
        <w:t>本单位不涉及政府购买服务。</w:t>
      </w:r>
    </w:p>
    <w:p w14:paraId="264D7795">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D8DEB4A">
      <w:pPr>
        <w:spacing w:line="560" w:lineRule="exact"/>
        <w:ind w:firstLine="6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B9C332B">
      <w:pPr>
        <w:spacing w:line="560" w:lineRule="exact"/>
        <w:ind w:firstLine="6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AB314D3">
      <w:pPr>
        <w:spacing w:line="560" w:lineRule="exact"/>
        <w:ind w:firstLine="600"/>
        <w:rPr>
          <w:rFonts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DBB4A68">
      <w:pPr>
        <w:spacing w:line="560" w:lineRule="exact"/>
        <w:ind w:firstLine="600"/>
        <w:rPr>
          <w:rFonts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72C6AF1">
      <w:pPr>
        <w:spacing w:line="560" w:lineRule="exact"/>
        <w:ind w:firstLine="600"/>
        <w:rPr>
          <w:rFonts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47AFD89C">
      <w:pPr>
        <w:spacing w:line="560" w:lineRule="exact"/>
        <w:ind w:firstLine="600"/>
        <w:rPr>
          <w:rFonts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67317E9B">
      <w:pPr>
        <w:spacing w:line="560" w:lineRule="exact"/>
        <w:ind w:firstLine="600"/>
        <w:rPr>
          <w:rFonts w:ascii="仿宋_GB2312" w:eastAsia="仿宋_GB2312"/>
          <w:sz w:val="28"/>
          <w:szCs w:val="28"/>
        </w:rPr>
      </w:pPr>
      <w:r>
        <w:rPr>
          <w:rFonts w:hint="eastAsia" w:ascii="仿宋_GB2312" w:eastAsia="仿宋_GB2312"/>
          <w:sz w:val="28"/>
          <w:szCs w:val="28"/>
        </w:rPr>
        <w:t>7.一般公共服务支出（类）人大事务（款）行政运行（项）：反映行政单位（包括实行公务员管理的事业单位）的基本支出。</w:t>
      </w:r>
    </w:p>
    <w:p w14:paraId="3BEF5969">
      <w:pPr>
        <w:spacing w:line="560" w:lineRule="exact"/>
        <w:ind w:firstLine="600"/>
        <w:rPr>
          <w:rFonts w:ascii="仿宋_GB2312" w:eastAsia="仿宋_GB2312"/>
          <w:sz w:val="28"/>
          <w:szCs w:val="28"/>
        </w:rPr>
      </w:pPr>
      <w:r>
        <w:rPr>
          <w:rFonts w:hint="eastAsia" w:ascii="仿宋_GB2312" w:eastAsia="仿宋_GB2312"/>
          <w:sz w:val="28"/>
          <w:szCs w:val="28"/>
        </w:rPr>
        <w:t>（1）教育支出（类）成人教育（款）成人广播电视教育（项）：反映本部门举办成人广播电视教育的支出。</w:t>
      </w:r>
    </w:p>
    <w:p w14:paraId="418936AB">
      <w:pPr>
        <w:spacing w:line="560" w:lineRule="exact"/>
        <w:ind w:firstLine="600"/>
        <w:rPr>
          <w:rFonts w:ascii="仿宋_GB2312" w:eastAsia="仿宋_GB2312"/>
          <w:sz w:val="28"/>
          <w:szCs w:val="28"/>
        </w:rPr>
      </w:pPr>
      <w:r>
        <w:rPr>
          <w:rFonts w:hint="eastAsia" w:ascii="仿宋_GB2312" w:eastAsia="仿宋_GB2312"/>
          <w:sz w:val="28"/>
          <w:szCs w:val="28"/>
        </w:rPr>
        <w:t>（2）教育支出（类）进修及培训（款）培训支出（项）：反映本部门安排的用于培训的支出。</w:t>
      </w:r>
    </w:p>
    <w:p w14:paraId="1A388259">
      <w:pPr>
        <w:spacing w:line="560" w:lineRule="exact"/>
        <w:ind w:firstLine="600"/>
        <w:rPr>
          <w:rFonts w:ascii="仿宋_GB2312" w:eastAsia="仿宋_GB2312"/>
          <w:sz w:val="28"/>
          <w:szCs w:val="28"/>
        </w:rPr>
      </w:pPr>
      <w:r>
        <w:rPr>
          <w:rFonts w:hint="eastAsia" w:ascii="仿宋_GB2312" w:eastAsia="仿宋_GB2312"/>
          <w:sz w:val="28"/>
          <w:szCs w:val="28"/>
        </w:rPr>
        <w:t>（3）社会保障和就业支出（类）行政事业单位养老支出（款）机关事业单位基本养老保险缴费支出（项）：反映机关事业单位实施养老保险制度由单位缴纳的基本养老保险费支出。</w:t>
      </w:r>
    </w:p>
    <w:p w14:paraId="6670AFD4">
      <w:pPr>
        <w:spacing w:line="560" w:lineRule="exact"/>
        <w:ind w:firstLine="600"/>
        <w:rPr>
          <w:rFonts w:ascii="仿宋_GB2312" w:eastAsia="仿宋_GB2312"/>
          <w:sz w:val="28"/>
          <w:szCs w:val="28"/>
        </w:rPr>
      </w:pPr>
      <w:r>
        <w:rPr>
          <w:rFonts w:hint="eastAsia" w:ascii="仿宋_GB2312" w:eastAsia="仿宋_GB2312"/>
          <w:sz w:val="28"/>
          <w:szCs w:val="28"/>
        </w:rPr>
        <w:t>（4）社会保障和就业支出（类）行政事业单位养老支出（款）机关事业单位职业年金缴费支出（项）：反映机关事业单位实施养老保险制度由单位实际缴纳的职业年金支出。</w:t>
      </w:r>
    </w:p>
    <w:p w14:paraId="271A5318">
      <w:pPr>
        <w:spacing w:line="560" w:lineRule="exact"/>
        <w:ind w:firstLine="600"/>
        <w:rPr>
          <w:rFonts w:ascii="仿宋_GB2312" w:eastAsia="仿宋_GB2312"/>
          <w:sz w:val="28"/>
          <w:szCs w:val="28"/>
        </w:rPr>
      </w:pPr>
      <w:r>
        <w:rPr>
          <w:rFonts w:hint="eastAsia" w:ascii="仿宋_GB2312" w:eastAsia="仿宋_GB2312"/>
          <w:sz w:val="28"/>
          <w:szCs w:val="28"/>
        </w:rPr>
        <w:t>（5）社会保障和就业支出（类）抚恤（款）死亡抚恤（项）：反映按规定用于烈士和牺牲、病故人员家属的一次性和定期抚恤金、丧葬补助费以及烈士褒扬金。</w:t>
      </w:r>
    </w:p>
    <w:p w14:paraId="1FC6CDD6">
      <w:pPr>
        <w:spacing w:line="560" w:lineRule="exact"/>
        <w:ind w:firstLine="600"/>
        <w:rPr>
          <w:rFonts w:ascii="仿宋_GB2312" w:eastAsia="仿宋_GB2312"/>
          <w:sz w:val="28"/>
          <w:szCs w:val="28"/>
        </w:rPr>
      </w:pPr>
      <w:r>
        <w:rPr>
          <w:rFonts w:hint="eastAsia" w:ascii="仿宋_GB2312" w:eastAsia="仿宋_GB2312"/>
          <w:sz w:val="28"/>
          <w:szCs w:val="28"/>
        </w:rPr>
        <w:t>（6）卫生健康支出（类）行政事业单位医疗（款）事业单位医疗（项）：反映财政部门安排的事业单位基本医疗保险缴费经费，未参加医疗保险的事业单位的公费医疗经费，按国家规定享受离休人员待遇的医疗经费。</w:t>
      </w:r>
    </w:p>
    <w:p w14:paraId="16D93EC9">
      <w:pPr>
        <w:spacing w:line="560" w:lineRule="exact"/>
        <w:ind w:firstLine="600"/>
        <w:rPr>
          <w:rFonts w:ascii="仿宋_GB2312" w:eastAsia="仿宋_GB2312"/>
          <w:sz w:val="28"/>
          <w:szCs w:val="28"/>
        </w:rPr>
      </w:pPr>
      <w:r>
        <w:rPr>
          <w:rFonts w:hint="eastAsia" w:ascii="仿宋_GB2312" w:eastAsia="仿宋_GB2312"/>
          <w:sz w:val="28"/>
          <w:szCs w:val="28"/>
        </w:rPr>
        <w:t>（7）住房保障支出（类）住房改革支出（款）住房公积金（项）：反映行政事业单位按人力资源和社会保障部、财政部规定的基本工资和津贴补贴以及规定比例为职工缴纳的住房公积金。</w:t>
      </w:r>
    </w:p>
    <w:p w14:paraId="0D47D3EC">
      <w:pPr>
        <w:spacing w:line="560" w:lineRule="exact"/>
        <w:ind w:firstLine="600"/>
        <w:rPr>
          <w:rFonts w:ascii="仿宋_GB2312" w:eastAsia="仿宋_GB2312"/>
          <w:sz w:val="28"/>
          <w:szCs w:val="28"/>
        </w:rPr>
      </w:pPr>
      <w:r>
        <w:rPr>
          <w:rFonts w:hint="eastAsia" w:ascii="仿宋_GB2312" w:eastAsia="仿宋_GB2312"/>
          <w:sz w:val="28"/>
          <w:szCs w:val="28"/>
        </w:rPr>
        <w:t>（8）住房保障支出（类）住房改革支出（款）提租补贴（项）：反映按房改政策规定的标准，行政事业单位向职工（含离退休人员）发放的租金补助。</w:t>
      </w:r>
    </w:p>
    <w:p w14:paraId="6BBA400C">
      <w:pPr>
        <w:spacing w:line="560" w:lineRule="exact"/>
        <w:ind w:firstLine="600"/>
        <w:rPr>
          <w:rFonts w:ascii="仿宋_GB2312" w:eastAsia="仿宋_GB2312"/>
          <w:sz w:val="28"/>
          <w:szCs w:val="28"/>
        </w:rPr>
      </w:pPr>
      <w:r>
        <w:rPr>
          <w:rFonts w:hint="eastAsia" w:ascii="仿宋_GB2312" w:eastAsia="仿宋_GB2312"/>
          <w:sz w:val="28"/>
          <w:szCs w:val="28"/>
        </w:rPr>
        <w:t>（9）住房保障支出（类）住房改革支出（款）购房补贴（项）：反映按房改政策规定的标准，行政事业单位向符合条件职工（含离退休人员）发放的用于购买住房的补贴。</w:t>
      </w:r>
    </w:p>
    <w:p w14:paraId="14090624">
      <w:pPr>
        <w:ind w:firstLine="560" w:firstLineChars="200"/>
        <w:rPr>
          <w:rFonts w:ascii="仿宋_GB2312" w:eastAsia="仿宋_GB2312"/>
          <w:sz w:val="28"/>
          <w:szCs w:val="28"/>
        </w:rPr>
      </w:pPr>
    </w:p>
    <w:p w14:paraId="308A6C2C">
      <w:pPr>
        <w:rPr>
          <w:rFonts w:ascii="黑体" w:eastAsia="黑体"/>
          <w:sz w:val="32"/>
          <w:szCs w:val="32"/>
        </w:rPr>
      </w:pPr>
    </w:p>
    <w:p w14:paraId="271C586E">
      <w:pPr>
        <w:tabs>
          <w:tab w:val="center" w:pos="6979"/>
        </w:tabs>
        <w:spacing w:line="380" w:lineRule="exact"/>
        <w:jc w:val="center"/>
        <w:rPr>
          <w:rFonts w:ascii="宋体" w:hAnsi="宋体" w:cs="宋体"/>
          <w:b/>
          <w:bCs/>
          <w:kern w:val="0"/>
          <w:sz w:val="28"/>
          <w:szCs w:val="28"/>
        </w:rPr>
      </w:pPr>
    </w:p>
    <w:p w14:paraId="4E104DC5">
      <w:pPr>
        <w:tabs>
          <w:tab w:val="center" w:pos="6979"/>
        </w:tabs>
        <w:spacing w:line="380" w:lineRule="exact"/>
        <w:jc w:val="center"/>
        <w:rPr>
          <w:rFonts w:ascii="宋体" w:hAnsi="宋体" w:cs="宋体"/>
          <w:b/>
          <w:bCs/>
          <w:kern w:val="0"/>
          <w:sz w:val="28"/>
          <w:szCs w:val="28"/>
        </w:rPr>
      </w:pPr>
    </w:p>
    <w:p w14:paraId="6C0F14C9">
      <w:pPr>
        <w:rPr>
          <w:rFonts w:ascii="黑体" w:eastAsia="黑体"/>
          <w:sz w:val="32"/>
          <w:szCs w:val="32"/>
        </w:rPr>
      </w:pPr>
    </w:p>
    <w:p w14:paraId="1938FBFC">
      <w:pPr>
        <w:ind w:firstLine="640" w:firstLineChars="200"/>
        <w:jc w:val="center"/>
        <w:rPr>
          <w:rFonts w:ascii="黑体" w:eastAsia="黑体"/>
          <w:sz w:val="32"/>
          <w:szCs w:val="32"/>
        </w:rPr>
      </w:pPr>
    </w:p>
    <w:p w14:paraId="2B51C9B1">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23A5C404">
      <w:pPr>
        <w:ind w:firstLine="560" w:firstLineChars="200"/>
        <w:rPr>
          <w:rFonts w:ascii="黑体" w:eastAsia="黑体"/>
          <w:sz w:val="28"/>
          <w:szCs w:val="28"/>
          <w:highlight w:val="yellow"/>
        </w:rPr>
      </w:pPr>
    </w:p>
    <w:p w14:paraId="0B06BE06">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4895395D">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2960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1AB5B1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53E4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DEF29D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23CD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9FD20F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4BAB"/>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9CD"/>
    <w:rsid w:val="001B5E87"/>
    <w:rsid w:val="001B5E91"/>
    <w:rsid w:val="001B6449"/>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16D"/>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55506"/>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60B"/>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D7C2E"/>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3DE5"/>
    <w:rsid w:val="006E4722"/>
    <w:rsid w:val="00701651"/>
    <w:rsid w:val="007049BF"/>
    <w:rsid w:val="00704E79"/>
    <w:rsid w:val="00707A26"/>
    <w:rsid w:val="0071120F"/>
    <w:rsid w:val="00716380"/>
    <w:rsid w:val="00722165"/>
    <w:rsid w:val="00724B1C"/>
    <w:rsid w:val="007428F0"/>
    <w:rsid w:val="007512EF"/>
    <w:rsid w:val="00754B93"/>
    <w:rsid w:val="007551AC"/>
    <w:rsid w:val="0076101C"/>
    <w:rsid w:val="00763D87"/>
    <w:rsid w:val="007670B2"/>
    <w:rsid w:val="00771795"/>
    <w:rsid w:val="00774925"/>
    <w:rsid w:val="007874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0B5"/>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51F7"/>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54028D"/>
    <w:rsid w:val="028574C3"/>
    <w:rsid w:val="02F120AB"/>
    <w:rsid w:val="032B5196"/>
    <w:rsid w:val="04C3537C"/>
    <w:rsid w:val="079004AC"/>
    <w:rsid w:val="07D16002"/>
    <w:rsid w:val="0AEE0402"/>
    <w:rsid w:val="0B5C3E34"/>
    <w:rsid w:val="0BA148CA"/>
    <w:rsid w:val="0C1165C4"/>
    <w:rsid w:val="0D222E5C"/>
    <w:rsid w:val="0D6D544B"/>
    <w:rsid w:val="0DD136FE"/>
    <w:rsid w:val="0F8E2C57"/>
    <w:rsid w:val="1059665E"/>
    <w:rsid w:val="10AC13BA"/>
    <w:rsid w:val="10E2302E"/>
    <w:rsid w:val="145A6C1B"/>
    <w:rsid w:val="14B73493"/>
    <w:rsid w:val="15A45B93"/>
    <w:rsid w:val="167A2FF9"/>
    <w:rsid w:val="168C1346"/>
    <w:rsid w:val="18581C69"/>
    <w:rsid w:val="1AEC0734"/>
    <w:rsid w:val="1DEF20B0"/>
    <w:rsid w:val="214243FA"/>
    <w:rsid w:val="21AD613C"/>
    <w:rsid w:val="22467189"/>
    <w:rsid w:val="257A14F5"/>
    <w:rsid w:val="27196C26"/>
    <w:rsid w:val="29EF086F"/>
    <w:rsid w:val="2D6D3827"/>
    <w:rsid w:val="2E352597"/>
    <w:rsid w:val="2EFFE297"/>
    <w:rsid w:val="301437CA"/>
    <w:rsid w:val="30244DE1"/>
    <w:rsid w:val="31AD0696"/>
    <w:rsid w:val="349D1F0A"/>
    <w:rsid w:val="34DD0473"/>
    <w:rsid w:val="3535269B"/>
    <w:rsid w:val="36301896"/>
    <w:rsid w:val="3C684897"/>
    <w:rsid w:val="433E495C"/>
    <w:rsid w:val="443B7D84"/>
    <w:rsid w:val="44EF20B1"/>
    <w:rsid w:val="46F522DA"/>
    <w:rsid w:val="47075444"/>
    <w:rsid w:val="47CC1972"/>
    <w:rsid w:val="48614422"/>
    <w:rsid w:val="48847F4B"/>
    <w:rsid w:val="489F2FD7"/>
    <w:rsid w:val="492C07AF"/>
    <w:rsid w:val="4AC27CB3"/>
    <w:rsid w:val="4B114E93"/>
    <w:rsid w:val="4BF72BEF"/>
    <w:rsid w:val="4D1B4700"/>
    <w:rsid w:val="4DE76A65"/>
    <w:rsid w:val="4FA90297"/>
    <w:rsid w:val="4FC41A43"/>
    <w:rsid w:val="51C969CF"/>
    <w:rsid w:val="51DB3C59"/>
    <w:rsid w:val="537F311F"/>
    <w:rsid w:val="550C0952"/>
    <w:rsid w:val="55762E42"/>
    <w:rsid w:val="57A7B272"/>
    <w:rsid w:val="58277C23"/>
    <w:rsid w:val="58470068"/>
    <w:rsid w:val="58747CAC"/>
    <w:rsid w:val="5A1720F9"/>
    <w:rsid w:val="5A361F52"/>
    <w:rsid w:val="5A3C7900"/>
    <w:rsid w:val="5B9C37C2"/>
    <w:rsid w:val="5BA7C654"/>
    <w:rsid w:val="60A54109"/>
    <w:rsid w:val="61D01CDF"/>
    <w:rsid w:val="64C0607C"/>
    <w:rsid w:val="65756C86"/>
    <w:rsid w:val="674D385B"/>
    <w:rsid w:val="676F09E1"/>
    <w:rsid w:val="686D4100"/>
    <w:rsid w:val="68DB294B"/>
    <w:rsid w:val="69B67D29"/>
    <w:rsid w:val="6E9F0A3D"/>
    <w:rsid w:val="71793A80"/>
    <w:rsid w:val="7242215A"/>
    <w:rsid w:val="7357290B"/>
    <w:rsid w:val="76A87E52"/>
    <w:rsid w:val="76F70D7D"/>
    <w:rsid w:val="78450BF6"/>
    <w:rsid w:val="79393E6F"/>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1264.55</c:v>
                </c:pt>
                <c:pt idx="1">
                  <c:v>0</c:v>
                </c:pt>
                <c:pt idx="2">
                  <c:v>54.41</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5fcc15a-8b59-40c2-beaf-59e6ea63c03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1148.83</c:v>
                </c:pt>
                <c:pt idx="1">
                  <c:v>170.13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eb95850-8e5a-4237-9080-567e4339d4a8}"/>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4213</Words>
  <Characters>4750</Characters>
  <Lines>30</Lines>
  <Paragraphs>8</Paragraphs>
  <TotalTime>3</TotalTime>
  <ScaleCrop>false</ScaleCrop>
  <LinksUpToDate>false</LinksUpToDate>
  <CharactersWithSpaces>4773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2025-08-27T08:26:00Z</dcterms:created>
  <dc:creator>常程</dc:creator>
  <cp:lastModifiedBy>...Q</cp:lastModifiedBy>
  <cp:lastPrinted>2020-08-07T11:39:00Z</cp:lastPrinted>
  <dcterms:modified xsi:type="dcterms:W3CDTF">2025-08-28T04:15:20Z</dcterms:modified>
  <dc:title>北京市财政局关于做好向市人大常委会报送2015年度市级部门决算（草案）</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4297F77527FD4256BBB0D3DAB22F1876_13</vt:lpwstr>
  </property>
  <property fmtid="{D5CDD505-2E9C-101B-9397-08002B2CF9AE}" pid="4" name="KSOTemplateDocerSaveRecord">
    <vt:lpwstr>eyJoZGlkIjoiMTY2OGJhYTljNTRhM2FkOTNiYTI0NmZmZGZlZjc5MDciLCJ1c2VySWQiOiIyNDAxNTE3MTcifQ==</vt:lpwstr>
  </property>
</Properties>
</file>