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9F3D1">
      <w:pPr>
        <w:jc w:val="center"/>
        <w:rPr>
          <w:rFonts w:ascii="仿宋_GB2312" w:eastAsia="仿宋_GB2312"/>
          <w:b/>
          <w:color w:val="auto"/>
          <w:sz w:val="32"/>
          <w:szCs w:val="32"/>
        </w:rPr>
      </w:pPr>
    </w:p>
    <w:p w14:paraId="1ED8F06C">
      <w:pPr>
        <w:jc w:val="center"/>
        <w:rPr>
          <w:rFonts w:ascii="黑体" w:eastAsia="黑体"/>
          <w:color w:val="auto"/>
          <w:sz w:val="72"/>
          <w:szCs w:val="72"/>
        </w:rPr>
      </w:pPr>
    </w:p>
    <w:p w14:paraId="6884395F">
      <w:pPr>
        <w:jc w:val="center"/>
        <w:rPr>
          <w:rFonts w:ascii="黑体" w:eastAsia="黑体"/>
          <w:color w:val="auto"/>
          <w:sz w:val="72"/>
          <w:szCs w:val="72"/>
        </w:rPr>
      </w:pPr>
    </w:p>
    <w:p w14:paraId="7CB71056">
      <w:pPr>
        <w:jc w:val="center"/>
        <w:rPr>
          <w:rFonts w:ascii="黑体" w:eastAsia="黑体"/>
          <w:color w:val="auto"/>
          <w:sz w:val="72"/>
          <w:szCs w:val="72"/>
        </w:rPr>
      </w:pPr>
    </w:p>
    <w:p w14:paraId="6DF6B750">
      <w:pPr>
        <w:jc w:val="center"/>
        <w:rPr>
          <w:rFonts w:ascii="黑体" w:eastAsia="黑体"/>
          <w:color w:val="auto"/>
          <w:sz w:val="72"/>
          <w:szCs w:val="72"/>
        </w:rPr>
      </w:pPr>
    </w:p>
    <w:p w14:paraId="1A83B83C">
      <w:pPr>
        <w:jc w:val="center"/>
        <w:rPr>
          <w:rFonts w:ascii="黑体" w:eastAsia="黑体"/>
          <w:color w:val="auto"/>
          <w:sz w:val="72"/>
          <w:szCs w:val="72"/>
        </w:rPr>
      </w:pPr>
      <w:r>
        <w:rPr>
          <w:rFonts w:hint="eastAsia" w:ascii="黑体" w:eastAsia="黑体"/>
          <w:color w:val="auto"/>
          <w:sz w:val="72"/>
          <w:szCs w:val="72"/>
        </w:rPr>
        <w:t>202</w:t>
      </w:r>
      <w:r>
        <w:rPr>
          <w:rFonts w:hint="eastAsia" w:ascii="黑体" w:eastAsia="黑体"/>
          <w:color w:val="auto"/>
          <w:sz w:val="72"/>
          <w:szCs w:val="72"/>
          <w:lang w:val="en-US" w:eastAsia="zh-CN"/>
        </w:rPr>
        <w:t>4</w:t>
      </w:r>
      <w:r>
        <w:rPr>
          <w:rFonts w:hint="eastAsia" w:ascii="黑体" w:eastAsia="黑体"/>
          <w:color w:val="auto"/>
          <w:sz w:val="72"/>
          <w:szCs w:val="72"/>
        </w:rPr>
        <w:t>年度部门决算（</w:t>
      </w:r>
      <w:r>
        <w:rPr>
          <w:rFonts w:hint="eastAsia" w:ascii="黑体" w:eastAsia="黑体"/>
          <w:color w:val="auto"/>
          <w:sz w:val="72"/>
          <w:szCs w:val="72"/>
          <w:lang w:val="en-US" w:eastAsia="zh-CN"/>
        </w:rPr>
        <w:t>公开</w:t>
      </w:r>
      <w:r>
        <w:rPr>
          <w:rFonts w:ascii="黑体" w:eastAsia="黑体"/>
          <w:color w:val="auto"/>
          <w:sz w:val="72"/>
          <w:szCs w:val="72"/>
        </w:rPr>
        <w:t>）</w:t>
      </w:r>
    </w:p>
    <w:p w14:paraId="3FA58B08">
      <w:pPr>
        <w:jc w:val="center"/>
        <w:rPr>
          <w:rFonts w:ascii="黑体" w:eastAsia="黑体"/>
          <w:color w:val="auto"/>
          <w:sz w:val="52"/>
          <w:szCs w:val="52"/>
        </w:rPr>
      </w:pPr>
    </w:p>
    <w:p w14:paraId="182D5B87">
      <w:pPr>
        <w:jc w:val="center"/>
        <w:rPr>
          <w:rFonts w:ascii="黑体" w:eastAsia="黑体"/>
          <w:color w:val="auto"/>
          <w:sz w:val="52"/>
          <w:szCs w:val="52"/>
        </w:rPr>
      </w:pPr>
    </w:p>
    <w:p w14:paraId="68CFD299">
      <w:pPr>
        <w:jc w:val="center"/>
        <w:rPr>
          <w:rFonts w:ascii="黑体" w:eastAsia="黑体"/>
          <w:color w:val="auto"/>
          <w:sz w:val="52"/>
          <w:szCs w:val="52"/>
        </w:rPr>
      </w:pPr>
    </w:p>
    <w:p w14:paraId="39F6F962">
      <w:pPr>
        <w:jc w:val="center"/>
        <w:rPr>
          <w:rFonts w:ascii="黑体" w:eastAsia="黑体"/>
          <w:color w:val="auto"/>
          <w:sz w:val="52"/>
          <w:szCs w:val="52"/>
        </w:rPr>
      </w:pPr>
    </w:p>
    <w:p w14:paraId="39F7348A">
      <w:pPr>
        <w:jc w:val="center"/>
        <w:rPr>
          <w:rFonts w:ascii="黑体" w:eastAsia="黑体"/>
          <w:color w:val="auto"/>
          <w:sz w:val="32"/>
          <w:szCs w:val="32"/>
        </w:rPr>
      </w:pPr>
    </w:p>
    <w:p w14:paraId="59A366AB">
      <w:pPr>
        <w:spacing w:line="500" w:lineRule="exact"/>
        <w:ind w:firstLine="645"/>
        <w:jc w:val="center"/>
        <w:rPr>
          <w:rFonts w:ascii="宋体" w:hAnsi="宋体" w:cs="宋体"/>
          <w:b/>
          <w:bCs/>
          <w:color w:val="auto"/>
          <w:kern w:val="0"/>
          <w:sz w:val="44"/>
          <w:szCs w:val="36"/>
        </w:rPr>
      </w:pPr>
      <w:r>
        <w:rPr>
          <w:rFonts w:hint="eastAsia" w:ascii="宋体" w:hAnsi="宋体" w:cs="宋体"/>
          <w:b/>
          <w:bCs/>
          <w:color w:val="auto"/>
          <w:kern w:val="0"/>
          <w:sz w:val="44"/>
          <w:szCs w:val="36"/>
        </w:rPr>
        <w:t>目    录</w:t>
      </w:r>
    </w:p>
    <w:p w14:paraId="5F7AD27F">
      <w:pPr>
        <w:spacing w:line="500" w:lineRule="exact"/>
        <w:ind w:firstLine="645"/>
        <w:jc w:val="center"/>
        <w:rPr>
          <w:rFonts w:ascii="宋体" w:hAnsi="宋体" w:cs="宋体"/>
          <w:b/>
          <w:bCs/>
          <w:color w:val="auto"/>
          <w:kern w:val="0"/>
          <w:sz w:val="36"/>
          <w:szCs w:val="36"/>
        </w:rPr>
      </w:pPr>
    </w:p>
    <w:p w14:paraId="682E3F1D">
      <w:pPr>
        <w:tabs>
          <w:tab w:val="center" w:pos="6979"/>
        </w:tabs>
        <w:spacing w:line="500" w:lineRule="exact"/>
        <w:ind w:firstLine="1600" w:firstLineChars="400"/>
        <w:jc w:val="left"/>
        <w:rPr>
          <w:rFonts w:ascii="宋体" w:hAnsi="宋体" w:cs="宋体"/>
          <w:bCs/>
          <w:color w:val="auto"/>
          <w:spacing w:val="40"/>
          <w:kern w:val="0"/>
          <w:sz w:val="32"/>
          <w:szCs w:val="32"/>
        </w:rPr>
      </w:pPr>
      <w:r>
        <w:rPr>
          <w:rFonts w:hint="eastAsia" w:ascii="宋体" w:hAnsi="宋体" w:cs="宋体"/>
          <w:bCs/>
          <w:color w:val="auto"/>
          <w:spacing w:val="40"/>
          <w:kern w:val="0"/>
          <w:sz w:val="32"/>
          <w:szCs w:val="32"/>
        </w:rPr>
        <w:t>第一部分 2024年度部门决算报表</w:t>
      </w:r>
    </w:p>
    <w:p w14:paraId="2B8323D6">
      <w:pPr>
        <w:tabs>
          <w:tab w:val="center" w:pos="6979"/>
        </w:tabs>
        <w:spacing w:line="500" w:lineRule="exact"/>
        <w:ind w:firstLine="2400" w:firstLineChars="600"/>
        <w:jc w:val="left"/>
        <w:rPr>
          <w:rFonts w:ascii="仿宋_GB2312" w:hAnsi="仿宋" w:eastAsia="仿宋_GB2312"/>
          <w:color w:val="auto"/>
          <w:spacing w:val="40"/>
          <w:sz w:val="32"/>
          <w:szCs w:val="32"/>
        </w:rPr>
      </w:pPr>
      <w:r>
        <w:rPr>
          <w:rFonts w:hint="eastAsia" w:ascii="仿宋_GB2312" w:hAnsi="仿宋" w:eastAsia="仿宋_GB2312" w:cs="宋体"/>
          <w:bCs/>
          <w:color w:val="auto"/>
          <w:spacing w:val="40"/>
          <w:kern w:val="0"/>
          <w:sz w:val="32"/>
          <w:szCs w:val="32"/>
        </w:rPr>
        <w:t>一、收入支出决算总表</w:t>
      </w:r>
    </w:p>
    <w:p w14:paraId="79EBDFAE">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二、收入决算表</w:t>
      </w:r>
    </w:p>
    <w:p w14:paraId="232074F6">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三、支出决算表</w:t>
      </w:r>
    </w:p>
    <w:p w14:paraId="5A60CD3A">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四、财政拨款收入支出决算总表</w:t>
      </w:r>
    </w:p>
    <w:p w14:paraId="4C569AEF">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五、一般公共预算财政拨款收入支出决算表</w:t>
      </w:r>
    </w:p>
    <w:p w14:paraId="49ECD423">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六、一般公共预算财政拨款支出决算表</w:t>
      </w:r>
    </w:p>
    <w:p w14:paraId="7AC3C0EC">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七、一般公共预算财政拨款</w:t>
      </w:r>
      <w:r>
        <w:rPr>
          <w:rFonts w:ascii="仿宋_GB2312" w:hAnsi="仿宋" w:eastAsia="仿宋_GB2312" w:cs="宋体"/>
          <w:bCs/>
          <w:color w:val="auto"/>
          <w:spacing w:val="40"/>
          <w:kern w:val="0"/>
          <w:sz w:val="32"/>
          <w:szCs w:val="32"/>
        </w:rPr>
        <w:t>基本支出决算表</w:t>
      </w:r>
    </w:p>
    <w:p w14:paraId="7187308D">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八</w:t>
      </w:r>
      <w:r>
        <w:rPr>
          <w:rFonts w:ascii="仿宋_GB2312" w:hAnsi="仿宋" w:eastAsia="仿宋_GB2312" w:cs="宋体"/>
          <w:bCs/>
          <w:color w:val="auto"/>
          <w:spacing w:val="40"/>
          <w:kern w:val="0"/>
          <w:sz w:val="32"/>
          <w:szCs w:val="32"/>
        </w:rPr>
        <w:t>、</w:t>
      </w:r>
      <w:r>
        <w:rPr>
          <w:rFonts w:hint="eastAsia" w:ascii="仿宋_GB2312" w:hAnsi="仿宋" w:eastAsia="仿宋_GB2312" w:cs="宋体"/>
          <w:bCs/>
          <w:color w:val="auto"/>
          <w:spacing w:val="40"/>
          <w:kern w:val="0"/>
          <w:sz w:val="32"/>
          <w:szCs w:val="32"/>
        </w:rPr>
        <w:t>政府性基金预算财政拨款收入支出决算表</w:t>
      </w:r>
    </w:p>
    <w:p w14:paraId="2BAD9A9B">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九、</w:t>
      </w:r>
      <w:r>
        <w:rPr>
          <w:rFonts w:ascii="仿宋_GB2312" w:hAnsi="仿宋" w:eastAsia="仿宋_GB2312" w:cs="宋体"/>
          <w:bCs/>
          <w:color w:val="auto"/>
          <w:spacing w:val="40"/>
          <w:kern w:val="0"/>
          <w:sz w:val="32"/>
          <w:szCs w:val="32"/>
        </w:rPr>
        <w:t>政府性基金</w:t>
      </w:r>
      <w:r>
        <w:rPr>
          <w:rFonts w:hint="eastAsia" w:ascii="仿宋_GB2312" w:hAnsi="仿宋" w:eastAsia="仿宋_GB2312" w:cs="宋体"/>
          <w:bCs/>
          <w:color w:val="auto"/>
          <w:spacing w:val="40"/>
          <w:kern w:val="0"/>
          <w:sz w:val="32"/>
          <w:szCs w:val="32"/>
        </w:rPr>
        <w:t>预算</w:t>
      </w:r>
      <w:r>
        <w:rPr>
          <w:rFonts w:ascii="仿宋_GB2312" w:hAnsi="仿宋" w:eastAsia="仿宋_GB2312" w:cs="宋体"/>
          <w:bCs/>
          <w:color w:val="auto"/>
          <w:spacing w:val="40"/>
          <w:kern w:val="0"/>
          <w:sz w:val="32"/>
          <w:szCs w:val="32"/>
        </w:rPr>
        <w:t>财政拨款基本支出决算表</w:t>
      </w:r>
    </w:p>
    <w:p w14:paraId="6AA68A4E">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十、国有资本经营预算财政拨款支出决算表</w:t>
      </w:r>
    </w:p>
    <w:p w14:paraId="5055ADD9">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十一、财政拨款“三公”经费支出决算表</w:t>
      </w:r>
    </w:p>
    <w:p w14:paraId="128E3857">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十二、政府采购情况表</w:t>
      </w:r>
    </w:p>
    <w:p w14:paraId="2F82DA3A">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十三、政府购买服务决算公开情况表</w:t>
      </w:r>
    </w:p>
    <w:p w14:paraId="2486093A">
      <w:pPr>
        <w:tabs>
          <w:tab w:val="center" w:pos="6979"/>
        </w:tabs>
        <w:spacing w:line="500" w:lineRule="exact"/>
        <w:ind w:firstLine="1600" w:firstLineChars="400"/>
        <w:jc w:val="left"/>
        <w:rPr>
          <w:rFonts w:ascii="宋体" w:hAnsi="宋体" w:cs="宋体"/>
          <w:bCs/>
          <w:color w:val="auto"/>
          <w:spacing w:val="40"/>
          <w:kern w:val="0"/>
          <w:sz w:val="32"/>
          <w:szCs w:val="32"/>
        </w:rPr>
      </w:pPr>
      <w:r>
        <w:rPr>
          <w:rFonts w:hint="eastAsia" w:ascii="宋体" w:hAnsi="宋体" w:cs="宋体"/>
          <w:bCs/>
          <w:color w:val="auto"/>
          <w:spacing w:val="40"/>
          <w:kern w:val="0"/>
          <w:sz w:val="32"/>
          <w:szCs w:val="32"/>
        </w:rPr>
        <w:t xml:space="preserve">第二部分 </w:t>
      </w:r>
      <w:r>
        <w:rPr>
          <w:rFonts w:hint="eastAsia" w:ascii="宋体" w:hAnsi="宋体"/>
          <w:color w:val="auto"/>
          <w:spacing w:val="40"/>
          <w:sz w:val="32"/>
          <w:szCs w:val="32"/>
        </w:rPr>
        <w:t>2024年度部门决算说明</w:t>
      </w:r>
    </w:p>
    <w:p w14:paraId="3A71095E">
      <w:pPr>
        <w:tabs>
          <w:tab w:val="center" w:pos="6979"/>
        </w:tabs>
        <w:spacing w:line="500" w:lineRule="exact"/>
        <w:ind w:firstLine="1600" w:firstLineChars="400"/>
        <w:jc w:val="left"/>
        <w:rPr>
          <w:rFonts w:ascii="宋体" w:hAnsi="宋体" w:cs="宋体"/>
          <w:color w:val="auto"/>
          <w:spacing w:val="40"/>
          <w:kern w:val="0"/>
          <w:sz w:val="32"/>
          <w:szCs w:val="32"/>
        </w:rPr>
      </w:pPr>
      <w:r>
        <w:rPr>
          <w:rFonts w:hint="eastAsia" w:ascii="宋体" w:hAnsi="宋体" w:cs="宋体"/>
          <w:bCs/>
          <w:color w:val="auto"/>
          <w:spacing w:val="40"/>
          <w:kern w:val="0"/>
          <w:sz w:val="32"/>
          <w:szCs w:val="32"/>
        </w:rPr>
        <w:t xml:space="preserve">第三部分 </w:t>
      </w:r>
      <w:r>
        <w:rPr>
          <w:rFonts w:hint="eastAsia" w:ascii="宋体" w:hAnsi="宋体"/>
          <w:color w:val="auto"/>
          <w:spacing w:val="40"/>
          <w:sz w:val="32"/>
          <w:szCs w:val="32"/>
        </w:rPr>
        <w:t>2024年度</w:t>
      </w:r>
      <w:r>
        <w:rPr>
          <w:rFonts w:hint="eastAsia" w:ascii="宋体" w:hAnsi="宋体" w:cs="宋体"/>
          <w:color w:val="auto"/>
          <w:spacing w:val="40"/>
          <w:kern w:val="0"/>
          <w:sz w:val="32"/>
          <w:szCs w:val="32"/>
        </w:rPr>
        <w:t>其他重要事项的情况说明</w:t>
      </w:r>
    </w:p>
    <w:p w14:paraId="1164595B">
      <w:pPr>
        <w:tabs>
          <w:tab w:val="center" w:pos="6979"/>
        </w:tabs>
        <w:spacing w:line="500" w:lineRule="exact"/>
        <w:ind w:firstLine="1600" w:firstLineChars="400"/>
        <w:jc w:val="left"/>
        <w:rPr>
          <w:rFonts w:ascii="宋体" w:hAnsi="宋体" w:cs="宋体"/>
          <w:color w:val="auto"/>
          <w:spacing w:val="40"/>
          <w:kern w:val="0"/>
          <w:sz w:val="36"/>
          <w:szCs w:val="32"/>
        </w:rPr>
      </w:pPr>
      <w:r>
        <w:rPr>
          <w:rFonts w:hint="eastAsia" w:ascii="宋体" w:hAnsi="宋体" w:cs="宋体"/>
          <w:color w:val="auto"/>
          <w:spacing w:val="40"/>
          <w:kern w:val="0"/>
          <w:sz w:val="32"/>
          <w:szCs w:val="32"/>
        </w:rPr>
        <w:t>第四部分 2024年度部门绩效评价情况</w:t>
      </w:r>
    </w:p>
    <w:p w14:paraId="22D3F826">
      <w:pPr>
        <w:tabs>
          <w:tab w:val="center" w:pos="6979"/>
        </w:tabs>
        <w:spacing w:before="156" w:beforeLines="50" w:after="156" w:afterLines="50"/>
        <w:jc w:val="center"/>
        <w:rPr>
          <w:rFonts w:ascii="宋体" w:hAnsi="宋体" w:cs="宋体"/>
          <w:b/>
          <w:bCs/>
          <w:color w:val="auto"/>
          <w:spacing w:val="40"/>
          <w:kern w:val="0"/>
          <w:sz w:val="32"/>
          <w:szCs w:val="32"/>
        </w:rPr>
      </w:pPr>
    </w:p>
    <w:p w14:paraId="43BFB640">
      <w:pPr>
        <w:tabs>
          <w:tab w:val="center" w:pos="6979"/>
        </w:tabs>
        <w:spacing w:before="156" w:beforeLines="50" w:after="156" w:afterLines="50"/>
        <w:jc w:val="center"/>
        <w:rPr>
          <w:rFonts w:ascii="宋体" w:hAnsi="宋体" w:cs="宋体"/>
          <w:b/>
          <w:bCs/>
          <w:color w:val="auto"/>
          <w:spacing w:val="40"/>
          <w:kern w:val="0"/>
          <w:sz w:val="32"/>
          <w:szCs w:val="32"/>
        </w:rPr>
      </w:pPr>
    </w:p>
    <w:p w14:paraId="3DF00E09">
      <w:pPr>
        <w:tabs>
          <w:tab w:val="center" w:pos="6979"/>
        </w:tabs>
        <w:spacing w:before="156" w:beforeLines="50" w:after="156" w:afterLines="50"/>
        <w:jc w:val="center"/>
        <w:rPr>
          <w:rFonts w:ascii="宋体" w:hAnsi="宋体" w:cs="宋体"/>
          <w:b/>
          <w:bCs/>
          <w:color w:val="auto"/>
          <w:spacing w:val="40"/>
          <w:kern w:val="0"/>
          <w:sz w:val="32"/>
          <w:szCs w:val="32"/>
        </w:rPr>
      </w:pPr>
    </w:p>
    <w:p w14:paraId="26BD28E4">
      <w:pPr>
        <w:tabs>
          <w:tab w:val="center" w:pos="6979"/>
        </w:tabs>
        <w:spacing w:before="156" w:beforeLines="50" w:after="156" w:afterLines="50"/>
        <w:jc w:val="center"/>
        <w:rPr>
          <w:rFonts w:ascii="宋体" w:hAnsi="宋体" w:cs="宋体"/>
          <w:b/>
          <w:bCs/>
          <w:color w:val="auto"/>
          <w:spacing w:val="40"/>
          <w:kern w:val="0"/>
          <w:sz w:val="32"/>
          <w:szCs w:val="32"/>
        </w:rPr>
      </w:pPr>
    </w:p>
    <w:p w14:paraId="4B575BB4">
      <w:pPr>
        <w:tabs>
          <w:tab w:val="center" w:pos="6979"/>
        </w:tabs>
        <w:spacing w:before="156" w:beforeLines="50" w:after="156" w:afterLines="50"/>
        <w:jc w:val="center"/>
        <w:rPr>
          <w:rFonts w:ascii="宋体" w:hAnsi="宋体" w:cs="宋体"/>
          <w:b/>
          <w:bCs/>
          <w:color w:val="auto"/>
          <w:spacing w:val="40"/>
          <w:kern w:val="0"/>
          <w:sz w:val="32"/>
          <w:szCs w:val="32"/>
        </w:rPr>
      </w:pPr>
    </w:p>
    <w:p w14:paraId="655D40D4">
      <w:pPr>
        <w:tabs>
          <w:tab w:val="center" w:pos="6979"/>
        </w:tabs>
        <w:spacing w:before="156" w:beforeLines="50" w:after="156" w:afterLines="50"/>
        <w:jc w:val="center"/>
        <w:rPr>
          <w:rFonts w:ascii="宋体" w:hAnsi="宋体" w:cs="宋体"/>
          <w:b/>
          <w:bCs/>
          <w:color w:val="auto"/>
          <w:spacing w:val="40"/>
          <w:kern w:val="0"/>
          <w:sz w:val="32"/>
          <w:szCs w:val="32"/>
        </w:rPr>
      </w:pPr>
      <w:r>
        <w:rPr>
          <w:rFonts w:hint="eastAsia" w:ascii="宋体" w:hAnsi="宋体" w:cs="宋体"/>
          <w:b/>
          <w:bCs/>
          <w:color w:val="auto"/>
          <w:spacing w:val="40"/>
          <w:kern w:val="0"/>
          <w:sz w:val="44"/>
          <w:szCs w:val="44"/>
        </w:rPr>
        <w:t>第一部分 2024年度部门决算报表</w:t>
      </w:r>
    </w:p>
    <w:p w14:paraId="14FFEF0B">
      <w:pPr>
        <w:pStyle w:val="2"/>
        <w:rPr>
          <w:b w:val="0"/>
          <w:bCs w:val="0"/>
          <w:color w:val="auto"/>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rPr>
        <w:t xml:space="preserve">   </w:t>
      </w:r>
      <w:r>
        <w:rPr>
          <w:rFonts w:hint="eastAsia" w:ascii="仿宋_GB2312" w:eastAsia="仿宋_GB2312"/>
          <w:b w:val="0"/>
          <w:bCs w:val="0"/>
          <w:color w:val="auto"/>
          <w:sz w:val="28"/>
          <w:szCs w:val="28"/>
        </w:rPr>
        <w:t>报表详见附件</w:t>
      </w:r>
      <w:r>
        <w:rPr>
          <w:rFonts w:hint="eastAsia" w:ascii="仿宋_GB2312" w:eastAsia="仿宋_GB2312"/>
          <w:b w:val="0"/>
          <w:bCs w:val="0"/>
          <w:color w:val="auto"/>
          <w:sz w:val="28"/>
          <w:szCs w:val="28"/>
          <w:lang w:val="en-US" w:eastAsia="zh-CN"/>
        </w:rPr>
        <w:t>1</w:t>
      </w:r>
      <w:r>
        <w:rPr>
          <w:rFonts w:hint="eastAsia" w:ascii="仿宋_GB2312" w:eastAsia="仿宋_GB2312"/>
          <w:b w:val="0"/>
          <w:bCs w:val="0"/>
          <w:color w:val="auto"/>
          <w:sz w:val="28"/>
          <w:szCs w:val="28"/>
        </w:rPr>
        <w:t>。</w:t>
      </w:r>
    </w:p>
    <w:p w14:paraId="6C9C5FFF">
      <w:pPr>
        <w:tabs>
          <w:tab w:val="center" w:pos="6979"/>
        </w:tabs>
        <w:spacing w:before="156" w:beforeLines="50" w:after="156" w:afterLines="50"/>
        <w:jc w:val="center"/>
        <w:rPr>
          <w:rFonts w:ascii="宋体" w:hAnsi="宋体"/>
          <w:b/>
          <w:color w:val="auto"/>
          <w:sz w:val="32"/>
          <w:szCs w:val="32"/>
        </w:rPr>
      </w:pPr>
      <w:r>
        <w:rPr>
          <w:rFonts w:hint="eastAsia" w:ascii="宋体" w:hAnsi="宋体" w:cs="宋体"/>
          <w:b/>
          <w:bCs/>
          <w:color w:val="auto"/>
          <w:spacing w:val="40"/>
          <w:kern w:val="0"/>
          <w:sz w:val="32"/>
          <w:szCs w:val="32"/>
        </w:rPr>
        <w:t xml:space="preserve">第二部分 </w:t>
      </w:r>
      <w:r>
        <w:rPr>
          <w:rFonts w:hint="eastAsia" w:ascii="宋体" w:hAnsi="宋体"/>
          <w:b/>
          <w:color w:val="auto"/>
          <w:spacing w:val="40"/>
          <w:sz w:val="32"/>
          <w:szCs w:val="32"/>
        </w:rPr>
        <w:t>2024年度部门决算说明</w:t>
      </w:r>
    </w:p>
    <w:p w14:paraId="6F32A186">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一、部门/单位基本情况</w:t>
      </w:r>
    </w:p>
    <w:p w14:paraId="05BF8CBA">
      <w:pPr>
        <w:tabs>
          <w:tab w:val="center" w:pos="6979"/>
        </w:tabs>
        <w:spacing w:line="580" w:lineRule="exact"/>
        <w:ind w:firstLine="570"/>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本单位</w:t>
      </w:r>
      <w:r>
        <w:rPr>
          <w:rFonts w:hint="eastAsia" w:ascii="仿宋_GB2312" w:hAnsi="Times New Roman" w:eastAsia="仿宋_GB2312" w:cs="Times New Roman"/>
          <w:color w:val="auto"/>
          <w:sz w:val="28"/>
          <w:szCs w:val="28"/>
        </w:rPr>
        <w:t>主要职责是向青少年普及科学技术知识，培养他们的科学意识和科学素质。</w:t>
      </w:r>
    </w:p>
    <w:p w14:paraId="6439F17E">
      <w:pPr>
        <w:tabs>
          <w:tab w:val="center" w:pos="6979"/>
        </w:tabs>
        <w:spacing w:line="580" w:lineRule="exact"/>
        <w:rPr>
          <w:rFonts w:ascii="黑体" w:eastAsia="黑体"/>
          <w:b/>
          <w:color w:val="auto"/>
          <w:sz w:val="28"/>
          <w:szCs w:val="28"/>
        </w:rPr>
      </w:pPr>
      <w:r>
        <w:rPr>
          <w:rFonts w:hint="eastAsia" w:ascii="仿宋_GB2312" w:eastAsia="仿宋_GB2312"/>
          <w:b/>
          <w:color w:val="auto"/>
          <w:sz w:val="32"/>
          <w:szCs w:val="32"/>
        </w:rPr>
        <w:t xml:space="preserve">   </w:t>
      </w:r>
      <w:r>
        <w:rPr>
          <w:rFonts w:hint="eastAsia" w:ascii="黑体" w:eastAsia="黑体"/>
          <w:b/>
          <w:color w:val="auto"/>
          <w:sz w:val="28"/>
          <w:szCs w:val="28"/>
        </w:rPr>
        <w:t>二、收入支出决算总体情况说明</w:t>
      </w:r>
    </w:p>
    <w:p w14:paraId="2C9B3B6E">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2024年度收、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2063.8</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154.50</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6.96</w:t>
      </w:r>
      <w:r>
        <w:rPr>
          <w:rFonts w:hint="eastAsia" w:ascii="仿宋_GB2312" w:eastAsia="仿宋_GB2312"/>
          <w:color w:val="auto"/>
          <w:sz w:val="28"/>
          <w:szCs w:val="28"/>
        </w:rPr>
        <w:t>%。</w:t>
      </w:r>
    </w:p>
    <w:p w14:paraId="606DCF84">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（一</w:t>
      </w:r>
      <w:r>
        <w:rPr>
          <w:rFonts w:ascii="仿宋_GB2312" w:eastAsia="仿宋_GB2312"/>
          <w:color w:val="auto"/>
          <w:sz w:val="28"/>
          <w:szCs w:val="28"/>
        </w:rPr>
        <w:t>）</w:t>
      </w:r>
      <w:r>
        <w:rPr>
          <w:rFonts w:hint="eastAsia" w:ascii="仿宋_GB2312" w:eastAsia="仿宋_GB2312"/>
          <w:color w:val="auto"/>
          <w:sz w:val="28"/>
          <w:szCs w:val="28"/>
        </w:rPr>
        <w:t>收入决算</w:t>
      </w:r>
      <w:r>
        <w:rPr>
          <w:rFonts w:ascii="仿宋_GB2312" w:eastAsia="仿宋_GB2312"/>
          <w:color w:val="auto"/>
          <w:sz w:val="28"/>
          <w:szCs w:val="28"/>
        </w:rPr>
        <w:t>说明</w:t>
      </w:r>
    </w:p>
    <w:p w14:paraId="35F32540">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2024年度本年收入合计</w:t>
      </w:r>
      <w:r>
        <w:rPr>
          <w:rFonts w:ascii="仿宋_GB2312" w:eastAsia="仿宋_GB2312"/>
          <w:color w:val="auto"/>
          <w:sz w:val="28"/>
          <w:szCs w:val="28"/>
        </w:rPr>
        <w:t>2063.8</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149.82</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6.77</w:t>
      </w:r>
      <w:r>
        <w:rPr>
          <w:rFonts w:hint="eastAsia" w:ascii="仿宋_GB2312" w:eastAsia="仿宋_GB2312"/>
          <w:color w:val="auto"/>
          <w:sz w:val="28"/>
          <w:szCs w:val="28"/>
        </w:rPr>
        <w:t>%。</w:t>
      </w:r>
    </w:p>
    <w:p w14:paraId="208EAC07">
      <w:pPr>
        <w:tabs>
          <w:tab w:val="center" w:pos="6979"/>
        </w:tabs>
        <w:spacing w:line="580" w:lineRule="exact"/>
        <w:ind w:firstLine="560" w:firstLineChars="200"/>
        <w:rPr>
          <w:color w:val="auto"/>
        </w:rPr>
      </w:pPr>
      <w:r>
        <w:rPr>
          <w:rFonts w:hint="eastAsia" w:ascii="仿宋_GB2312" w:eastAsia="仿宋_GB2312"/>
          <w:color w:val="auto"/>
          <w:sz w:val="28"/>
          <w:szCs w:val="28"/>
        </w:rPr>
        <w:t>1.财政拨款收入</w:t>
      </w:r>
      <w:r>
        <w:rPr>
          <w:rFonts w:ascii="仿宋_GB2312" w:eastAsia="仿宋_GB2312"/>
          <w:color w:val="auto"/>
          <w:sz w:val="28"/>
          <w:szCs w:val="28"/>
        </w:rPr>
        <w:t>1977.49</w:t>
      </w:r>
      <w:r>
        <w:rPr>
          <w:rFonts w:hint="eastAsia" w:ascii="仿宋_GB2312" w:eastAsia="仿宋_GB2312"/>
          <w:color w:val="auto"/>
          <w:sz w:val="28"/>
          <w:szCs w:val="28"/>
        </w:rPr>
        <w:t>万元，占收入合计的95.82%。其中：一般公共预算财政拨款收入</w:t>
      </w:r>
      <w:r>
        <w:rPr>
          <w:rFonts w:ascii="仿宋_GB2312" w:eastAsia="仿宋_GB2312"/>
          <w:color w:val="auto"/>
          <w:sz w:val="28"/>
          <w:szCs w:val="28"/>
        </w:rPr>
        <w:t>1977.49</w:t>
      </w:r>
      <w:r>
        <w:rPr>
          <w:rFonts w:hint="eastAsia" w:ascii="仿宋_GB2312" w:eastAsia="仿宋_GB2312"/>
          <w:color w:val="auto"/>
          <w:sz w:val="28"/>
          <w:szCs w:val="28"/>
        </w:rPr>
        <w:t>万元，占收入合计的95.82%；政府性基金预算财政拨款收入</w:t>
      </w:r>
      <w:r>
        <w:rPr>
          <w:rFonts w:ascii="仿宋_GB2312" w:eastAsia="仿宋_GB2312"/>
          <w:color w:val="auto"/>
          <w:sz w:val="28"/>
          <w:szCs w:val="28"/>
        </w:rPr>
        <w:t>0</w:t>
      </w:r>
      <w:r>
        <w:rPr>
          <w:rFonts w:hint="eastAsia" w:ascii="仿宋_GB2312" w:eastAsia="仿宋_GB2312"/>
          <w:color w:val="auto"/>
          <w:sz w:val="28"/>
          <w:szCs w:val="28"/>
        </w:rPr>
        <w:t>万元，占收入合计的0%；国有资本经营预算财政拨款收入</w:t>
      </w:r>
      <w:r>
        <w:rPr>
          <w:rFonts w:ascii="仿宋_GB2312" w:eastAsia="仿宋_GB2312"/>
          <w:color w:val="auto"/>
          <w:sz w:val="28"/>
          <w:szCs w:val="28"/>
        </w:rPr>
        <w:t>0</w:t>
      </w:r>
      <w:r>
        <w:rPr>
          <w:rFonts w:hint="eastAsia" w:ascii="仿宋_GB2312" w:eastAsia="仿宋_GB2312"/>
          <w:color w:val="auto"/>
          <w:sz w:val="28"/>
          <w:szCs w:val="28"/>
        </w:rPr>
        <w:t>万元，占收入合计的0%；</w:t>
      </w:r>
    </w:p>
    <w:p w14:paraId="14AC9DEA">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2.上级补助收入</w:t>
      </w:r>
      <w:r>
        <w:rPr>
          <w:rFonts w:ascii="仿宋_GB2312" w:eastAsia="仿宋_GB2312"/>
          <w:color w:val="auto"/>
          <w:sz w:val="28"/>
          <w:szCs w:val="28"/>
        </w:rPr>
        <w:t>0</w:t>
      </w:r>
      <w:r>
        <w:rPr>
          <w:rFonts w:hint="eastAsia" w:ascii="仿宋_GB2312" w:eastAsia="仿宋_GB2312"/>
          <w:color w:val="auto"/>
          <w:sz w:val="28"/>
          <w:szCs w:val="28"/>
        </w:rPr>
        <w:t>万元，占收入合计的0%；</w:t>
      </w:r>
    </w:p>
    <w:p w14:paraId="26B25B7B">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3.事业收入</w:t>
      </w:r>
      <w:r>
        <w:rPr>
          <w:rFonts w:ascii="仿宋_GB2312" w:eastAsia="仿宋_GB2312"/>
          <w:color w:val="auto"/>
          <w:sz w:val="28"/>
          <w:szCs w:val="28"/>
        </w:rPr>
        <w:t>0</w:t>
      </w:r>
      <w:r>
        <w:rPr>
          <w:rFonts w:hint="eastAsia" w:ascii="仿宋_GB2312" w:eastAsia="仿宋_GB2312"/>
          <w:color w:val="auto"/>
          <w:sz w:val="28"/>
          <w:szCs w:val="28"/>
        </w:rPr>
        <w:t>万元，占收入合计的0%；</w:t>
      </w:r>
    </w:p>
    <w:p w14:paraId="00571E72">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4.经营收入</w:t>
      </w:r>
      <w:r>
        <w:rPr>
          <w:rFonts w:ascii="仿宋_GB2312" w:eastAsia="仿宋_GB2312"/>
          <w:color w:val="auto"/>
          <w:sz w:val="28"/>
          <w:szCs w:val="28"/>
        </w:rPr>
        <w:t>86.31</w:t>
      </w:r>
      <w:r>
        <w:rPr>
          <w:rFonts w:hint="eastAsia" w:ascii="仿宋_GB2312" w:eastAsia="仿宋_GB2312"/>
          <w:color w:val="auto"/>
          <w:sz w:val="28"/>
          <w:szCs w:val="28"/>
        </w:rPr>
        <w:t>万元，占收入合计的4.18%；</w:t>
      </w:r>
    </w:p>
    <w:p w14:paraId="055731D9">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5.附属单位上缴收入</w:t>
      </w:r>
      <w:r>
        <w:rPr>
          <w:rFonts w:ascii="仿宋_GB2312" w:eastAsia="仿宋_GB2312"/>
          <w:color w:val="auto"/>
          <w:sz w:val="28"/>
          <w:szCs w:val="28"/>
        </w:rPr>
        <w:t>0</w:t>
      </w:r>
      <w:r>
        <w:rPr>
          <w:rFonts w:hint="eastAsia" w:ascii="仿宋_GB2312" w:eastAsia="仿宋_GB2312"/>
          <w:color w:val="auto"/>
          <w:sz w:val="28"/>
          <w:szCs w:val="28"/>
        </w:rPr>
        <w:t>万元，占收入合计的0%；</w:t>
      </w:r>
    </w:p>
    <w:p w14:paraId="0B6B004E">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6.其他收入</w:t>
      </w:r>
      <w:r>
        <w:rPr>
          <w:rFonts w:ascii="仿宋_GB2312" w:eastAsia="仿宋_GB2312"/>
          <w:color w:val="auto"/>
          <w:sz w:val="28"/>
          <w:szCs w:val="28"/>
        </w:rPr>
        <w:t>0</w:t>
      </w:r>
      <w:r>
        <w:rPr>
          <w:rFonts w:hint="eastAsia" w:ascii="仿宋_GB2312" w:eastAsia="仿宋_GB2312"/>
          <w:color w:val="auto"/>
          <w:sz w:val="28"/>
          <w:szCs w:val="28"/>
        </w:rPr>
        <w:t>万元，占收入合计的0%。</w:t>
      </w:r>
    </w:p>
    <w:p w14:paraId="15FF059E">
      <w:pPr>
        <w:pStyle w:val="2"/>
        <w:jc w:val="center"/>
        <w:rPr>
          <w:color w:val="auto"/>
        </w:rPr>
      </w:pPr>
      <w:r>
        <w:rPr>
          <w:rFonts w:hint="eastAsia" w:ascii="仿宋_GB2312" w:eastAsia="仿宋_GB2312"/>
          <w:color w:val="auto"/>
          <w:sz w:val="32"/>
        </w:rPr>
        <w:t>图1：收入决算</w:t>
      </w:r>
    </w:p>
    <w:p w14:paraId="5F89196C">
      <w:pPr>
        <w:pStyle w:val="3"/>
        <w:ind w:firstLine="420"/>
        <w:jc w:val="center"/>
        <w:rPr>
          <w:color w:val="auto"/>
        </w:rPr>
      </w:pPr>
      <w:r>
        <w:rPr>
          <w:color w:val="auto"/>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323CC34">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（二</w:t>
      </w:r>
      <w:r>
        <w:rPr>
          <w:rFonts w:ascii="仿宋_GB2312" w:eastAsia="仿宋_GB2312"/>
          <w:color w:val="auto"/>
          <w:sz w:val="28"/>
          <w:szCs w:val="28"/>
        </w:rPr>
        <w:t>）</w:t>
      </w:r>
      <w:r>
        <w:rPr>
          <w:rFonts w:hint="eastAsia" w:ascii="仿宋_GB2312" w:eastAsia="仿宋_GB2312"/>
          <w:color w:val="auto"/>
          <w:sz w:val="28"/>
          <w:szCs w:val="28"/>
        </w:rPr>
        <w:t>支出决算</w:t>
      </w:r>
      <w:r>
        <w:rPr>
          <w:rFonts w:ascii="仿宋_GB2312" w:eastAsia="仿宋_GB2312"/>
          <w:color w:val="auto"/>
          <w:sz w:val="28"/>
          <w:szCs w:val="28"/>
        </w:rPr>
        <w:t>说明</w:t>
      </w:r>
    </w:p>
    <w:p w14:paraId="2813DB7D">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2024年度本年支出合计</w:t>
      </w:r>
      <w:r>
        <w:rPr>
          <w:rFonts w:ascii="仿宋_GB2312" w:eastAsia="仿宋_GB2312"/>
          <w:color w:val="auto"/>
          <w:sz w:val="28"/>
          <w:szCs w:val="28"/>
        </w:rPr>
        <w:t>1982.95</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120</w:t>
      </w:r>
      <w:r>
        <w:rPr>
          <w:rFonts w:ascii="仿宋_GB2312" w:eastAsia="仿宋_GB2312"/>
          <w:color w:val="auto"/>
          <w:sz w:val="28"/>
          <w:szCs w:val="28"/>
        </w:rPr>
        <w:t>.</w:t>
      </w:r>
      <w:r>
        <w:rPr>
          <w:rFonts w:hint="eastAsia" w:ascii="仿宋_GB2312" w:eastAsia="仿宋_GB2312"/>
          <w:color w:val="auto"/>
          <w:sz w:val="28"/>
          <w:szCs w:val="28"/>
          <w:lang w:val="en-US" w:eastAsia="zh-CN"/>
        </w:rPr>
        <w:t>32</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5</w:t>
      </w:r>
      <w:r>
        <w:rPr>
          <w:rFonts w:ascii="仿宋_GB2312" w:eastAsia="仿宋_GB2312"/>
          <w:color w:val="auto"/>
          <w:sz w:val="28"/>
          <w:szCs w:val="28"/>
        </w:rPr>
        <w:t>.</w:t>
      </w:r>
      <w:r>
        <w:rPr>
          <w:rFonts w:hint="eastAsia" w:ascii="仿宋_GB2312" w:eastAsia="仿宋_GB2312"/>
          <w:color w:val="auto"/>
          <w:sz w:val="28"/>
          <w:szCs w:val="28"/>
          <w:lang w:val="en-US" w:eastAsia="zh-CN"/>
        </w:rPr>
        <w:t>72</w:t>
      </w:r>
      <w:r>
        <w:rPr>
          <w:rFonts w:hint="eastAsia" w:ascii="仿宋_GB2312" w:eastAsia="仿宋_GB2312"/>
          <w:color w:val="auto"/>
          <w:sz w:val="28"/>
          <w:szCs w:val="28"/>
        </w:rPr>
        <w:t>%，其中：基本支出</w:t>
      </w:r>
      <w:r>
        <w:rPr>
          <w:rFonts w:ascii="仿宋_GB2312" w:eastAsia="仿宋_GB2312"/>
          <w:color w:val="auto"/>
          <w:sz w:val="28"/>
          <w:szCs w:val="28"/>
        </w:rPr>
        <w:t>1535.11</w:t>
      </w:r>
      <w:r>
        <w:rPr>
          <w:rFonts w:hint="eastAsia" w:ascii="仿宋_GB2312" w:eastAsia="仿宋_GB2312"/>
          <w:color w:val="auto"/>
          <w:sz w:val="28"/>
          <w:szCs w:val="28"/>
        </w:rPr>
        <w:t>万元，占支出合计的77.42%；项目支出</w:t>
      </w:r>
      <w:r>
        <w:rPr>
          <w:rFonts w:ascii="仿宋_GB2312" w:eastAsia="仿宋_GB2312"/>
          <w:color w:val="auto"/>
          <w:sz w:val="28"/>
          <w:szCs w:val="28"/>
        </w:rPr>
        <w:t>442.38</w:t>
      </w:r>
      <w:r>
        <w:rPr>
          <w:rFonts w:hint="eastAsia" w:ascii="仿宋_GB2312" w:eastAsia="仿宋_GB2312"/>
          <w:color w:val="auto"/>
          <w:sz w:val="28"/>
          <w:szCs w:val="28"/>
        </w:rPr>
        <w:t>万元，占支出合计的22.31%;上缴上级支出</w:t>
      </w:r>
      <w:r>
        <w:rPr>
          <w:rFonts w:ascii="仿宋_GB2312" w:eastAsia="仿宋_GB2312"/>
          <w:color w:val="auto"/>
          <w:sz w:val="28"/>
          <w:szCs w:val="28"/>
        </w:rPr>
        <w:t>0</w:t>
      </w:r>
      <w:r>
        <w:rPr>
          <w:rFonts w:hint="eastAsia" w:ascii="仿宋_GB2312" w:eastAsia="仿宋_GB2312"/>
          <w:color w:val="auto"/>
          <w:sz w:val="28"/>
          <w:szCs w:val="28"/>
        </w:rPr>
        <w:t>万元，占支出合计的0%；经营支出</w:t>
      </w:r>
      <w:r>
        <w:rPr>
          <w:rFonts w:ascii="仿宋_GB2312" w:eastAsia="仿宋_GB2312"/>
          <w:color w:val="auto"/>
          <w:sz w:val="28"/>
          <w:szCs w:val="28"/>
        </w:rPr>
        <w:t>5.46</w:t>
      </w:r>
      <w:r>
        <w:rPr>
          <w:rFonts w:hint="eastAsia" w:ascii="仿宋_GB2312" w:eastAsia="仿宋_GB2312"/>
          <w:color w:val="auto"/>
          <w:sz w:val="28"/>
          <w:szCs w:val="28"/>
        </w:rPr>
        <w:t>万元，占支出合计的0.28%；对附属单位补助支出</w:t>
      </w:r>
      <w:r>
        <w:rPr>
          <w:rFonts w:ascii="仿宋_GB2312" w:eastAsia="仿宋_GB2312"/>
          <w:color w:val="auto"/>
          <w:sz w:val="28"/>
          <w:szCs w:val="28"/>
        </w:rPr>
        <w:t>0</w:t>
      </w:r>
      <w:r>
        <w:rPr>
          <w:rFonts w:hint="eastAsia" w:ascii="仿宋_GB2312" w:eastAsia="仿宋_GB2312"/>
          <w:color w:val="auto"/>
          <w:sz w:val="28"/>
          <w:szCs w:val="28"/>
        </w:rPr>
        <w:t>万元，占支出合计的0%</w:t>
      </w:r>
      <w:r>
        <w:rPr>
          <w:rFonts w:hint="eastAsia" w:ascii="仿宋_GB2312" w:eastAsia="仿宋_GB2312"/>
          <w:color w:val="auto"/>
          <w:sz w:val="28"/>
          <w:szCs w:val="28"/>
        </w:rPr>
        <w:t>。</w:t>
      </w:r>
    </w:p>
    <w:p w14:paraId="08178E7E">
      <w:pPr>
        <w:pStyle w:val="2"/>
        <w:ind w:firstLine="642"/>
        <w:jc w:val="center"/>
        <w:rPr>
          <w:rFonts w:ascii="仿宋_GB2312" w:eastAsia="仿宋_GB2312"/>
          <w:color w:val="auto"/>
          <w:sz w:val="32"/>
        </w:rPr>
      </w:pPr>
      <w:r>
        <w:rPr>
          <w:rFonts w:hint="eastAsia" w:ascii="仿宋_GB2312" w:eastAsia="仿宋_GB2312"/>
          <w:color w:val="auto"/>
          <w:sz w:val="32"/>
        </w:rPr>
        <w:t>图2：基本支出和项目支出情况</w:t>
      </w:r>
    </w:p>
    <w:p w14:paraId="1CB2AC6A">
      <w:pPr>
        <w:jc w:val="center"/>
        <w:rPr>
          <w:rFonts w:ascii="黑体" w:eastAsia="黑体"/>
          <w:b/>
          <w:color w:val="auto"/>
          <w:sz w:val="28"/>
          <w:szCs w:val="28"/>
        </w:rPr>
      </w:pPr>
      <w:r>
        <w:rPr>
          <w:color w:val="auto"/>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A0059F3">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三</w:t>
      </w:r>
      <w:r>
        <w:rPr>
          <w:rFonts w:ascii="黑体" w:eastAsia="黑体"/>
          <w:b/>
          <w:color w:val="auto"/>
          <w:sz w:val="28"/>
          <w:szCs w:val="28"/>
        </w:rPr>
        <w:t>、财政拨款</w:t>
      </w:r>
      <w:r>
        <w:rPr>
          <w:rFonts w:hint="eastAsia" w:ascii="黑体" w:eastAsia="黑体"/>
          <w:b/>
          <w:color w:val="auto"/>
          <w:sz w:val="28"/>
          <w:szCs w:val="28"/>
        </w:rPr>
        <w:t>收入支出决算</w:t>
      </w:r>
      <w:r>
        <w:rPr>
          <w:rFonts w:ascii="黑体" w:eastAsia="黑体"/>
          <w:b/>
          <w:color w:val="auto"/>
          <w:sz w:val="28"/>
          <w:szCs w:val="28"/>
        </w:rPr>
        <w:t>总体情况说明</w:t>
      </w:r>
    </w:p>
    <w:p w14:paraId="16B8C3C7">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2024年度财政拨款收、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1977.49</w:t>
      </w:r>
      <w:r>
        <w:rPr>
          <w:rFonts w:hint="eastAsia" w:ascii="仿宋_GB2312" w:eastAsia="仿宋_GB2312"/>
          <w:color w:val="auto"/>
          <w:sz w:val="28"/>
          <w:szCs w:val="28"/>
        </w:rPr>
        <w:t>万元，比上年减少</w:t>
      </w:r>
      <w:r>
        <w:rPr>
          <w:rFonts w:hint="eastAsia" w:ascii="仿宋_GB2312" w:eastAsia="仿宋_GB2312"/>
          <w:color w:val="auto"/>
          <w:sz w:val="28"/>
          <w:szCs w:val="28"/>
          <w:lang w:val="en-US" w:eastAsia="zh-CN"/>
        </w:rPr>
        <w:t>120.86</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5.76</w:t>
      </w:r>
      <w:r>
        <w:rPr>
          <w:rFonts w:hint="eastAsia" w:ascii="仿宋_GB2312" w:eastAsia="仿宋_GB2312"/>
          <w:color w:val="auto"/>
          <w:sz w:val="28"/>
          <w:szCs w:val="28"/>
        </w:rPr>
        <w:t>%。主要原因：</w:t>
      </w:r>
      <w:r>
        <w:rPr>
          <w:rFonts w:hint="eastAsia" w:ascii="仿宋_GB2312" w:hAnsi="Times New Roman" w:eastAsia="仿宋_GB2312" w:cs="Times New Roman"/>
          <w:color w:val="auto"/>
          <w:sz w:val="28"/>
          <w:szCs w:val="28"/>
          <w:lang w:val="en-US" w:eastAsia="zh-CN"/>
        </w:rPr>
        <w:t>响应财政过紧日子政策，各项活动缩减支出；同时学生活动更多注重公益性方向，收取学生的学费有所减少。</w:t>
      </w:r>
    </w:p>
    <w:p w14:paraId="130B5C01">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四、一般公共预算财政拨款支出决算情况说明</w:t>
      </w:r>
    </w:p>
    <w:p w14:paraId="19AD0839">
      <w:pPr>
        <w:autoSpaceDE w:val="0"/>
        <w:autoSpaceDN w:val="0"/>
        <w:adjustRightInd w:val="0"/>
        <w:spacing w:line="58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14:paraId="12F702A2">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2024年度一般公共预算财政拨款支出</w:t>
      </w:r>
      <w:r>
        <w:rPr>
          <w:rFonts w:ascii="仿宋_GB2312" w:eastAsia="仿宋_GB2312"/>
          <w:color w:val="auto"/>
          <w:sz w:val="28"/>
          <w:szCs w:val="28"/>
        </w:rPr>
        <w:t>1977.49</w:t>
      </w:r>
      <w:r>
        <w:rPr>
          <w:rFonts w:hint="eastAsia" w:ascii="仿宋_GB2312" w:eastAsia="仿宋_GB2312"/>
          <w:color w:val="auto"/>
          <w:sz w:val="28"/>
          <w:szCs w:val="28"/>
        </w:rPr>
        <w:t>万元，主要用于以下方面：一般公共服务支出</w:t>
      </w:r>
      <w:r>
        <w:rPr>
          <w:rFonts w:hint="eastAsia" w:ascii="仿宋_GB2312" w:eastAsia="仿宋_GB2312"/>
          <w:color w:val="auto"/>
          <w:sz w:val="28"/>
          <w:szCs w:val="28"/>
          <w:lang w:val="en-US" w:eastAsia="zh-CN"/>
        </w:rPr>
        <w:t>1977.49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100.00</w:t>
      </w:r>
      <w:r>
        <w:rPr>
          <w:rFonts w:hint="eastAsia" w:ascii="仿宋_GB2312" w:eastAsia="仿宋_GB2312"/>
          <w:color w:val="auto"/>
          <w:sz w:val="28"/>
          <w:szCs w:val="28"/>
        </w:rPr>
        <w:t>%。</w:t>
      </w:r>
    </w:p>
    <w:p w14:paraId="06788A62">
      <w:pPr>
        <w:autoSpaceDE w:val="0"/>
        <w:autoSpaceDN w:val="0"/>
        <w:adjustRightInd w:val="0"/>
        <w:spacing w:line="58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14:paraId="78116A47">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“一般公共服务支出”2024年</w:t>
      </w:r>
      <w:r>
        <w:rPr>
          <w:rFonts w:hint="eastAsia" w:ascii="仿宋_GB2312" w:eastAsia="仿宋_GB2312"/>
          <w:color w:val="auto"/>
          <w:sz w:val="28"/>
          <w:szCs w:val="28"/>
          <w:lang w:val="en-US" w:eastAsia="zh-CN"/>
        </w:rPr>
        <w:t>度年</w:t>
      </w:r>
      <w:r>
        <w:rPr>
          <w:rFonts w:hint="eastAsia" w:ascii="仿宋_GB2312" w:eastAsia="仿宋_GB2312"/>
          <w:color w:val="auto"/>
          <w:sz w:val="28"/>
          <w:szCs w:val="28"/>
        </w:rPr>
        <w:t>初预算</w:t>
      </w:r>
      <w:r>
        <w:rPr>
          <w:rFonts w:hint="eastAsia" w:ascii="仿宋_GB2312" w:eastAsia="仿宋_GB2312"/>
          <w:color w:val="auto"/>
          <w:sz w:val="28"/>
          <w:szCs w:val="28"/>
          <w:lang w:val="en-US" w:eastAsia="zh-CN"/>
        </w:rPr>
        <w:t>1765.49</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1977.49</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完成预算的112.01</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r>
        <w:rPr>
          <w:rFonts w:hint="eastAsia" w:ascii="仿宋_GB2312" w:eastAsia="仿宋_GB2312"/>
          <w:color w:val="auto"/>
          <w:sz w:val="28"/>
          <w:szCs w:val="28"/>
        </w:rPr>
        <w:t>：</w:t>
      </w:r>
    </w:p>
    <w:p w14:paraId="16B1C3FA">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highlight w:val="none"/>
        </w:rPr>
        <w:t>2024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1273.41</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1356.8</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万元，完成年初预算的</w:t>
      </w:r>
      <w:r>
        <w:rPr>
          <w:rFonts w:hint="eastAsia" w:ascii="仿宋_GB2312" w:eastAsia="仿宋_GB2312"/>
          <w:color w:val="auto"/>
          <w:sz w:val="28"/>
          <w:szCs w:val="28"/>
          <w:highlight w:val="none"/>
          <w:lang w:val="en-US" w:eastAsia="zh-CN"/>
        </w:rPr>
        <w:t>106.55</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是在职人员变动和职称变化；</w:t>
      </w:r>
    </w:p>
    <w:p w14:paraId="3048A594">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社会保障和就业支出</w:t>
      </w:r>
      <w:r>
        <w:rPr>
          <w:rFonts w:hint="eastAsia" w:ascii="仿宋_GB2312" w:eastAsia="仿宋_GB2312"/>
          <w:color w:val="auto"/>
          <w:sz w:val="28"/>
          <w:szCs w:val="28"/>
          <w:highlight w:val="none"/>
        </w:rPr>
        <w:t>20</w:t>
      </w:r>
      <w:r>
        <w:rPr>
          <w:rFonts w:hint="eastAsia" w:ascii="仿宋_GB2312" w:eastAsia="仿宋_GB2312"/>
          <w:color w:val="auto"/>
          <w:sz w:val="28"/>
          <w:szCs w:val="28"/>
        </w:rPr>
        <w:t>24年度年初预算</w:t>
      </w:r>
      <w:r>
        <w:rPr>
          <w:rFonts w:hint="eastAsia" w:ascii="仿宋_GB2312" w:eastAsia="仿宋_GB2312"/>
          <w:color w:val="auto"/>
          <w:sz w:val="28"/>
          <w:szCs w:val="28"/>
          <w:lang w:val="en-US" w:eastAsia="zh-CN"/>
        </w:rPr>
        <w:t>213.52</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266.07</w:t>
      </w:r>
      <w:r>
        <w:rPr>
          <w:rFonts w:hint="eastAsia" w:ascii="仿宋_GB2312" w:eastAsia="仿宋_GB2312"/>
          <w:color w:val="auto"/>
          <w:sz w:val="28"/>
          <w:szCs w:val="28"/>
        </w:rPr>
        <w:t>万元</w:t>
      </w:r>
      <w:r>
        <w:rPr>
          <w:rFonts w:hint="eastAsia" w:ascii="仿宋_GB2312" w:eastAsia="仿宋_GB2312"/>
          <w:color w:val="auto"/>
          <w:sz w:val="28"/>
          <w:szCs w:val="28"/>
          <w:highlight w:val="none"/>
        </w:rPr>
        <w:t>，完成年初预算的</w:t>
      </w:r>
      <w:r>
        <w:rPr>
          <w:rFonts w:hint="eastAsia" w:ascii="仿宋_GB2312" w:eastAsia="仿宋_GB2312"/>
          <w:color w:val="auto"/>
          <w:sz w:val="28"/>
          <w:szCs w:val="28"/>
          <w:highlight w:val="none"/>
          <w:lang w:val="en-US" w:eastAsia="zh-CN"/>
        </w:rPr>
        <w:t>124.61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是在职人员变动和职称变化；</w:t>
      </w:r>
    </w:p>
    <w:p w14:paraId="7CEBCF50">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卫生健康支出</w:t>
      </w:r>
      <w:r>
        <w:rPr>
          <w:rFonts w:hint="eastAsia" w:ascii="仿宋_GB2312" w:eastAsia="仿宋_GB2312"/>
          <w:color w:val="auto"/>
          <w:sz w:val="28"/>
          <w:szCs w:val="28"/>
          <w:highlight w:val="none"/>
        </w:rPr>
        <w:t>202</w:t>
      </w:r>
      <w:r>
        <w:rPr>
          <w:rFonts w:hint="eastAsia" w:ascii="仿宋_GB2312" w:eastAsia="仿宋_GB2312"/>
          <w:color w:val="auto"/>
          <w:sz w:val="28"/>
          <w:szCs w:val="28"/>
        </w:rPr>
        <w:t>4年</w:t>
      </w:r>
      <w:r>
        <w:rPr>
          <w:rFonts w:hint="eastAsia" w:ascii="仿宋_GB2312" w:eastAsia="仿宋_GB2312"/>
          <w:color w:val="auto"/>
          <w:sz w:val="28"/>
          <w:szCs w:val="28"/>
          <w:highlight w:val="none"/>
        </w:rPr>
        <w:t>度年初预算</w:t>
      </w:r>
      <w:r>
        <w:rPr>
          <w:rFonts w:hint="eastAsia" w:ascii="仿宋_GB2312" w:eastAsia="仿宋_GB2312"/>
          <w:color w:val="auto"/>
          <w:sz w:val="28"/>
          <w:szCs w:val="28"/>
          <w:highlight w:val="none"/>
          <w:lang w:val="en-US" w:eastAsia="zh-CN"/>
        </w:rPr>
        <w:t>90.20</w:t>
      </w:r>
      <w:r>
        <w:rPr>
          <w:rFonts w:hint="eastAsia" w:ascii="仿宋_GB2312" w:eastAsia="仿宋_GB2312"/>
          <w:color w:val="auto"/>
          <w:sz w:val="28"/>
          <w:szCs w:val="28"/>
          <w:highlight w:val="none"/>
        </w:rPr>
        <w:t>万元，2024年度决算</w:t>
      </w:r>
      <w:r>
        <w:rPr>
          <w:rFonts w:hint="eastAsia" w:ascii="仿宋_GB2312" w:eastAsia="仿宋_GB2312"/>
          <w:color w:val="auto"/>
          <w:sz w:val="28"/>
          <w:szCs w:val="28"/>
          <w:highlight w:val="none"/>
          <w:lang w:val="en-US" w:eastAsia="zh-CN"/>
        </w:rPr>
        <w:t>99.46</w:t>
      </w:r>
      <w:r>
        <w:rPr>
          <w:rFonts w:hint="eastAsia" w:ascii="仿宋_GB2312" w:eastAsia="仿宋_GB2312"/>
          <w:color w:val="auto"/>
          <w:sz w:val="28"/>
          <w:szCs w:val="28"/>
          <w:highlight w:val="none"/>
        </w:rPr>
        <w:t>万元，完成年初预算的</w:t>
      </w:r>
      <w:r>
        <w:rPr>
          <w:rFonts w:hint="eastAsia" w:ascii="仿宋_GB2312" w:eastAsia="仿宋_GB2312"/>
          <w:color w:val="auto"/>
          <w:sz w:val="28"/>
          <w:szCs w:val="28"/>
          <w:highlight w:val="none"/>
          <w:lang w:val="en-US" w:eastAsia="zh-CN"/>
        </w:rPr>
        <w:t>110.27</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是在职人员变动和职称变化；</w:t>
      </w:r>
    </w:p>
    <w:p w14:paraId="556F5B00">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住房保障支出</w:t>
      </w:r>
      <w:r>
        <w:rPr>
          <w:rFonts w:hint="eastAsia" w:ascii="仿宋_GB2312" w:eastAsia="仿宋_GB2312"/>
          <w:color w:val="auto"/>
          <w:sz w:val="28"/>
          <w:szCs w:val="28"/>
          <w:highlight w:val="none"/>
        </w:rPr>
        <w:t>2024年度年初预算</w:t>
      </w:r>
      <w:r>
        <w:rPr>
          <w:rFonts w:hint="eastAsia" w:ascii="仿宋_GB2312" w:eastAsia="仿宋_GB2312"/>
          <w:color w:val="auto"/>
          <w:sz w:val="28"/>
          <w:szCs w:val="28"/>
          <w:highlight w:val="none"/>
          <w:lang w:val="en-US" w:eastAsia="zh-CN"/>
        </w:rPr>
        <w:t>188.37</w:t>
      </w:r>
      <w:r>
        <w:rPr>
          <w:rFonts w:hint="eastAsia" w:ascii="仿宋_GB2312" w:eastAsia="仿宋_GB2312"/>
          <w:color w:val="auto"/>
          <w:sz w:val="28"/>
          <w:szCs w:val="28"/>
          <w:highlight w:val="none"/>
        </w:rPr>
        <w:t>万元，2024年度决算</w:t>
      </w:r>
      <w:r>
        <w:rPr>
          <w:rFonts w:hint="eastAsia" w:ascii="仿宋_GB2312" w:eastAsia="仿宋_GB2312"/>
          <w:color w:val="auto"/>
          <w:sz w:val="28"/>
          <w:szCs w:val="28"/>
          <w:highlight w:val="none"/>
          <w:lang w:val="en-US" w:eastAsia="zh-CN"/>
        </w:rPr>
        <w:t>206.52</w:t>
      </w:r>
      <w:r>
        <w:rPr>
          <w:rFonts w:hint="eastAsia" w:ascii="仿宋_GB2312" w:eastAsia="仿宋_GB2312"/>
          <w:color w:val="auto"/>
          <w:sz w:val="28"/>
          <w:szCs w:val="28"/>
          <w:highlight w:val="none"/>
        </w:rPr>
        <w:t>万元，完成年初预算的</w:t>
      </w:r>
      <w:r>
        <w:rPr>
          <w:rFonts w:hint="eastAsia" w:ascii="仿宋_GB2312" w:eastAsia="仿宋_GB2312"/>
          <w:color w:val="auto"/>
          <w:sz w:val="28"/>
          <w:szCs w:val="28"/>
          <w:highlight w:val="none"/>
          <w:lang w:val="en-US" w:eastAsia="zh-CN"/>
        </w:rPr>
        <w:t>109.64</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是在职人员变动和职称变化；</w:t>
      </w:r>
    </w:p>
    <w:p w14:paraId="4682EA30">
      <w:pPr>
        <w:autoSpaceDE w:val="0"/>
        <w:autoSpaceDN w:val="0"/>
        <w:adjustRightInd w:val="0"/>
        <w:spacing w:line="580" w:lineRule="exact"/>
        <w:ind w:firstLine="560" w:firstLineChars="200"/>
        <w:jc w:val="left"/>
        <w:rPr>
          <w:rFonts w:hint="eastAsia" w:ascii="仿宋_GB2312" w:eastAsia="仿宋_GB2312"/>
          <w:color w:val="auto"/>
          <w:sz w:val="28"/>
          <w:szCs w:val="28"/>
          <w:lang w:eastAsia="zh-CN"/>
        </w:rPr>
      </w:pPr>
      <w:r>
        <w:rPr>
          <w:rFonts w:hint="eastAsia" w:ascii="仿宋_GB2312" w:eastAsia="仿宋_GB2312"/>
          <w:color w:val="auto"/>
          <w:sz w:val="28"/>
          <w:szCs w:val="28"/>
          <w:highlight w:val="none"/>
          <w:lang w:eastAsia="zh-CN"/>
        </w:rPr>
        <w:t>科学技术支出</w:t>
      </w:r>
      <w:r>
        <w:rPr>
          <w:rFonts w:hint="eastAsia" w:ascii="仿宋_GB2312" w:eastAsia="仿宋_GB2312"/>
          <w:color w:val="auto"/>
          <w:sz w:val="28"/>
          <w:szCs w:val="28"/>
          <w:highlight w:val="none"/>
        </w:rPr>
        <w:t>2024年度年初预算</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万元，2024年度决算</w:t>
      </w:r>
      <w:r>
        <w:rPr>
          <w:rFonts w:hint="eastAsia" w:ascii="仿宋_GB2312" w:eastAsia="仿宋_GB2312"/>
          <w:color w:val="auto"/>
          <w:sz w:val="28"/>
          <w:szCs w:val="28"/>
          <w:highlight w:val="none"/>
          <w:lang w:val="en-US" w:eastAsia="zh-CN"/>
        </w:rPr>
        <w:t>48.60</w:t>
      </w:r>
      <w:r>
        <w:rPr>
          <w:rFonts w:hint="eastAsia" w:ascii="仿宋_GB2312" w:eastAsia="仿宋_GB2312"/>
          <w:color w:val="auto"/>
          <w:sz w:val="28"/>
          <w:szCs w:val="28"/>
          <w:highlight w:val="none"/>
        </w:rPr>
        <w:t>万元。主要原因</w:t>
      </w:r>
      <w:r>
        <w:rPr>
          <w:rFonts w:hint="eastAsia" w:ascii="仿宋_GB2312" w:eastAsia="仿宋_GB2312"/>
          <w:color w:val="auto"/>
          <w:sz w:val="28"/>
          <w:szCs w:val="28"/>
          <w:highlight w:val="none"/>
          <w:lang w:eastAsia="zh-CN"/>
        </w:rPr>
        <w:t>是</w:t>
      </w:r>
      <w:r>
        <w:rPr>
          <w:rFonts w:hint="eastAsia" w:ascii="仿宋_GB2312" w:eastAsia="仿宋_GB2312"/>
          <w:color w:val="auto"/>
          <w:sz w:val="28"/>
          <w:szCs w:val="28"/>
          <w:highlight w:val="none"/>
          <w:lang w:val="en-US" w:eastAsia="zh-CN"/>
        </w:rPr>
        <w:t>2024年</w:t>
      </w:r>
      <w:r>
        <w:rPr>
          <w:rFonts w:hint="eastAsia" w:ascii="仿宋_GB2312" w:eastAsia="仿宋_GB2312"/>
          <w:color w:val="auto"/>
          <w:sz w:val="28"/>
          <w:szCs w:val="28"/>
          <w:highlight w:val="none"/>
          <w:lang w:eastAsia="zh-CN"/>
        </w:rPr>
        <w:t>新</w:t>
      </w:r>
      <w:r>
        <w:rPr>
          <w:rFonts w:hint="eastAsia" w:ascii="仿宋_GB2312" w:eastAsia="仿宋_GB2312"/>
          <w:color w:val="auto"/>
          <w:sz w:val="28"/>
          <w:szCs w:val="28"/>
          <w:highlight w:val="none"/>
          <w:lang w:eastAsia="zh-CN"/>
        </w:rPr>
        <w:t>增科技专项一项。</w:t>
      </w:r>
    </w:p>
    <w:p w14:paraId="290616E6">
      <w:pPr>
        <w:spacing w:line="580" w:lineRule="exact"/>
        <w:ind w:firstLine="560" w:firstLineChars="200"/>
        <w:rPr>
          <w:rFonts w:ascii="仿宋_GB2312" w:eastAsia="仿宋_GB2312"/>
          <w:color w:val="auto"/>
          <w:sz w:val="28"/>
          <w:szCs w:val="28"/>
        </w:rPr>
      </w:pPr>
      <w:r>
        <w:rPr>
          <w:rFonts w:hint="eastAsia" w:ascii="黑体" w:eastAsia="黑体"/>
          <w:b/>
          <w:color w:val="auto"/>
          <w:sz w:val="28"/>
          <w:szCs w:val="28"/>
        </w:rPr>
        <w:t>五、政府性基金预算财政拨款支出决算情况说明</w:t>
      </w:r>
    </w:p>
    <w:p w14:paraId="55052D62">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2024年度政府性基金预算财政拨款支出</w:t>
      </w:r>
      <w:r>
        <w:rPr>
          <w:rFonts w:ascii="仿宋_GB2312" w:eastAsia="仿宋_GB2312"/>
          <w:color w:val="auto"/>
          <w:sz w:val="28"/>
          <w:szCs w:val="28"/>
        </w:rPr>
        <w:t>0</w:t>
      </w:r>
      <w:r>
        <w:rPr>
          <w:rFonts w:hint="eastAsia" w:ascii="仿宋_GB2312" w:eastAsia="仿宋_GB2312"/>
          <w:color w:val="auto"/>
          <w:sz w:val="28"/>
          <w:szCs w:val="28"/>
        </w:rPr>
        <w:t>万元。</w:t>
      </w:r>
    </w:p>
    <w:p w14:paraId="36395BDF">
      <w:pPr>
        <w:spacing w:line="580" w:lineRule="exact"/>
        <w:ind w:firstLine="560" w:firstLineChars="200"/>
        <w:rPr>
          <w:rFonts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14:paraId="6911165A">
      <w:pPr>
        <w:ind w:firstLine="537" w:firstLineChars="192"/>
        <w:rPr>
          <w:rFonts w:ascii="仿宋_GB2312" w:eastAsia="仿宋_GB2312"/>
          <w:color w:val="auto"/>
          <w:sz w:val="28"/>
          <w:szCs w:val="28"/>
        </w:rPr>
      </w:pPr>
      <w:r>
        <w:rPr>
          <w:rFonts w:hint="eastAsia" w:ascii="仿宋_GB2312" w:eastAsia="仿宋_GB2312"/>
          <w:color w:val="auto"/>
          <w:sz w:val="28"/>
          <w:szCs w:val="28"/>
        </w:rPr>
        <w:t>2024年度国有资本经营预算财政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14:paraId="11A860CE">
      <w:pPr>
        <w:spacing w:line="580" w:lineRule="exact"/>
        <w:ind w:firstLine="548" w:firstLineChars="196"/>
        <w:rPr>
          <w:rFonts w:ascii="黑体" w:eastAsia="黑体"/>
          <w:color w:val="auto"/>
          <w:sz w:val="28"/>
          <w:szCs w:val="28"/>
        </w:rPr>
      </w:pPr>
      <w:r>
        <w:rPr>
          <w:rFonts w:hint="eastAsia" w:ascii="黑体" w:eastAsia="黑体"/>
          <w:b/>
          <w:color w:val="auto"/>
          <w:sz w:val="28"/>
          <w:szCs w:val="28"/>
        </w:rPr>
        <w:t>七、财政拨款基本支出决算情况说明</w:t>
      </w:r>
    </w:p>
    <w:p w14:paraId="720C1FEE">
      <w:pPr>
        <w:tabs>
          <w:tab w:val="center" w:pos="6979"/>
        </w:tabs>
        <w:spacing w:line="580" w:lineRule="exact"/>
        <w:ind w:firstLine="548" w:firstLineChars="196"/>
        <w:rPr>
          <w:rFonts w:ascii="黑体" w:eastAsia="黑体"/>
          <w:b/>
          <w:color w:val="auto"/>
          <w:sz w:val="28"/>
          <w:szCs w:val="28"/>
        </w:rPr>
      </w:pPr>
      <w:r>
        <w:rPr>
          <w:rFonts w:hint="eastAsia" w:ascii="仿宋_GB2312" w:eastAsia="仿宋_GB2312"/>
          <w:color w:val="auto"/>
          <w:sz w:val="28"/>
          <w:szCs w:val="28"/>
        </w:rPr>
        <w:t>2024年度使用一般公共预算财政拨款安排基本支出出</w:t>
      </w:r>
      <w:r>
        <w:rPr>
          <w:rFonts w:ascii="仿宋_GB2312" w:eastAsia="仿宋_GB2312"/>
          <w:color w:val="auto"/>
          <w:sz w:val="28"/>
          <w:szCs w:val="28"/>
        </w:rPr>
        <w:t>1535.11</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包括</w:t>
      </w:r>
      <w:r>
        <w:rPr>
          <w:rFonts w:hint="eastAsia" w:ascii="仿宋_GB2312" w:eastAsia="仿宋_GB2312"/>
          <w:color w:val="auto"/>
          <w:sz w:val="28"/>
          <w:szCs w:val="28"/>
        </w:rPr>
        <w:t>：（1）工资福利支出包括基本工资</w:t>
      </w:r>
      <w:r>
        <w:rPr>
          <w:rFonts w:ascii="仿宋_GB2312" w:eastAsia="仿宋_GB2312"/>
          <w:color w:val="auto"/>
          <w:sz w:val="28"/>
          <w:szCs w:val="28"/>
        </w:rPr>
        <w:t>、津贴补贴、奖金、伙食补助费、绩效工资、</w:t>
      </w:r>
      <w:r>
        <w:rPr>
          <w:rFonts w:hint="eastAsia" w:ascii="仿宋_GB2312" w:eastAsia="仿宋_GB2312"/>
          <w:color w:val="auto"/>
          <w:sz w:val="28"/>
          <w:szCs w:val="28"/>
        </w:rPr>
        <w:t>其他</w:t>
      </w:r>
      <w:r>
        <w:rPr>
          <w:rFonts w:ascii="仿宋_GB2312" w:eastAsia="仿宋_GB2312"/>
          <w:color w:val="auto"/>
          <w:sz w:val="28"/>
          <w:szCs w:val="28"/>
        </w:rPr>
        <w:t>社会保障缴费、其他工资福利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；（2）商品和服务支出包括</w:t>
      </w:r>
      <w:r>
        <w:rPr>
          <w:rFonts w:ascii="仿宋_GB2312" w:eastAsia="仿宋_GB2312"/>
          <w:color w:val="auto"/>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离休费、退休费、抚恤金、生活补助、</w:t>
      </w:r>
      <w:r>
        <w:rPr>
          <w:rFonts w:hint="eastAsia" w:ascii="仿宋_GB2312" w:eastAsia="仿宋_GB2312"/>
          <w:color w:val="auto"/>
          <w:sz w:val="28"/>
          <w:szCs w:val="28"/>
        </w:rPr>
        <w:t>救济费</w:t>
      </w:r>
      <w:r>
        <w:rPr>
          <w:rFonts w:ascii="仿宋_GB2312" w:eastAsia="仿宋_GB2312"/>
          <w:color w:val="auto"/>
          <w:sz w:val="28"/>
          <w:szCs w:val="28"/>
        </w:rPr>
        <w:t>、医疗费</w:t>
      </w:r>
      <w:r>
        <w:rPr>
          <w:rFonts w:hint="eastAsia" w:ascii="仿宋_GB2312" w:eastAsia="仿宋_GB2312"/>
          <w:color w:val="auto"/>
          <w:sz w:val="28"/>
          <w:szCs w:val="28"/>
        </w:rPr>
        <w:t>补助</w:t>
      </w:r>
      <w:r>
        <w:rPr>
          <w:rFonts w:ascii="仿宋_GB2312" w:eastAsia="仿宋_GB2312"/>
          <w:color w:val="auto"/>
          <w:sz w:val="28"/>
          <w:szCs w:val="28"/>
        </w:rPr>
        <w:t>、助学金、奖励金</w:t>
      </w:r>
      <w:r>
        <w:rPr>
          <w:rFonts w:hint="eastAsia" w:ascii="仿宋_GB2312" w:eastAsia="仿宋_GB2312"/>
          <w:color w:val="auto"/>
          <w:sz w:val="28"/>
          <w:szCs w:val="28"/>
        </w:rPr>
        <w:t>、</w:t>
      </w:r>
      <w:r>
        <w:rPr>
          <w:rFonts w:ascii="仿宋_GB2312" w:eastAsia="仿宋_GB2312"/>
          <w:color w:val="auto"/>
          <w:sz w:val="28"/>
          <w:szCs w:val="28"/>
        </w:rPr>
        <w:t>其他对个人和家庭的补助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。（4）其他资本性支出包括</w:t>
      </w:r>
      <w:r>
        <w:rPr>
          <w:rFonts w:ascii="仿宋_GB2312" w:eastAsia="仿宋_GB2312"/>
          <w:color w:val="auto"/>
          <w:sz w:val="28"/>
          <w:szCs w:val="28"/>
        </w:rPr>
        <w:t>办公设备购置、专用设备购置</w:t>
      </w:r>
      <w:r>
        <w:rPr>
          <w:rFonts w:hint="eastAsia" w:ascii="仿宋_GB2312" w:eastAsia="仿宋_GB2312"/>
          <w:color w:val="auto"/>
          <w:sz w:val="28"/>
          <w:szCs w:val="28"/>
        </w:rPr>
        <w:t>等</w:t>
      </w:r>
      <w:r>
        <w:rPr>
          <w:rFonts w:ascii="仿宋_GB2312" w:eastAsia="仿宋_GB2312"/>
          <w:color w:val="auto"/>
          <w:sz w:val="28"/>
          <w:szCs w:val="28"/>
        </w:rPr>
        <w:t>。</w:t>
      </w:r>
    </w:p>
    <w:p w14:paraId="1DC7ED71">
      <w:pPr>
        <w:autoSpaceDE w:val="0"/>
        <w:autoSpaceDN w:val="0"/>
        <w:adjustRightInd w:val="0"/>
        <w:spacing w:line="580" w:lineRule="exact"/>
        <w:jc w:val="center"/>
        <w:rPr>
          <w:rFonts w:ascii="宋体" w:hAnsi="宋体" w:cs="宋体"/>
          <w:b/>
          <w:color w:val="auto"/>
          <w:spacing w:val="40"/>
          <w:kern w:val="0"/>
          <w:sz w:val="32"/>
          <w:szCs w:val="32"/>
        </w:rPr>
      </w:pPr>
      <w:r>
        <w:rPr>
          <w:rFonts w:ascii="仿宋_GB2312" w:eastAsia="仿宋_GB2312"/>
          <w:color w:val="auto"/>
          <w:sz w:val="28"/>
          <w:szCs w:val="28"/>
        </w:rPr>
        <w:br w:type="page"/>
      </w:r>
      <w:r>
        <w:rPr>
          <w:rFonts w:hint="eastAsia" w:ascii="宋体" w:hAnsi="宋体" w:cs="宋体"/>
          <w:b/>
          <w:bCs/>
          <w:color w:val="auto"/>
          <w:spacing w:val="40"/>
          <w:kern w:val="0"/>
          <w:sz w:val="32"/>
          <w:szCs w:val="32"/>
        </w:rPr>
        <w:t>第三部分</w:t>
      </w:r>
      <w:r>
        <w:rPr>
          <w:rFonts w:hint="eastAsia" w:ascii="宋体" w:hAnsi="宋体"/>
          <w:b/>
          <w:color w:val="auto"/>
          <w:spacing w:val="40"/>
          <w:sz w:val="32"/>
          <w:szCs w:val="32"/>
        </w:rPr>
        <w:t>2024年度</w:t>
      </w:r>
      <w:r>
        <w:rPr>
          <w:rFonts w:hint="eastAsia" w:ascii="宋体" w:hAnsi="宋体" w:cs="宋体"/>
          <w:b/>
          <w:color w:val="auto"/>
          <w:spacing w:val="40"/>
          <w:kern w:val="0"/>
          <w:sz w:val="32"/>
          <w:szCs w:val="32"/>
        </w:rPr>
        <w:t>其他重要事项的情况说明</w:t>
      </w:r>
    </w:p>
    <w:p w14:paraId="6C0D14AB">
      <w:pPr>
        <w:spacing w:line="560" w:lineRule="exact"/>
        <w:ind w:firstLine="560" w:firstLineChars="200"/>
        <w:rPr>
          <w:rFonts w:ascii="黑体" w:eastAsia="黑体"/>
          <w:color w:val="auto"/>
          <w:sz w:val="28"/>
          <w:szCs w:val="28"/>
        </w:rPr>
      </w:pPr>
      <w:r>
        <w:rPr>
          <w:rFonts w:hint="eastAsia" w:ascii="黑体" w:eastAsia="黑体"/>
          <w:color w:val="auto"/>
          <w:sz w:val="28"/>
          <w:szCs w:val="28"/>
        </w:rPr>
        <w:t>一、“三公”经费财政拨款决算情况</w:t>
      </w:r>
    </w:p>
    <w:p w14:paraId="55DF22D7">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本部门2024年度“三公”经费财政拨款决算数</w:t>
      </w:r>
      <w:r>
        <w:rPr>
          <w:rFonts w:ascii="仿宋_GB2312" w:eastAsia="仿宋_GB2312"/>
          <w:color w:val="auto"/>
          <w:sz w:val="28"/>
          <w:szCs w:val="28"/>
        </w:rPr>
        <w:t>0.65</w:t>
      </w:r>
      <w:r>
        <w:rPr>
          <w:rFonts w:hint="eastAsia" w:ascii="仿宋_GB2312" w:eastAsia="仿宋_GB2312"/>
          <w:color w:val="auto"/>
          <w:sz w:val="28"/>
          <w:szCs w:val="28"/>
        </w:rPr>
        <w:t>万元，比2024年度“三公”经费财政拨款年初预算</w:t>
      </w:r>
      <w:r>
        <w:rPr>
          <w:rFonts w:ascii="仿宋_GB2312" w:eastAsia="仿宋_GB2312"/>
          <w:color w:val="auto"/>
          <w:sz w:val="28"/>
          <w:szCs w:val="28"/>
        </w:rPr>
        <w:t>2.7</w:t>
      </w:r>
      <w:r>
        <w:rPr>
          <w:rFonts w:hint="eastAsia" w:ascii="仿宋_GB2312" w:eastAsia="仿宋_GB2312"/>
          <w:color w:val="auto"/>
          <w:sz w:val="28"/>
          <w:szCs w:val="28"/>
        </w:rPr>
        <w:t>万元减少</w:t>
      </w:r>
      <w:r>
        <w:rPr>
          <w:rFonts w:ascii="仿宋_GB2312" w:eastAsia="仿宋_GB2312"/>
          <w:color w:val="auto"/>
          <w:sz w:val="28"/>
          <w:szCs w:val="28"/>
        </w:rPr>
        <w:t>2.05</w:t>
      </w:r>
      <w:r>
        <w:rPr>
          <w:rFonts w:hint="eastAsia" w:ascii="仿宋_GB2312" w:eastAsia="仿宋_GB2312"/>
          <w:color w:val="auto"/>
          <w:sz w:val="28"/>
          <w:szCs w:val="28"/>
        </w:rPr>
        <w:t>万元。其中：</w:t>
      </w:r>
    </w:p>
    <w:p w14:paraId="5E582D8C">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1.因公出国（境）费用。2024年度决算数</w:t>
      </w:r>
      <w:r>
        <w:rPr>
          <w:rFonts w:ascii="仿宋_GB2312" w:eastAsia="仿宋_GB2312"/>
          <w:color w:val="auto"/>
          <w:sz w:val="28"/>
          <w:szCs w:val="28"/>
        </w:rPr>
        <w:t>0</w:t>
      </w:r>
      <w:r>
        <w:rPr>
          <w:rFonts w:hint="eastAsia" w:ascii="仿宋_GB2312" w:eastAsia="仿宋_GB2312"/>
          <w:color w:val="auto"/>
          <w:sz w:val="28"/>
          <w:szCs w:val="28"/>
        </w:rPr>
        <w:t>万元，年初预算数</w:t>
      </w:r>
      <w:r>
        <w:rPr>
          <w:rFonts w:ascii="仿宋_GB2312" w:eastAsia="仿宋_GB2312"/>
          <w:color w:val="auto"/>
          <w:sz w:val="28"/>
          <w:szCs w:val="28"/>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p>
    <w:p w14:paraId="3100F5A2">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2.公务接待费。2024年度决算数</w:t>
      </w:r>
      <w:r>
        <w:rPr>
          <w:rFonts w:ascii="仿宋_GB2312" w:eastAsia="仿宋_GB2312"/>
          <w:color w:val="auto"/>
          <w:sz w:val="28"/>
          <w:szCs w:val="28"/>
        </w:rPr>
        <w:t>0</w:t>
      </w:r>
      <w:r>
        <w:rPr>
          <w:rFonts w:hint="eastAsia" w:ascii="仿宋_GB2312" w:eastAsia="仿宋_GB2312"/>
          <w:color w:val="auto"/>
          <w:sz w:val="28"/>
          <w:szCs w:val="28"/>
        </w:rPr>
        <w:t>万元，年初预算数</w:t>
      </w:r>
      <w:r>
        <w:rPr>
          <w:rFonts w:ascii="仿宋_GB2312" w:eastAsia="仿宋_GB2312"/>
          <w:color w:val="auto"/>
          <w:sz w:val="28"/>
          <w:szCs w:val="28"/>
        </w:rPr>
        <w:t>0</w:t>
      </w:r>
      <w:r>
        <w:rPr>
          <w:rFonts w:hint="eastAsia" w:ascii="仿宋_GB2312" w:eastAsia="仿宋_GB2312"/>
          <w:color w:val="auto"/>
          <w:sz w:val="28"/>
          <w:szCs w:val="28"/>
        </w:rPr>
        <w:t>万元。公务接待0批次，公务接待0人次。</w:t>
      </w:r>
    </w:p>
    <w:p w14:paraId="2EFC7E2B">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3.公务用车购置及运行维护费。2024年度决算数</w:t>
      </w:r>
      <w:r>
        <w:rPr>
          <w:rFonts w:ascii="仿宋_GB2312" w:eastAsia="仿宋_GB2312"/>
          <w:color w:val="auto"/>
          <w:sz w:val="28"/>
          <w:szCs w:val="28"/>
        </w:rPr>
        <w:t>0.65</w:t>
      </w:r>
      <w:r>
        <w:rPr>
          <w:rFonts w:hint="eastAsia" w:ascii="仿宋_GB2312" w:eastAsia="仿宋_GB2312"/>
          <w:color w:val="auto"/>
          <w:sz w:val="28"/>
          <w:szCs w:val="28"/>
        </w:rPr>
        <w:t>万元，比2024年度年初预算数</w:t>
      </w:r>
      <w:r>
        <w:rPr>
          <w:rFonts w:ascii="仿宋_GB2312" w:eastAsia="仿宋_GB2312"/>
          <w:color w:val="auto"/>
          <w:sz w:val="28"/>
          <w:szCs w:val="28"/>
        </w:rPr>
        <w:t>2.7</w:t>
      </w:r>
      <w:r>
        <w:rPr>
          <w:rFonts w:hint="eastAsia" w:ascii="仿宋_GB2312" w:eastAsia="仿宋_GB2312"/>
          <w:color w:val="auto"/>
          <w:sz w:val="28"/>
          <w:szCs w:val="28"/>
        </w:rPr>
        <w:t>万元减少</w:t>
      </w:r>
      <w:r>
        <w:rPr>
          <w:rFonts w:ascii="仿宋_GB2312" w:eastAsia="仿宋_GB2312"/>
          <w:color w:val="auto"/>
          <w:sz w:val="28"/>
          <w:szCs w:val="28"/>
        </w:rPr>
        <w:t>2.05</w:t>
      </w:r>
      <w:r>
        <w:rPr>
          <w:rFonts w:hint="eastAsia" w:ascii="仿宋_GB2312" w:eastAsia="仿宋_GB2312"/>
          <w:color w:val="auto"/>
          <w:sz w:val="28"/>
          <w:szCs w:val="28"/>
        </w:rPr>
        <w:t>万元。其中，公务用车购置费2024年度决算数0万元，年初预算数0万元。2024年度购置（更新）0辆，车均购置费</w:t>
      </w:r>
      <w:r>
        <w:rPr>
          <w:rFonts w:ascii="仿宋_GB2312" w:eastAsia="仿宋_GB2312"/>
          <w:color w:val="auto"/>
          <w:sz w:val="28"/>
          <w:szCs w:val="28"/>
        </w:rPr>
        <w:t>0</w:t>
      </w:r>
      <w:r>
        <w:rPr>
          <w:rFonts w:hint="eastAsia" w:ascii="仿宋_GB2312" w:eastAsia="仿宋_GB2312"/>
          <w:color w:val="auto"/>
          <w:sz w:val="28"/>
          <w:szCs w:val="28"/>
        </w:rPr>
        <w:t>万元。公务用车运行维护费2024年度决算数0.65万元，比2024年度年初预算数2.7万元减少</w:t>
      </w:r>
      <w:r>
        <w:rPr>
          <w:rFonts w:ascii="仿宋_GB2312" w:eastAsia="仿宋_GB2312"/>
          <w:color w:val="auto"/>
          <w:sz w:val="28"/>
          <w:szCs w:val="28"/>
        </w:rPr>
        <w:t>2.05</w:t>
      </w:r>
      <w:r>
        <w:rPr>
          <w:rFonts w:hint="eastAsia" w:ascii="仿宋_GB2312" w:eastAsia="仿宋_GB2312"/>
          <w:color w:val="auto"/>
          <w:sz w:val="28"/>
          <w:szCs w:val="28"/>
        </w:rPr>
        <w:t>万元，主要原因是按照三公经费逐年递减的要求，进一步落实中央、北京市的有关厉行节约、压缩财政成本等规定，把勤俭节约落实到实处</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年度公务用车运行维护支出</w:t>
      </w:r>
      <w:r>
        <w:rPr>
          <w:rFonts w:hint="eastAsia" w:ascii="仿宋_GB2312" w:eastAsia="仿宋_GB2312"/>
          <w:color w:val="auto"/>
          <w:sz w:val="28"/>
          <w:szCs w:val="28"/>
          <w:lang w:eastAsia="zh-CN"/>
        </w:rPr>
        <w:t>仅含必要的</w:t>
      </w:r>
      <w:r>
        <w:rPr>
          <w:rFonts w:hint="eastAsia" w:ascii="仿宋_GB2312" w:eastAsia="仿宋_GB2312"/>
          <w:color w:val="auto"/>
          <w:sz w:val="28"/>
          <w:szCs w:val="28"/>
        </w:rPr>
        <w:t>燃料费、维修费、保险费</w:t>
      </w:r>
      <w:r>
        <w:rPr>
          <w:rFonts w:hint="eastAsia" w:ascii="仿宋_GB2312" w:eastAsia="仿宋_GB2312"/>
          <w:color w:val="auto"/>
          <w:sz w:val="28"/>
          <w:szCs w:val="28"/>
          <w:lang w:eastAsia="zh-CN"/>
        </w:rPr>
        <w:t>等</w:t>
      </w:r>
      <w:r>
        <w:rPr>
          <w:rFonts w:hint="eastAsia" w:ascii="仿宋_GB2312" w:eastAsia="仿宋_GB2312"/>
          <w:color w:val="auto"/>
          <w:sz w:val="28"/>
          <w:szCs w:val="28"/>
        </w:rPr>
        <w:t>。</w:t>
      </w:r>
    </w:p>
    <w:p w14:paraId="7E329859">
      <w:pPr>
        <w:tabs>
          <w:tab w:val="center" w:pos="6979"/>
        </w:tabs>
        <w:ind w:firstLine="554" w:firstLineChars="198"/>
        <w:rPr>
          <w:rFonts w:ascii="黑体" w:eastAsia="黑体"/>
          <w:color w:val="auto"/>
          <w:sz w:val="28"/>
          <w:szCs w:val="28"/>
        </w:rPr>
      </w:pPr>
      <w:r>
        <w:rPr>
          <w:rFonts w:hint="eastAsia" w:ascii="黑体" w:eastAsia="黑体"/>
          <w:color w:val="auto"/>
          <w:sz w:val="28"/>
          <w:szCs w:val="28"/>
        </w:rPr>
        <w:t>二、机关运行经费支出情况</w:t>
      </w:r>
    </w:p>
    <w:p w14:paraId="462AC2D9">
      <w:pPr>
        <w:ind w:firstLine="537" w:firstLineChars="192"/>
        <w:rPr>
          <w:rFonts w:ascii="仿宋_GB2312" w:eastAsia="仿宋_GB2312"/>
          <w:color w:val="auto"/>
          <w:sz w:val="28"/>
          <w:szCs w:val="28"/>
        </w:rPr>
      </w:pPr>
      <w:r>
        <w:rPr>
          <w:rFonts w:hint="eastAsia" w:ascii="仿宋_GB2312" w:eastAsia="仿宋_GB2312"/>
          <w:color w:val="auto"/>
          <w:sz w:val="28"/>
          <w:szCs w:val="28"/>
          <w:lang w:eastAsia="zh-CN"/>
        </w:rPr>
        <w:t>本单位不属于机关运行经费统计范围。</w:t>
      </w:r>
    </w:p>
    <w:p w14:paraId="2AC1ED44">
      <w:pPr>
        <w:ind w:left="540"/>
        <w:rPr>
          <w:rFonts w:ascii="黑体" w:eastAsia="黑体"/>
          <w:color w:val="auto"/>
          <w:sz w:val="28"/>
          <w:szCs w:val="28"/>
        </w:rPr>
      </w:pPr>
      <w:r>
        <w:rPr>
          <w:rFonts w:hint="eastAsia" w:ascii="黑体" w:eastAsia="黑体"/>
          <w:color w:val="auto"/>
          <w:sz w:val="28"/>
          <w:szCs w:val="28"/>
        </w:rPr>
        <w:t>三、政府采购支出情况</w:t>
      </w:r>
    </w:p>
    <w:p w14:paraId="2EF1DE64">
      <w:pPr>
        <w:ind w:firstLine="560" w:firstLineChars="200"/>
        <w:rPr>
          <w:rFonts w:ascii="仿宋_GB2312" w:eastAsia="仿宋_GB2312"/>
          <w:color w:val="auto"/>
          <w:sz w:val="28"/>
          <w:szCs w:val="28"/>
          <w:highlight w:val="yellow"/>
        </w:rPr>
      </w:pPr>
      <w:r>
        <w:rPr>
          <w:rFonts w:hint="eastAsia" w:ascii="仿宋_GB2312" w:eastAsia="仿宋_GB2312"/>
          <w:color w:val="auto"/>
          <w:sz w:val="28"/>
          <w:szCs w:val="28"/>
        </w:rPr>
        <w:t>2024年度政府采购支出总额</w:t>
      </w:r>
      <w:r>
        <w:rPr>
          <w:rFonts w:ascii="仿宋_GB2312" w:eastAsia="仿宋_GB2312"/>
          <w:color w:val="auto"/>
          <w:sz w:val="28"/>
          <w:szCs w:val="28"/>
        </w:rPr>
        <w:t>17.83</w:t>
      </w:r>
      <w:r>
        <w:rPr>
          <w:rFonts w:hint="eastAsia" w:ascii="仿宋_GB2312" w:eastAsia="仿宋_GB2312"/>
          <w:color w:val="auto"/>
          <w:sz w:val="28"/>
          <w:szCs w:val="28"/>
        </w:rPr>
        <w:t>万元，其中：政府采购货物支出</w:t>
      </w:r>
      <w:r>
        <w:rPr>
          <w:rFonts w:ascii="仿宋_GB2312" w:eastAsia="仿宋_GB2312"/>
          <w:color w:val="auto"/>
          <w:sz w:val="28"/>
          <w:szCs w:val="28"/>
        </w:rPr>
        <w:t>0</w:t>
      </w:r>
      <w:r>
        <w:rPr>
          <w:rFonts w:hint="eastAsia" w:ascii="仿宋_GB2312" w:eastAsia="仿宋_GB2312"/>
          <w:color w:val="auto"/>
          <w:sz w:val="28"/>
          <w:szCs w:val="28"/>
        </w:rPr>
        <w:t>万元，政府采购工程支出</w:t>
      </w:r>
      <w:r>
        <w:rPr>
          <w:rFonts w:ascii="仿宋_GB2312" w:eastAsia="仿宋_GB2312"/>
          <w:color w:val="auto"/>
          <w:sz w:val="28"/>
          <w:szCs w:val="28"/>
        </w:rPr>
        <w:t>0</w:t>
      </w:r>
      <w:r>
        <w:rPr>
          <w:rFonts w:hint="eastAsia" w:ascii="仿宋_GB2312" w:eastAsia="仿宋_GB2312"/>
          <w:color w:val="auto"/>
          <w:sz w:val="28"/>
          <w:szCs w:val="28"/>
        </w:rPr>
        <w:t>万元，政府采购服务支出</w:t>
      </w:r>
      <w:r>
        <w:rPr>
          <w:rFonts w:ascii="仿宋_GB2312" w:eastAsia="仿宋_GB2312"/>
          <w:color w:val="auto"/>
          <w:sz w:val="28"/>
          <w:szCs w:val="28"/>
        </w:rPr>
        <w:t>17.83</w:t>
      </w:r>
      <w:r>
        <w:rPr>
          <w:rFonts w:hint="eastAsia" w:ascii="仿宋_GB2312" w:eastAsia="仿宋_GB2312"/>
          <w:color w:val="auto"/>
          <w:sz w:val="28"/>
          <w:szCs w:val="28"/>
        </w:rPr>
        <w:t>万元。授予中小企业合同金额</w:t>
      </w:r>
      <w:r>
        <w:rPr>
          <w:rFonts w:ascii="仿宋_GB2312" w:eastAsia="仿宋_GB2312"/>
          <w:color w:val="auto"/>
          <w:sz w:val="28"/>
          <w:szCs w:val="28"/>
        </w:rPr>
        <w:t>17.72</w:t>
      </w:r>
      <w:r>
        <w:rPr>
          <w:rFonts w:hint="eastAsia" w:ascii="仿宋_GB2312" w:eastAsia="仿宋_GB2312"/>
          <w:color w:val="auto"/>
          <w:sz w:val="28"/>
          <w:szCs w:val="28"/>
        </w:rPr>
        <w:t>万元，占政府采购支出总额的99.39%，其中：授予小微企业合同金额17.72万元，占政府采购支出总额的</w:t>
      </w:r>
      <w:r>
        <w:rPr>
          <w:rFonts w:ascii="仿宋_GB2312" w:eastAsia="仿宋_GB2312"/>
          <w:color w:val="auto"/>
          <w:sz w:val="28"/>
          <w:szCs w:val="28"/>
        </w:rPr>
        <w:t>99.39</w:t>
      </w:r>
      <w:r>
        <w:rPr>
          <w:rFonts w:hint="eastAsia" w:ascii="仿宋_GB2312" w:eastAsia="仿宋_GB2312"/>
          <w:color w:val="auto"/>
          <w:sz w:val="28"/>
          <w:szCs w:val="28"/>
        </w:rPr>
        <w:t>%。</w:t>
      </w:r>
    </w:p>
    <w:p w14:paraId="6245DB93">
      <w:pPr>
        <w:ind w:firstLine="560" w:firstLineChars="200"/>
        <w:rPr>
          <w:rFonts w:ascii="黑体" w:eastAsia="黑体"/>
          <w:color w:val="auto"/>
          <w:sz w:val="28"/>
          <w:szCs w:val="28"/>
          <w:highlight w:val="yellow"/>
        </w:rPr>
      </w:pPr>
      <w:r>
        <w:rPr>
          <w:rFonts w:hint="eastAsia" w:ascii="黑体" w:eastAsia="黑体"/>
          <w:color w:val="auto"/>
          <w:sz w:val="28"/>
          <w:szCs w:val="28"/>
        </w:rPr>
        <w:t>四、国有资产占用情况</w:t>
      </w:r>
    </w:p>
    <w:p w14:paraId="0E5C27BB">
      <w:pPr>
        <w:ind w:firstLine="560" w:firstLineChars="200"/>
        <w:rPr>
          <w:rFonts w:ascii="仿宋_GB2312" w:eastAsia="仿宋_GB2312"/>
          <w:color w:val="auto"/>
          <w:sz w:val="32"/>
          <w:szCs w:val="32"/>
          <w:highlight w:val="none"/>
        </w:rPr>
      </w:pPr>
      <w:r>
        <w:rPr>
          <w:rFonts w:hint="eastAsia" w:ascii="仿宋_GB2312" w:eastAsia="仿宋_GB2312"/>
          <w:color w:val="auto"/>
          <w:sz w:val="28"/>
          <w:szCs w:val="28"/>
          <w:lang w:eastAsia="zh-CN"/>
        </w:rPr>
        <w:t>截止截至</w:t>
      </w:r>
      <w:r>
        <w:rPr>
          <w:rFonts w:hint="eastAsia" w:ascii="仿宋_GB2312" w:eastAsia="仿宋_GB2312"/>
          <w:color w:val="auto"/>
          <w:sz w:val="28"/>
          <w:szCs w:val="28"/>
          <w:lang w:val="en-US" w:eastAsia="zh-CN"/>
        </w:rPr>
        <w:t>12月31日，北京市宣武青少年科学技术馆</w:t>
      </w:r>
      <w:r>
        <w:rPr>
          <w:rFonts w:hint="eastAsia" w:ascii="仿宋_GB2312" w:eastAsia="仿宋_GB2312"/>
          <w:color w:val="auto"/>
          <w:sz w:val="28"/>
          <w:szCs w:val="28"/>
          <w:lang w:eastAsia="zh-CN"/>
        </w:rPr>
        <w:t>共有</w:t>
      </w:r>
      <w:r>
        <w:rPr>
          <w:rFonts w:hint="eastAsia" w:ascii="仿宋_GB2312" w:eastAsia="仿宋_GB2312"/>
          <w:color w:val="auto"/>
          <w:sz w:val="28"/>
          <w:szCs w:val="28"/>
        </w:rPr>
        <w:t>车辆</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台；单位价值100万元</w:t>
      </w:r>
      <w:r>
        <w:rPr>
          <w:rFonts w:hint="eastAsia" w:ascii="仿宋_GB2312" w:eastAsia="仿宋_GB2312"/>
          <w:color w:val="auto"/>
          <w:sz w:val="28"/>
          <w:szCs w:val="28"/>
          <w:lang w:eastAsia="zh-CN"/>
        </w:rPr>
        <w:t>（含）</w:t>
      </w:r>
      <w:r>
        <w:rPr>
          <w:rFonts w:hint="eastAsia" w:ascii="仿宋_GB2312" w:eastAsia="仿宋_GB2312"/>
          <w:color w:val="auto"/>
          <w:sz w:val="28"/>
          <w:szCs w:val="28"/>
        </w:rPr>
        <w:t>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台（套）。</w:t>
      </w:r>
    </w:p>
    <w:p w14:paraId="0907DE97">
      <w:pPr>
        <w:ind w:firstLine="537" w:firstLineChars="192"/>
        <w:rPr>
          <w:rFonts w:ascii="黑体" w:eastAsia="黑体"/>
          <w:color w:val="auto"/>
          <w:sz w:val="28"/>
          <w:szCs w:val="28"/>
        </w:rPr>
      </w:pPr>
      <w:r>
        <w:rPr>
          <w:rFonts w:hint="eastAsia" w:ascii="黑体" w:eastAsia="黑体"/>
          <w:color w:val="auto"/>
          <w:sz w:val="28"/>
          <w:szCs w:val="28"/>
        </w:rPr>
        <w:t>五</w:t>
      </w:r>
      <w:r>
        <w:rPr>
          <w:rFonts w:ascii="黑体" w:eastAsia="黑体"/>
          <w:color w:val="auto"/>
          <w:sz w:val="28"/>
          <w:szCs w:val="28"/>
        </w:rPr>
        <w:t>、政府购买服务</w:t>
      </w:r>
      <w:r>
        <w:rPr>
          <w:rFonts w:hint="eastAsia" w:ascii="黑体" w:eastAsia="黑体"/>
          <w:color w:val="auto"/>
          <w:sz w:val="28"/>
          <w:szCs w:val="28"/>
        </w:rPr>
        <w:t>支出</w:t>
      </w:r>
      <w:r>
        <w:rPr>
          <w:rFonts w:ascii="黑体" w:eastAsia="黑体"/>
          <w:color w:val="auto"/>
          <w:sz w:val="28"/>
          <w:szCs w:val="28"/>
        </w:rPr>
        <w:t>说明</w:t>
      </w:r>
    </w:p>
    <w:p w14:paraId="7025DA46">
      <w:pPr>
        <w:ind w:firstLine="537" w:firstLineChars="192"/>
        <w:rPr>
          <w:rFonts w:ascii="仿宋_GB2312" w:eastAsia="仿宋_GB2312"/>
          <w:color w:val="auto"/>
          <w:sz w:val="28"/>
          <w:szCs w:val="28"/>
        </w:rPr>
      </w:pPr>
      <w:r>
        <w:rPr>
          <w:rFonts w:hint="eastAsia" w:ascii="仿宋_GB2312" w:eastAsia="仿宋_GB2312"/>
          <w:color w:val="auto"/>
          <w:sz w:val="28"/>
          <w:szCs w:val="28"/>
        </w:rPr>
        <w:t>2024年度</w:t>
      </w:r>
      <w:r>
        <w:rPr>
          <w:rFonts w:ascii="仿宋_GB2312" w:eastAsia="仿宋_GB2312"/>
          <w:color w:val="auto"/>
          <w:sz w:val="28"/>
          <w:szCs w:val="28"/>
        </w:rPr>
        <w:t>政府购买服务决算0</w:t>
      </w:r>
      <w:r>
        <w:rPr>
          <w:rFonts w:hint="eastAsia" w:ascii="仿宋_GB2312" w:eastAsia="仿宋_GB2312"/>
          <w:color w:val="auto"/>
          <w:sz w:val="28"/>
          <w:szCs w:val="28"/>
        </w:rPr>
        <w:t>万元。</w:t>
      </w:r>
    </w:p>
    <w:p w14:paraId="54693411">
      <w:pPr>
        <w:ind w:firstLine="560" w:firstLineChars="200"/>
        <w:jc w:val="left"/>
        <w:rPr>
          <w:rFonts w:ascii="仿宋_GB2312" w:eastAsia="仿宋_GB2312"/>
          <w:color w:val="auto"/>
          <w:sz w:val="32"/>
          <w:szCs w:val="32"/>
        </w:rPr>
      </w:pPr>
      <w:r>
        <w:rPr>
          <w:rFonts w:hint="eastAsia" w:ascii="黑体" w:eastAsia="黑体"/>
          <w:color w:val="auto"/>
          <w:sz w:val="28"/>
          <w:szCs w:val="28"/>
        </w:rPr>
        <w:t>六、</w:t>
      </w:r>
      <w:r>
        <w:rPr>
          <w:rFonts w:ascii="黑体" w:eastAsia="黑体"/>
          <w:color w:val="auto"/>
          <w:sz w:val="28"/>
          <w:szCs w:val="28"/>
        </w:rPr>
        <w:t>专业名词解释</w:t>
      </w:r>
    </w:p>
    <w:p w14:paraId="3B0EE529">
      <w:pPr>
        <w:ind w:firstLine="560" w:firstLineChars="200"/>
        <w:rPr>
          <w:rFonts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14:paraId="7F6023F3">
      <w:pPr>
        <w:ind w:firstLine="560" w:firstLineChars="200"/>
        <w:rPr>
          <w:rFonts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14:paraId="66FB3660">
      <w:pPr>
        <w:ind w:firstLine="560" w:firstLineChars="200"/>
        <w:rPr>
          <w:rFonts w:ascii="仿宋_GB2312" w:hAnsi="宋体" w:eastAsia="仿宋_GB2312"/>
          <w:color w:val="auto"/>
          <w:sz w:val="28"/>
          <w:szCs w:val="28"/>
        </w:rPr>
      </w:pPr>
      <w:r>
        <w:rPr>
          <w:rFonts w:hint="eastAsia" w:ascii="仿宋_GB2312" w:eastAsia="仿宋_GB2312"/>
          <w:color w:val="auto"/>
          <w:sz w:val="28"/>
          <w:szCs w:val="28"/>
        </w:rPr>
        <w:t>3.“三公”经费：</w:t>
      </w:r>
      <w:r>
        <w:rPr>
          <w:rFonts w:hint="eastAsia" w:ascii="仿宋_GB2312" w:hAnsi="宋体" w:eastAsia="仿宋_GB2312"/>
          <w:color w:val="auto"/>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E4E1838">
      <w:pPr>
        <w:ind w:firstLine="560" w:firstLineChars="200"/>
        <w:rPr>
          <w:rFonts w:ascii="仿宋_GB2312" w:hAnsi="宋体" w:eastAsia="仿宋_GB2312"/>
          <w:color w:val="auto"/>
          <w:sz w:val="28"/>
          <w:szCs w:val="28"/>
        </w:rPr>
      </w:pPr>
      <w:r>
        <w:rPr>
          <w:rFonts w:hint="eastAsia" w:ascii="仿宋_GB2312" w:eastAsia="仿宋_GB2312"/>
          <w:color w:val="auto"/>
          <w:sz w:val="28"/>
          <w:szCs w:val="28"/>
        </w:rPr>
        <w:t>4</w:t>
      </w:r>
      <w:r>
        <w:rPr>
          <w:rFonts w:ascii="仿宋_GB2312" w:eastAsia="仿宋_GB2312"/>
          <w:color w:val="auto"/>
          <w:sz w:val="28"/>
          <w:szCs w:val="28"/>
        </w:rPr>
        <w:t>.</w:t>
      </w:r>
      <w:r>
        <w:rPr>
          <w:rFonts w:hint="eastAsia" w:ascii="仿宋_GB2312" w:eastAsia="仿宋_GB2312"/>
          <w:color w:val="auto"/>
          <w:sz w:val="28"/>
          <w:szCs w:val="28"/>
        </w:rPr>
        <w:t>机关运行经费：</w:t>
      </w:r>
      <w:r>
        <w:rPr>
          <w:rFonts w:hint="eastAsia" w:ascii="仿宋_GB2312" w:hAnsi="宋体" w:eastAsia="仿宋_GB2312"/>
          <w:color w:val="auto"/>
          <w:sz w:val="28"/>
          <w:szCs w:val="28"/>
        </w:rPr>
        <w:t>指为</w:t>
      </w:r>
      <w:r>
        <w:rPr>
          <w:rFonts w:ascii="仿宋_GB2312" w:hAnsi="宋体" w:eastAsia="仿宋_GB2312"/>
          <w:color w:val="auto"/>
          <w:sz w:val="28"/>
          <w:szCs w:val="28"/>
        </w:rPr>
        <w:t>保障</w:t>
      </w:r>
      <w:r>
        <w:rPr>
          <w:rFonts w:hint="eastAsia" w:ascii="仿宋_GB2312" w:hAnsi="宋体" w:eastAsia="仿宋_GB2312"/>
          <w:color w:val="auto"/>
          <w:sz w:val="28"/>
          <w:szCs w:val="28"/>
        </w:rPr>
        <w:t>行政单位（含参照公务员法管理事业单位）运行用于</w:t>
      </w:r>
      <w:r>
        <w:rPr>
          <w:rFonts w:ascii="仿宋_GB2312" w:hAnsi="宋体" w:eastAsia="仿宋_GB2312"/>
          <w:color w:val="auto"/>
          <w:sz w:val="28"/>
          <w:szCs w:val="28"/>
        </w:rPr>
        <w:t>购买货物和服务的各项资金</w:t>
      </w:r>
      <w:r>
        <w:rPr>
          <w:rFonts w:hint="eastAsia" w:ascii="仿宋_GB2312" w:hAnsi="宋体" w:eastAsia="仿宋_GB2312"/>
          <w:color w:val="auto"/>
          <w:sz w:val="28"/>
          <w:szCs w:val="28"/>
        </w:rPr>
        <w:t>，包括办公及印刷费、邮电费、差旅费、会议费、福利费、日常维修费、专用材料及一般设备购置费、办公用房水电费、办公用房取暖费、办公用房物业管理费、公务用车运行维护费以及其他费用。</w:t>
      </w:r>
    </w:p>
    <w:p w14:paraId="4C224D2C">
      <w:pPr>
        <w:ind w:firstLine="420" w:firstLineChars="150"/>
        <w:rPr>
          <w:color w:val="auto"/>
        </w:rPr>
      </w:pPr>
      <w:r>
        <w:rPr>
          <w:rFonts w:hint="eastAsia" w:ascii="仿宋_GB2312" w:eastAsia="仿宋_GB2312"/>
          <w:color w:val="auto"/>
          <w:sz w:val="28"/>
          <w:szCs w:val="28"/>
        </w:rPr>
        <w:t>5</w:t>
      </w:r>
      <w:r>
        <w:rPr>
          <w:rFonts w:ascii="仿宋_GB2312" w:eastAsia="仿宋_GB2312"/>
          <w:color w:val="auto"/>
          <w:sz w:val="28"/>
          <w:szCs w:val="28"/>
        </w:rPr>
        <w:t>.</w:t>
      </w:r>
      <w:r>
        <w:rPr>
          <w:rFonts w:hint="eastAsia" w:ascii="仿宋_GB2312" w:eastAsia="仿宋_GB2312"/>
          <w:color w:val="auto"/>
          <w:sz w:val="28"/>
          <w:szCs w:val="28"/>
        </w:rPr>
        <w:t>政府采购</w:t>
      </w:r>
      <w:r>
        <w:rPr>
          <w:rFonts w:ascii="仿宋_GB2312" w:eastAsia="仿宋_GB2312"/>
          <w:color w:val="auto"/>
          <w:sz w:val="28"/>
          <w:szCs w:val="28"/>
        </w:rPr>
        <w:t>：</w:t>
      </w:r>
      <w:r>
        <w:rPr>
          <w:rFonts w:hint="eastAsia" w:ascii="仿宋_GB2312" w:eastAsia="仿宋_GB2312"/>
          <w:color w:val="auto"/>
          <w:sz w:val="28"/>
          <w:szCs w:val="28"/>
        </w:rPr>
        <w:t>指</w:t>
      </w:r>
      <w:r>
        <w:rPr>
          <w:rFonts w:ascii="仿宋_GB2312" w:eastAsia="仿宋_GB2312"/>
          <w:color w:val="auto"/>
          <w:sz w:val="28"/>
          <w:szCs w:val="28"/>
        </w:rPr>
        <w:t>各级国家机关、事业单位和团体组织，使用</w:t>
      </w:r>
      <w:r>
        <w:rPr>
          <w:rFonts w:hint="eastAsia" w:ascii="仿宋_GB2312" w:eastAsia="仿宋_GB2312"/>
          <w:color w:val="auto"/>
          <w:sz w:val="28"/>
          <w:szCs w:val="28"/>
        </w:rPr>
        <w:t>财政性</w:t>
      </w:r>
      <w:r>
        <w:rPr>
          <w:rFonts w:ascii="仿宋_GB2312" w:eastAsia="仿宋_GB2312"/>
          <w:color w:val="auto"/>
          <w:sz w:val="28"/>
          <w:szCs w:val="28"/>
        </w:rPr>
        <w:t>资金采购依法制定的集中目录以内的或者采购限额标准以上的货物、工程和服务的行为</w:t>
      </w:r>
      <w:r>
        <w:rPr>
          <w:rFonts w:hint="eastAsia" w:ascii="仿宋_GB2312" w:eastAsia="仿宋_GB2312"/>
          <w:color w:val="auto"/>
          <w:sz w:val="28"/>
          <w:szCs w:val="28"/>
        </w:rPr>
        <w:t>，</w:t>
      </w:r>
      <w:r>
        <w:rPr>
          <w:rFonts w:ascii="仿宋_GB2312" w:eastAsia="仿宋_GB2312"/>
          <w:color w:val="auto"/>
          <w:sz w:val="28"/>
          <w:szCs w:val="28"/>
        </w:rPr>
        <w:t>是规范财政支出管理和强化预算约束的有效措施。</w:t>
      </w:r>
    </w:p>
    <w:p w14:paraId="6BDCCBCB">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6</w:t>
      </w:r>
      <w:r>
        <w:rPr>
          <w:rFonts w:ascii="仿宋_GB2312" w:eastAsia="仿宋_GB2312"/>
          <w:color w:val="auto"/>
          <w:sz w:val="28"/>
          <w:szCs w:val="28"/>
        </w:rPr>
        <w:t>.政府购买服务：</w:t>
      </w:r>
      <w:r>
        <w:rPr>
          <w:rFonts w:hint="eastAsia" w:ascii="仿宋_GB2312" w:eastAsia="仿宋_GB2312"/>
          <w:color w:val="auto"/>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2E5562D">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教育支出：反映除</w:t>
      </w:r>
      <w:r>
        <w:rPr>
          <w:rFonts w:hint="eastAsia" w:ascii="仿宋_GB2312" w:eastAsia="仿宋_GB2312"/>
          <w:color w:val="auto"/>
          <w:sz w:val="28"/>
          <w:szCs w:val="28"/>
          <w:lang w:eastAsia="zh-CN"/>
        </w:rPr>
        <w:t>学前、小学、初中、高中</w:t>
      </w:r>
      <w:r>
        <w:rPr>
          <w:rFonts w:hint="eastAsia" w:ascii="仿宋_GB2312" w:eastAsia="仿宋_GB2312"/>
          <w:color w:val="auto"/>
          <w:sz w:val="28"/>
          <w:szCs w:val="28"/>
        </w:rPr>
        <w:t>项目以外其他用于普通教育方面的支出</w:t>
      </w:r>
      <w:r>
        <w:rPr>
          <w:rFonts w:hint="eastAsia" w:ascii="仿宋_GB2312" w:eastAsia="仿宋_GB2312"/>
          <w:color w:val="auto"/>
          <w:sz w:val="28"/>
          <w:szCs w:val="28"/>
          <w:lang w:eastAsia="zh-CN"/>
        </w:rPr>
        <w:t>。</w:t>
      </w:r>
    </w:p>
    <w:p w14:paraId="623274A2">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8.</w:t>
      </w:r>
      <w:r>
        <w:rPr>
          <w:rFonts w:hint="eastAsia" w:ascii="仿宋_GB2312" w:eastAsia="仿宋_GB2312"/>
          <w:color w:val="auto"/>
          <w:sz w:val="28"/>
          <w:szCs w:val="28"/>
        </w:rPr>
        <w:t>社会保障和就业支出：反映行政事业单位养老支出</w:t>
      </w:r>
      <w:r>
        <w:rPr>
          <w:rFonts w:hint="eastAsia" w:ascii="仿宋_GB2312" w:eastAsia="仿宋_GB2312"/>
          <w:color w:val="auto"/>
          <w:sz w:val="28"/>
          <w:szCs w:val="28"/>
          <w:lang w:eastAsia="zh-CN"/>
        </w:rPr>
        <w:t>、</w:t>
      </w:r>
      <w:r>
        <w:rPr>
          <w:rFonts w:hint="eastAsia" w:ascii="仿宋_GB2312" w:eastAsia="仿宋_GB2312"/>
          <w:color w:val="auto"/>
          <w:sz w:val="28"/>
          <w:szCs w:val="28"/>
        </w:rPr>
        <w:t>事业单位离退休经费</w:t>
      </w:r>
      <w:r>
        <w:rPr>
          <w:rFonts w:hint="eastAsia" w:ascii="仿宋_GB2312" w:eastAsia="仿宋_GB2312"/>
          <w:color w:val="auto"/>
          <w:sz w:val="28"/>
          <w:szCs w:val="28"/>
          <w:lang w:eastAsia="zh-CN"/>
        </w:rPr>
        <w:t>、</w:t>
      </w:r>
      <w:r>
        <w:rPr>
          <w:rFonts w:hint="eastAsia" w:ascii="仿宋_GB2312" w:eastAsia="仿宋_GB2312"/>
          <w:color w:val="auto"/>
          <w:sz w:val="28"/>
          <w:szCs w:val="28"/>
        </w:rPr>
        <w:t>按规定用于烈士和牺牲、病故人员家属的一次性和定期抚恤金、丧葬补助费以及烈士褒扬金。</w:t>
      </w:r>
    </w:p>
    <w:p w14:paraId="29F5FC56">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9.</w:t>
      </w:r>
      <w:r>
        <w:rPr>
          <w:rFonts w:hint="eastAsia" w:ascii="仿宋_GB2312" w:eastAsia="仿宋_GB2312"/>
          <w:color w:val="auto"/>
          <w:sz w:val="28"/>
          <w:szCs w:val="28"/>
        </w:rPr>
        <w:t>卫生健康支出：反映财政部门安排的事业单位基本医疗保险缴费经费，未参加医疗保险的事业单位的公费医疗经费，按国家规定享受离休人员待遇的医疗经费。</w:t>
      </w:r>
    </w:p>
    <w:p w14:paraId="3C8510E2">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10.</w:t>
      </w:r>
      <w:r>
        <w:rPr>
          <w:rFonts w:hint="eastAsia" w:ascii="仿宋_GB2312" w:eastAsia="仿宋_GB2312"/>
          <w:color w:val="auto"/>
          <w:sz w:val="28"/>
          <w:szCs w:val="28"/>
        </w:rPr>
        <w:t>住房保障支出：反映行政事业单位按人力资源和社会保障部、财政部规定的基本工资和津贴补贴以及规定比例为职工缴纳的住房公积金</w:t>
      </w:r>
      <w:r>
        <w:rPr>
          <w:rFonts w:hint="eastAsia" w:ascii="仿宋_GB2312" w:eastAsia="仿宋_GB2312"/>
          <w:color w:val="auto"/>
          <w:sz w:val="28"/>
          <w:szCs w:val="28"/>
          <w:lang w:eastAsia="zh-CN"/>
        </w:rPr>
        <w:t>、</w:t>
      </w:r>
      <w:r>
        <w:rPr>
          <w:rFonts w:hint="eastAsia" w:ascii="仿宋_GB2312" w:eastAsia="仿宋_GB2312"/>
          <w:color w:val="auto"/>
          <w:sz w:val="28"/>
          <w:szCs w:val="28"/>
        </w:rPr>
        <w:t>按房改政策规定的标准，行政事业单位向职工（含离退休人员）发放的租金补助</w:t>
      </w:r>
      <w:r>
        <w:rPr>
          <w:rFonts w:hint="eastAsia" w:ascii="仿宋_GB2312" w:eastAsia="仿宋_GB2312"/>
          <w:color w:val="auto"/>
          <w:sz w:val="28"/>
          <w:szCs w:val="28"/>
          <w:lang w:eastAsia="zh-CN"/>
        </w:rPr>
        <w:t>、</w:t>
      </w:r>
      <w:r>
        <w:rPr>
          <w:rFonts w:hint="eastAsia" w:ascii="仿宋_GB2312" w:eastAsia="仿宋_GB2312"/>
          <w:color w:val="auto"/>
          <w:sz w:val="28"/>
          <w:szCs w:val="28"/>
        </w:rPr>
        <w:t>按房改政策规定的标准，行政事业单位向符合条件职工（含离退休人员）发放的用于购买住房的补贴。</w:t>
      </w:r>
    </w:p>
    <w:p w14:paraId="4047C75D">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11.</w:t>
      </w:r>
      <w:r>
        <w:rPr>
          <w:rFonts w:hint="eastAsia" w:ascii="仿宋_GB2312" w:eastAsia="仿宋_GB2312"/>
          <w:color w:val="auto"/>
          <w:sz w:val="28"/>
          <w:szCs w:val="28"/>
        </w:rPr>
        <w:t>科学技术支出：反映国家用于完善科技条件的支出，包括科技文献信息、网络环境支撑等科技条件专项支出</w:t>
      </w:r>
      <w:r>
        <w:rPr>
          <w:rFonts w:hint="eastAsia" w:ascii="仿宋_GB2312" w:eastAsia="仿宋_GB2312"/>
          <w:color w:val="auto"/>
          <w:sz w:val="28"/>
          <w:szCs w:val="28"/>
          <w:lang w:eastAsia="zh-CN"/>
        </w:rPr>
        <w:t>、</w:t>
      </w:r>
      <w:r>
        <w:rPr>
          <w:rFonts w:hint="eastAsia" w:ascii="仿宋_GB2312" w:eastAsia="仿宋_GB2312"/>
          <w:color w:val="auto"/>
          <w:sz w:val="28"/>
          <w:szCs w:val="28"/>
        </w:rPr>
        <w:t>除上述项目以外其他用于科技条件与服务方面的支出。</w:t>
      </w:r>
    </w:p>
    <w:p w14:paraId="71115A59">
      <w:pPr>
        <w:ind w:firstLine="420" w:firstLineChars="150"/>
        <w:rPr>
          <w:rFonts w:hint="default" w:ascii="仿宋_GB2312" w:eastAsia="仿宋_GB2312"/>
          <w:color w:val="auto"/>
          <w:sz w:val="28"/>
          <w:szCs w:val="28"/>
          <w:lang w:val="en-US" w:eastAsia="zh-CN"/>
        </w:rPr>
      </w:pPr>
    </w:p>
    <w:p w14:paraId="59047749">
      <w:pPr>
        <w:jc w:val="both"/>
        <w:rPr>
          <w:rFonts w:ascii="黑体" w:eastAsia="黑体"/>
          <w:color w:val="auto"/>
          <w:sz w:val="32"/>
          <w:szCs w:val="32"/>
        </w:rPr>
      </w:pPr>
      <w:bookmarkStart w:id="0" w:name="_GoBack"/>
      <w:bookmarkEnd w:id="0"/>
    </w:p>
    <w:p w14:paraId="630A2B32">
      <w:pPr>
        <w:ind w:firstLine="640" w:firstLineChars="200"/>
        <w:jc w:val="center"/>
        <w:rPr>
          <w:rFonts w:ascii="黑体" w:eastAsia="黑体"/>
          <w:color w:val="auto"/>
          <w:sz w:val="32"/>
          <w:szCs w:val="32"/>
        </w:rPr>
      </w:pPr>
      <w:r>
        <w:rPr>
          <w:rFonts w:hint="eastAsia" w:ascii="黑体" w:eastAsia="黑体"/>
          <w:color w:val="auto"/>
          <w:sz w:val="32"/>
          <w:szCs w:val="32"/>
        </w:rPr>
        <w:t>第四部分  2024年度部门绩效评价情况</w:t>
      </w:r>
    </w:p>
    <w:p w14:paraId="26782673">
      <w:pPr>
        <w:ind w:firstLine="560" w:firstLineChars="200"/>
        <w:rPr>
          <w:rFonts w:ascii="黑体" w:eastAsia="黑体"/>
          <w:color w:val="auto"/>
          <w:sz w:val="28"/>
          <w:szCs w:val="28"/>
          <w:highlight w:val="yellow"/>
        </w:rPr>
      </w:pPr>
    </w:p>
    <w:p w14:paraId="38534B7D">
      <w:pPr>
        <w:ind w:firstLine="560" w:firstLineChars="200"/>
        <w:rPr>
          <w:rFonts w:ascii="黑体" w:eastAsia="黑体"/>
          <w:color w:val="auto"/>
          <w:sz w:val="28"/>
          <w:szCs w:val="28"/>
        </w:rPr>
      </w:pPr>
      <w:r>
        <w:rPr>
          <w:rFonts w:hint="eastAsia" w:ascii="黑体" w:eastAsia="黑体"/>
          <w:color w:val="auto"/>
          <w:sz w:val="28"/>
          <w:szCs w:val="28"/>
        </w:rPr>
        <w:t>一、部门整体绩效评价报告</w:t>
      </w:r>
    </w:p>
    <w:p w14:paraId="07FB6CD6">
      <w:pPr>
        <w:ind w:firstLine="560" w:firstLineChars="200"/>
        <w:rPr>
          <w:rFonts w:ascii="黑体" w:eastAsia="黑体"/>
          <w:color w:val="auto"/>
          <w:sz w:val="28"/>
          <w:szCs w:val="28"/>
        </w:rPr>
      </w:pPr>
      <w:r>
        <w:rPr>
          <w:rFonts w:hint="eastAsia" w:ascii="黑体" w:eastAsia="黑体"/>
          <w:color w:val="auto"/>
          <w:sz w:val="28"/>
          <w:szCs w:val="28"/>
        </w:rPr>
        <w:t>二、项目支出绩效评价报告</w:t>
      </w:r>
    </w:p>
    <w:p w14:paraId="5A0311A7">
      <w:pPr>
        <w:ind w:firstLine="560" w:firstLineChars="200"/>
        <w:rPr>
          <w:rFonts w:ascii="黑体" w:eastAsia="黑体"/>
          <w:color w:val="auto"/>
          <w:sz w:val="28"/>
          <w:szCs w:val="28"/>
        </w:rPr>
      </w:pPr>
      <w:r>
        <w:rPr>
          <w:rFonts w:hint="eastAsia" w:ascii="黑体" w:eastAsia="黑体"/>
          <w:color w:val="auto"/>
          <w:sz w:val="28"/>
          <w:szCs w:val="28"/>
        </w:rPr>
        <w:t>三</w:t>
      </w:r>
      <w:r>
        <w:rPr>
          <w:rFonts w:ascii="黑体" w:eastAsia="黑体"/>
          <w:color w:val="auto"/>
          <w:sz w:val="28"/>
          <w:szCs w:val="28"/>
        </w:rPr>
        <w:t>、</w:t>
      </w:r>
      <w:r>
        <w:rPr>
          <w:rFonts w:hint="eastAsia" w:ascii="黑体" w:eastAsia="黑体"/>
          <w:color w:val="auto"/>
          <w:sz w:val="28"/>
          <w:szCs w:val="28"/>
        </w:rPr>
        <w:t>项目</w:t>
      </w:r>
      <w:r>
        <w:rPr>
          <w:rFonts w:ascii="黑体" w:eastAsia="黑体"/>
          <w:color w:val="auto"/>
          <w:sz w:val="28"/>
          <w:szCs w:val="28"/>
        </w:rPr>
        <w:t>支出绩效自评表</w:t>
      </w:r>
    </w:p>
    <w:p w14:paraId="74C30469">
      <w:pPr>
        <w:ind w:firstLine="560" w:firstLineChars="200"/>
        <w:rPr>
          <w:rFonts w:ascii="黑体" w:eastAsia="黑体"/>
          <w:color w:val="auto"/>
          <w:sz w:val="28"/>
          <w:szCs w:val="28"/>
        </w:rPr>
      </w:pPr>
      <w:r>
        <w:rPr>
          <w:rFonts w:hint="eastAsia" w:ascii="黑体" w:eastAsia="黑体"/>
          <w:color w:val="auto"/>
          <w:sz w:val="28"/>
          <w:szCs w:val="28"/>
        </w:rPr>
        <w:t>四、中央对</w:t>
      </w:r>
      <w:r>
        <w:rPr>
          <w:rFonts w:hint="eastAsia" w:ascii="黑体" w:eastAsia="黑体"/>
          <w:color w:val="auto"/>
          <w:sz w:val="28"/>
          <w:szCs w:val="28"/>
          <w:lang w:eastAsia="zh-CN"/>
        </w:rPr>
        <w:t>地方</w:t>
      </w:r>
      <w:r>
        <w:rPr>
          <w:rFonts w:hint="eastAsia" w:ascii="黑体" w:eastAsia="黑体"/>
          <w:color w:val="auto"/>
          <w:sz w:val="28"/>
          <w:szCs w:val="28"/>
        </w:rPr>
        <w:t>转移支付预算执行情况绩效自评</w:t>
      </w:r>
      <w:r>
        <w:rPr>
          <w:rFonts w:hint="eastAsia" w:ascii="黑体" w:eastAsia="黑体"/>
          <w:color w:val="auto"/>
          <w:sz w:val="28"/>
          <w:szCs w:val="28"/>
          <w:lang w:eastAsia="zh-CN"/>
        </w:rPr>
        <w:t>表</w:t>
      </w:r>
    </w:p>
    <w:p w14:paraId="2F0E78C7">
      <w:pPr>
        <w:spacing w:line="480" w:lineRule="exact"/>
        <w:ind w:firstLine="560"/>
        <w:rPr>
          <w:rFonts w:ascii="黑体" w:eastAsia="黑体"/>
          <w:color w:val="auto"/>
          <w:sz w:val="28"/>
          <w:szCs w:val="28"/>
        </w:rPr>
      </w:pPr>
      <w:r>
        <w:rPr>
          <w:rFonts w:hint="eastAsia" w:ascii="黑体" w:eastAsia="黑体"/>
          <w:color w:val="auto"/>
          <w:sz w:val="28"/>
          <w:szCs w:val="28"/>
        </w:rPr>
        <w:t>（注：有中央转移支付的一级预算部门，公开“一、二、三、四”；没有中央转移支付的一级预算部门，公开“一、二、三”；二级预算单位仅公开“三”。）</w:t>
      </w:r>
    </w:p>
    <w:p w14:paraId="5B9A0461">
      <w:pPr>
        <w:pStyle w:val="2"/>
        <w:ind w:firstLine="560"/>
        <w:rPr>
          <w:color w:val="auto"/>
        </w:rPr>
      </w:pPr>
    </w:p>
    <w:p w14:paraId="1F375306">
      <w:pPr>
        <w:rPr>
          <w:color w:val="auto"/>
        </w:rPr>
      </w:pPr>
    </w:p>
    <w:p w14:paraId="19241A4D">
      <w:pPr>
        <w:pStyle w:val="2"/>
        <w:rPr>
          <w:color w:val="auto"/>
        </w:rPr>
      </w:pPr>
    </w:p>
    <w:p w14:paraId="51F1FA00">
      <w:pPr>
        <w:rPr>
          <w:color w:val="auto"/>
        </w:rPr>
      </w:pPr>
    </w:p>
    <w:p w14:paraId="7120CB16">
      <w:pPr>
        <w:rPr>
          <w:color w:val="auto"/>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3666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14:paraId="57E6F99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0F12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13</w:t>
    </w:r>
    <w:r>
      <w:fldChar w:fldCharType="end"/>
    </w:r>
  </w:p>
  <w:p w14:paraId="0630BE0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3D3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5CFD0E3">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0FD"/>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490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B11E4"/>
    <w:rsid w:val="02F120AB"/>
    <w:rsid w:val="034D2C8D"/>
    <w:rsid w:val="03CF32AE"/>
    <w:rsid w:val="03F56D20"/>
    <w:rsid w:val="04C3537C"/>
    <w:rsid w:val="052857E8"/>
    <w:rsid w:val="05DE38D4"/>
    <w:rsid w:val="061F0F2E"/>
    <w:rsid w:val="063522A9"/>
    <w:rsid w:val="07034156"/>
    <w:rsid w:val="079004AC"/>
    <w:rsid w:val="07D41F0B"/>
    <w:rsid w:val="0AB4435A"/>
    <w:rsid w:val="0B222EDF"/>
    <w:rsid w:val="0BA148CA"/>
    <w:rsid w:val="0C1165C4"/>
    <w:rsid w:val="0DA46866"/>
    <w:rsid w:val="0DD136FE"/>
    <w:rsid w:val="0E275677"/>
    <w:rsid w:val="0E9F5192"/>
    <w:rsid w:val="0F5B4C3E"/>
    <w:rsid w:val="0F7316A6"/>
    <w:rsid w:val="0F8E2C57"/>
    <w:rsid w:val="1059665E"/>
    <w:rsid w:val="10AC13BA"/>
    <w:rsid w:val="115709A6"/>
    <w:rsid w:val="11EC3A38"/>
    <w:rsid w:val="145A6C1B"/>
    <w:rsid w:val="15BE44B9"/>
    <w:rsid w:val="167A2FF9"/>
    <w:rsid w:val="18884AFD"/>
    <w:rsid w:val="18DE5A14"/>
    <w:rsid w:val="1ACA7A4C"/>
    <w:rsid w:val="1AEC0734"/>
    <w:rsid w:val="1DEF20B0"/>
    <w:rsid w:val="1E312EFF"/>
    <w:rsid w:val="20874856"/>
    <w:rsid w:val="214243FA"/>
    <w:rsid w:val="21AD613C"/>
    <w:rsid w:val="257A14F5"/>
    <w:rsid w:val="26C14C89"/>
    <w:rsid w:val="27196C26"/>
    <w:rsid w:val="2780046C"/>
    <w:rsid w:val="28B674A7"/>
    <w:rsid w:val="29D616E9"/>
    <w:rsid w:val="29EF086F"/>
    <w:rsid w:val="2A021BF3"/>
    <w:rsid w:val="2EB07FFF"/>
    <w:rsid w:val="2EFFE297"/>
    <w:rsid w:val="301437CA"/>
    <w:rsid w:val="349D1F0A"/>
    <w:rsid w:val="34DD0473"/>
    <w:rsid w:val="37280DED"/>
    <w:rsid w:val="382977B6"/>
    <w:rsid w:val="38CA2B6B"/>
    <w:rsid w:val="38CD1EFD"/>
    <w:rsid w:val="3BB15334"/>
    <w:rsid w:val="3C4215FA"/>
    <w:rsid w:val="3C684897"/>
    <w:rsid w:val="3DFC6C2D"/>
    <w:rsid w:val="402538D2"/>
    <w:rsid w:val="427D1CDA"/>
    <w:rsid w:val="433E495C"/>
    <w:rsid w:val="445242B0"/>
    <w:rsid w:val="489F2FD7"/>
    <w:rsid w:val="493D66F5"/>
    <w:rsid w:val="4A59371E"/>
    <w:rsid w:val="4AC27CB3"/>
    <w:rsid w:val="4BE1349F"/>
    <w:rsid w:val="4BF72BEF"/>
    <w:rsid w:val="4D7904DF"/>
    <w:rsid w:val="4FA90297"/>
    <w:rsid w:val="4FC41A43"/>
    <w:rsid w:val="51DB3C59"/>
    <w:rsid w:val="54617393"/>
    <w:rsid w:val="550C0952"/>
    <w:rsid w:val="55762E42"/>
    <w:rsid w:val="577F75DE"/>
    <w:rsid w:val="57A7B272"/>
    <w:rsid w:val="58470068"/>
    <w:rsid w:val="58747CAC"/>
    <w:rsid w:val="5A1720F9"/>
    <w:rsid w:val="5B9C37C2"/>
    <w:rsid w:val="5BA7C654"/>
    <w:rsid w:val="5DEE4387"/>
    <w:rsid w:val="5E84084D"/>
    <w:rsid w:val="60A54109"/>
    <w:rsid w:val="61D01CDF"/>
    <w:rsid w:val="61D062D0"/>
    <w:rsid w:val="62511141"/>
    <w:rsid w:val="62D80C91"/>
    <w:rsid w:val="6319533B"/>
    <w:rsid w:val="637A24DA"/>
    <w:rsid w:val="64C0607C"/>
    <w:rsid w:val="65756C86"/>
    <w:rsid w:val="65C559C6"/>
    <w:rsid w:val="674D385B"/>
    <w:rsid w:val="676F09E1"/>
    <w:rsid w:val="68352246"/>
    <w:rsid w:val="688B0F86"/>
    <w:rsid w:val="6B4C26F3"/>
    <w:rsid w:val="6DA22C94"/>
    <w:rsid w:val="6F392F8E"/>
    <w:rsid w:val="72066416"/>
    <w:rsid w:val="744F6DB0"/>
    <w:rsid w:val="746F1200"/>
    <w:rsid w:val="75DF2EA8"/>
    <w:rsid w:val="7606223B"/>
    <w:rsid w:val="765B4F04"/>
    <w:rsid w:val="78E30B84"/>
    <w:rsid w:val="798524E4"/>
    <w:rsid w:val="7A7F1C49"/>
    <w:rsid w:val="7A8F3CFA"/>
    <w:rsid w:val="7AC956BB"/>
    <w:rsid w:val="7B5B7AE6"/>
    <w:rsid w:val="7B7B6628"/>
    <w:rsid w:val="7BA7071E"/>
    <w:rsid w:val="7BDF6DA8"/>
    <w:rsid w:val="7C02295A"/>
    <w:rsid w:val="7C7EDC1A"/>
    <w:rsid w:val="7CCED98D"/>
    <w:rsid w:val="7D08410F"/>
    <w:rsid w:val="7D2B74AC"/>
    <w:rsid w:val="7D4717D6"/>
    <w:rsid w:val="7DB96DED"/>
    <w:rsid w:val="7DD3AD81"/>
    <w:rsid w:val="7E4709BA"/>
    <w:rsid w:val="7E884ABD"/>
    <w:rsid w:val="7F59145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manualLayout>
          <c:xMode val="edge"/>
          <c:yMode val="edge"/>
          <c:x val="0.440852603429291"/>
          <c:y val="0.0286337605672212"/>
        </c:manualLayout>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685228443405049"/>
                  <c:y val="0.002129284955450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496460156477253"/>
                  <c:y val="-0.042866624507325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135720557617222"/>
                  <c:y val="0.15356252130982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0235960358659745"/>
                  <c:y val="-0.065448595582219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22699386503067"/>
                  <c:y val="0"/>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1977.49</c:v>
                </c:pt>
                <c:pt idx="1">
                  <c:v>0</c:v>
                </c:pt>
                <c:pt idx="2">
                  <c:v>0</c:v>
                </c:pt>
                <c:pt idx="3">
                  <c:v>86.31</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manualLayout>
          <c:xMode val="edge"/>
          <c:yMode val="edge"/>
          <c:x val="0.420694444444444"/>
          <c:y val="0.0277777777777778"/>
        </c:manualLayout>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744203960678167"/>
                  <c:y val="0.05366047694412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648876935861"/>
                  <c:y val="0.03481678506561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1535.11</c:v>
                </c:pt>
                <c:pt idx="1">
                  <c:v>442.38</c:v>
                </c:pt>
                <c:pt idx="2">
                  <c:v>0</c:v>
                </c:pt>
                <c:pt idx="3">
                  <c:v>5.46</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3476</Words>
  <Characters>3921</Characters>
  <Lines>5</Lines>
  <Paragraphs>9</Paragraphs>
  <TotalTime>3</TotalTime>
  <ScaleCrop>false</ScaleCrop>
  <LinksUpToDate>false</LinksUpToDate>
  <CharactersWithSpaces>3939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2025-07-24T01:28:00Z</dcterms:created>
  <dc:creator>常程</dc:creator>
  <cp:lastModifiedBy>zijin</cp:lastModifiedBy>
  <cp:lastPrinted>2020-08-07T11:39:00Z</cp:lastPrinted>
  <dcterms:modified xsi:type="dcterms:W3CDTF">2025-08-27T08:11:29Z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2D48FD30174C48308950513D0B64CB1A_13</vt:lpwstr>
  </property>
  <property fmtid="{D5CDD505-2E9C-101B-9397-08002B2CF9AE}" pid="4" name="KSOTemplateDocerSaveRecord">
    <vt:lpwstr>eyJoZGlkIjoiOWYyYWYzMjYzMjg4OWU2MTRhNjlhMGZmYzVkNjM0N2UifQ==</vt:lpwstr>
  </property>
</Properties>
</file>