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4AE7A">
      <w:pPr>
        <w:jc w:val="center"/>
        <w:rPr>
          <w:rFonts w:ascii="仿宋_GB2312" w:eastAsia="仿宋_GB2312"/>
          <w:b/>
          <w:sz w:val="32"/>
          <w:szCs w:val="32"/>
        </w:rPr>
      </w:pPr>
    </w:p>
    <w:p w14:paraId="594F77E3">
      <w:pPr>
        <w:jc w:val="center"/>
        <w:rPr>
          <w:rFonts w:ascii="黑体" w:eastAsia="黑体"/>
          <w:sz w:val="72"/>
          <w:szCs w:val="72"/>
        </w:rPr>
      </w:pPr>
    </w:p>
    <w:p w14:paraId="77829B4E">
      <w:pPr>
        <w:jc w:val="center"/>
        <w:rPr>
          <w:rFonts w:ascii="黑体" w:eastAsia="黑体"/>
          <w:sz w:val="72"/>
          <w:szCs w:val="72"/>
        </w:rPr>
      </w:pPr>
    </w:p>
    <w:p w14:paraId="11951E94">
      <w:pPr>
        <w:jc w:val="center"/>
        <w:rPr>
          <w:rFonts w:ascii="黑体" w:eastAsia="黑体"/>
          <w:sz w:val="72"/>
          <w:szCs w:val="72"/>
        </w:rPr>
      </w:pPr>
    </w:p>
    <w:p w14:paraId="36D1723E">
      <w:pPr>
        <w:jc w:val="center"/>
        <w:rPr>
          <w:rFonts w:ascii="黑体" w:eastAsia="黑体"/>
          <w:sz w:val="72"/>
          <w:szCs w:val="72"/>
        </w:rPr>
      </w:pPr>
    </w:p>
    <w:p w14:paraId="0A425A01">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35CF5F9F">
      <w:pPr>
        <w:jc w:val="center"/>
        <w:rPr>
          <w:rFonts w:ascii="黑体" w:eastAsia="黑体"/>
          <w:sz w:val="52"/>
          <w:szCs w:val="52"/>
        </w:rPr>
      </w:pPr>
    </w:p>
    <w:p w14:paraId="69BEFDE3">
      <w:pPr>
        <w:jc w:val="center"/>
        <w:rPr>
          <w:rFonts w:ascii="黑体" w:eastAsia="黑体"/>
          <w:sz w:val="52"/>
          <w:szCs w:val="52"/>
        </w:rPr>
      </w:pPr>
    </w:p>
    <w:p w14:paraId="125FB54F">
      <w:pPr>
        <w:jc w:val="center"/>
        <w:rPr>
          <w:rFonts w:ascii="黑体" w:eastAsia="黑体"/>
          <w:sz w:val="52"/>
          <w:szCs w:val="52"/>
        </w:rPr>
      </w:pPr>
    </w:p>
    <w:p w14:paraId="3E4C399E">
      <w:pPr>
        <w:jc w:val="center"/>
        <w:rPr>
          <w:rFonts w:ascii="黑体" w:eastAsia="黑体"/>
          <w:sz w:val="52"/>
          <w:szCs w:val="52"/>
        </w:rPr>
      </w:pPr>
    </w:p>
    <w:p w14:paraId="7E913FF7">
      <w:pPr>
        <w:jc w:val="center"/>
        <w:rPr>
          <w:rFonts w:ascii="黑体" w:eastAsia="黑体"/>
          <w:sz w:val="32"/>
          <w:szCs w:val="32"/>
        </w:rPr>
      </w:pPr>
    </w:p>
    <w:p w14:paraId="4A91B105">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0459A9A">
      <w:pPr>
        <w:spacing w:line="500" w:lineRule="exact"/>
        <w:ind w:firstLine="645"/>
        <w:jc w:val="center"/>
        <w:rPr>
          <w:rFonts w:ascii="宋体" w:hAnsi="宋体" w:cs="宋体"/>
          <w:b/>
          <w:bCs/>
          <w:kern w:val="0"/>
          <w:sz w:val="36"/>
          <w:szCs w:val="36"/>
        </w:rPr>
      </w:pPr>
    </w:p>
    <w:p w14:paraId="38111388">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5F748FAB">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5C44EB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260B5E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0D62EAE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F04BDE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DE4291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42B50B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A7AEF2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43404B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6FB88DA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4D0EFA2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645D67A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1EE82971">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131FB907">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55C27D31">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68D39FA2">
      <w:pPr>
        <w:tabs>
          <w:tab w:val="center" w:pos="6979"/>
        </w:tabs>
        <w:spacing w:before="156" w:beforeLines="50" w:after="156" w:afterLines="50"/>
        <w:jc w:val="center"/>
        <w:rPr>
          <w:rFonts w:ascii="宋体" w:hAnsi="宋体" w:cs="宋体"/>
          <w:b/>
          <w:bCs/>
          <w:spacing w:val="40"/>
          <w:kern w:val="0"/>
          <w:sz w:val="32"/>
          <w:szCs w:val="32"/>
        </w:rPr>
      </w:pPr>
    </w:p>
    <w:p w14:paraId="617DFD2C">
      <w:pPr>
        <w:tabs>
          <w:tab w:val="center" w:pos="6979"/>
        </w:tabs>
        <w:spacing w:before="156" w:beforeLines="50" w:after="156" w:afterLines="50"/>
        <w:jc w:val="center"/>
        <w:rPr>
          <w:rFonts w:ascii="宋体" w:hAnsi="宋体" w:cs="宋体"/>
          <w:b/>
          <w:bCs/>
          <w:spacing w:val="40"/>
          <w:kern w:val="0"/>
          <w:sz w:val="32"/>
          <w:szCs w:val="32"/>
        </w:rPr>
      </w:pPr>
    </w:p>
    <w:p w14:paraId="3DE6C94B">
      <w:pPr>
        <w:tabs>
          <w:tab w:val="center" w:pos="6979"/>
        </w:tabs>
        <w:spacing w:before="156" w:beforeLines="50" w:after="156" w:afterLines="50"/>
        <w:jc w:val="center"/>
        <w:rPr>
          <w:rFonts w:ascii="宋体" w:hAnsi="宋体" w:cs="宋体"/>
          <w:b/>
          <w:bCs/>
          <w:spacing w:val="40"/>
          <w:kern w:val="0"/>
          <w:sz w:val="32"/>
          <w:szCs w:val="32"/>
        </w:rPr>
      </w:pPr>
    </w:p>
    <w:p w14:paraId="45F23101">
      <w:pPr>
        <w:tabs>
          <w:tab w:val="center" w:pos="6979"/>
        </w:tabs>
        <w:spacing w:before="156" w:beforeLines="50" w:after="156" w:afterLines="50"/>
        <w:jc w:val="center"/>
        <w:rPr>
          <w:rFonts w:ascii="宋体" w:hAnsi="宋体" w:cs="宋体"/>
          <w:b/>
          <w:bCs/>
          <w:spacing w:val="40"/>
          <w:kern w:val="0"/>
          <w:sz w:val="32"/>
          <w:szCs w:val="32"/>
        </w:rPr>
      </w:pPr>
    </w:p>
    <w:p w14:paraId="577632A4">
      <w:pPr>
        <w:tabs>
          <w:tab w:val="center" w:pos="6979"/>
        </w:tabs>
        <w:spacing w:before="156" w:beforeLines="50" w:after="156" w:afterLines="50"/>
        <w:jc w:val="center"/>
        <w:rPr>
          <w:rFonts w:ascii="宋体" w:hAnsi="宋体" w:cs="宋体"/>
          <w:b/>
          <w:bCs/>
          <w:spacing w:val="40"/>
          <w:kern w:val="0"/>
          <w:sz w:val="32"/>
          <w:szCs w:val="32"/>
        </w:rPr>
      </w:pPr>
    </w:p>
    <w:p w14:paraId="646D4BAD">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3B730E2A">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CEAAFBC">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765708F7">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4DDF72EF">
      <w:pPr>
        <w:snapToGrid w:val="0"/>
        <w:spacing w:line="52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lang w:bidi="ar"/>
        </w:rPr>
        <w:t>1．主要职能。为学龄前儿童提供保育和教育服务。</w:t>
      </w:r>
    </w:p>
    <w:p w14:paraId="42019666">
      <w:pPr>
        <w:snapToGrid w:val="0"/>
        <w:spacing w:line="52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lang w:bidi="ar"/>
        </w:rPr>
        <w:t>2．机构情况。1个，无变动。</w:t>
      </w:r>
    </w:p>
    <w:p w14:paraId="3FC5F562">
      <w:pPr>
        <w:tabs>
          <w:tab w:val="center" w:pos="6979"/>
        </w:tabs>
        <w:spacing w:line="580" w:lineRule="exact"/>
        <w:rPr>
          <w:rFonts w:ascii="黑体" w:eastAsia="黑体"/>
          <w:b/>
          <w:sz w:val="28"/>
          <w:szCs w:val="28"/>
        </w:rPr>
      </w:pPr>
      <w:bookmarkStart w:id="2" w:name="_GoBack"/>
      <w:bookmarkEnd w:id="2"/>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280E8B4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2377.84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仿宋" w:eastAsia="仿宋_GB2312"/>
          <w:sz w:val="32"/>
          <w:szCs w:val="32"/>
          <w:lang w:bidi="ar"/>
        </w:rPr>
        <w:t>158.15万元</w:t>
      </w:r>
      <w:r>
        <w:rPr>
          <w:rFonts w:hint="eastAsia" w:ascii="仿宋_GB2312" w:eastAsia="仿宋_GB2312"/>
          <w:sz w:val="28"/>
          <w:szCs w:val="28"/>
        </w:rPr>
        <w:t>万元，增长</w:t>
      </w:r>
      <w:r>
        <w:rPr>
          <w:rFonts w:hint="eastAsia" w:ascii="仿宋_GB2312" w:hAnsi="仿宋" w:eastAsia="仿宋_GB2312"/>
          <w:sz w:val="32"/>
          <w:szCs w:val="32"/>
          <w:lang w:bidi="ar"/>
        </w:rPr>
        <w:t>7.75%</w:t>
      </w:r>
      <w:r>
        <w:rPr>
          <w:rFonts w:hint="eastAsia" w:ascii="仿宋_GB2312" w:eastAsia="仿宋_GB2312"/>
          <w:sz w:val="28"/>
          <w:szCs w:val="28"/>
        </w:rPr>
        <w:t>。</w:t>
      </w:r>
    </w:p>
    <w:p w14:paraId="0E4AAD4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5762CE2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2377.84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仿宋" w:eastAsia="仿宋_GB2312"/>
          <w:sz w:val="32"/>
          <w:szCs w:val="32"/>
          <w:lang w:bidi="ar"/>
        </w:rPr>
        <w:t>158.15万元</w:t>
      </w:r>
      <w:r>
        <w:rPr>
          <w:rFonts w:hint="eastAsia" w:ascii="仿宋_GB2312" w:eastAsia="仿宋_GB2312"/>
          <w:sz w:val="28"/>
          <w:szCs w:val="28"/>
        </w:rPr>
        <w:t>万元，增长</w:t>
      </w:r>
      <w:r>
        <w:rPr>
          <w:rFonts w:hint="eastAsia" w:ascii="仿宋_GB2312" w:hAnsi="仿宋" w:eastAsia="仿宋_GB2312"/>
          <w:sz w:val="32"/>
          <w:szCs w:val="32"/>
          <w:lang w:bidi="ar"/>
        </w:rPr>
        <w:t>7.75%</w:t>
      </w:r>
      <w:r>
        <w:rPr>
          <w:rFonts w:hint="eastAsia" w:ascii="仿宋_GB2312" w:eastAsia="仿宋_GB2312"/>
          <w:sz w:val="28"/>
          <w:szCs w:val="28"/>
        </w:rPr>
        <w:t>。</w:t>
      </w:r>
    </w:p>
    <w:p w14:paraId="4294FEC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2377.84</w:t>
      </w:r>
      <w:r>
        <w:rPr>
          <w:rFonts w:hint="eastAsia" w:ascii="仿宋_GB2312" w:eastAsia="仿宋_GB2312"/>
          <w:sz w:val="28"/>
          <w:szCs w:val="28"/>
        </w:rPr>
        <w:t>万元，占收入合计的100%。其中：一般公共预算财政拨款收入</w:t>
      </w:r>
      <w:r>
        <w:rPr>
          <w:rFonts w:ascii="仿宋_GB2312" w:eastAsia="仿宋_GB2312"/>
          <w:sz w:val="28"/>
          <w:szCs w:val="28"/>
        </w:rPr>
        <w:t>2377.84</w:t>
      </w:r>
      <w:r>
        <w:rPr>
          <w:rFonts w:hint="eastAsia" w:ascii="仿宋_GB2312" w:eastAsia="仿宋_GB2312"/>
          <w:sz w:val="28"/>
          <w:szCs w:val="28"/>
        </w:rPr>
        <w:t>万元，占收入合计的100%；政府性基金预算财政拨款收入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36BB698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4C668D3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667AD96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5FDFD84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2BF8A1D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59773190">
      <w:pPr>
        <w:pStyle w:val="2"/>
        <w:jc w:val="center"/>
      </w:pPr>
      <w:r>
        <w:rPr>
          <w:rFonts w:hint="eastAsia" w:ascii="仿宋_GB2312" w:eastAsia="仿宋_GB2312"/>
          <w:color w:val="000000"/>
          <w:sz w:val="32"/>
        </w:rPr>
        <w:t>图1：收入决算</w:t>
      </w:r>
    </w:p>
    <w:p w14:paraId="43263563">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9DC7CB1">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9F220A1">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2377.84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仿宋" w:eastAsia="仿宋_GB2312"/>
          <w:sz w:val="32"/>
          <w:szCs w:val="32"/>
          <w:lang w:bidi="ar"/>
        </w:rPr>
        <w:t>158.15万元</w:t>
      </w:r>
      <w:r>
        <w:rPr>
          <w:rFonts w:hint="eastAsia" w:ascii="仿宋_GB2312" w:eastAsia="仿宋_GB2312"/>
          <w:sz w:val="28"/>
          <w:szCs w:val="28"/>
        </w:rPr>
        <w:t>万元，增长</w:t>
      </w:r>
      <w:r>
        <w:rPr>
          <w:rFonts w:hint="eastAsia" w:ascii="仿宋_GB2312" w:hAnsi="仿宋" w:eastAsia="仿宋_GB2312"/>
          <w:sz w:val="32"/>
          <w:szCs w:val="32"/>
          <w:lang w:bidi="ar"/>
        </w:rPr>
        <w:t>7.75%</w:t>
      </w:r>
      <w:r>
        <w:rPr>
          <w:rFonts w:hint="eastAsia" w:ascii="仿宋_GB2312" w:eastAsia="仿宋_GB2312"/>
          <w:sz w:val="28"/>
          <w:szCs w:val="28"/>
        </w:rPr>
        <w:t>，其中：基本支出</w:t>
      </w:r>
      <w:r>
        <w:rPr>
          <w:rFonts w:ascii="仿宋_GB2312" w:eastAsia="仿宋_GB2312"/>
          <w:sz w:val="28"/>
          <w:szCs w:val="28"/>
        </w:rPr>
        <w:t>1918.12</w:t>
      </w:r>
      <w:r>
        <w:rPr>
          <w:rFonts w:hint="eastAsia" w:ascii="仿宋_GB2312" w:eastAsia="仿宋_GB2312"/>
          <w:sz w:val="28"/>
          <w:szCs w:val="28"/>
        </w:rPr>
        <w:t>万元，占支出合计的80.67%；项目支出</w:t>
      </w:r>
      <w:r>
        <w:rPr>
          <w:rFonts w:ascii="仿宋_GB2312" w:eastAsia="仿宋_GB2312"/>
          <w:sz w:val="28"/>
          <w:szCs w:val="28"/>
        </w:rPr>
        <w:t>459.71</w:t>
      </w:r>
      <w:r>
        <w:rPr>
          <w:rFonts w:hint="eastAsia" w:ascii="仿宋_GB2312" w:eastAsia="仿宋_GB2312"/>
          <w:sz w:val="28"/>
          <w:szCs w:val="28"/>
        </w:rPr>
        <w:t>万元，占支出合计的19.33%;上缴上级支出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12E58335">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CF96365">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CB3B40D">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77B8CDA">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2377.84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仿宋" w:eastAsia="仿宋_GB2312"/>
          <w:sz w:val="32"/>
          <w:szCs w:val="32"/>
          <w:lang w:bidi="ar"/>
        </w:rPr>
        <w:t>158.15</w:t>
      </w:r>
      <w:r>
        <w:rPr>
          <w:rFonts w:hint="eastAsia" w:ascii="仿宋_GB2312" w:eastAsia="仿宋_GB2312"/>
          <w:sz w:val="28"/>
          <w:szCs w:val="28"/>
        </w:rPr>
        <w:t>万元，增长</w:t>
      </w:r>
      <w:r>
        <w:rPr>
          <w:rFonts w:hint="eastAsia" w:ascii="仿宋_GB2312" w:hAnsi="仿宋" w:eastAsia="仿宋_GB2312"/>
          <w:sz w:val="32"/>
          <w:szCs w:val="32"/>
          <w:lang w:bidi="ar"/>
        </w:rPr>
        <w:t>7.75%</w:t>
      </w:r>
      <w:r>
        <w:rPr>
          <w:rFonts w:hint="eastAsia" w:ascii="仿宋_GB2312" w:eastAsia="仿宋_GB2312"/>
          <w:sz w:val="28"/>
          <w:szCs w:val="28"/>
        </w:rPr>
        <w:t>。主要原因：随扩班工作的开展，幼儿人数增多，各项预算收入均有所增加。特别是扩班带来的教职工人数需求增多，增加外聘人员项目经费。</w:t>
      </w:r>
    </w:p>
    <w:p w14:paraId="3492FD86">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48D3304D">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0AC4F28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bookmarkStart w:id="0" w:name="OLE_LINK1"/>
      <w:r>
        <w:rPr>
          <w:rFonts w:ascii="仿宋_GB2312" w:eastAsia="仿宋_GB2312"/>
          <w:sz w:val="28"/>
          <w:szCs w:val="28"/>
        </w:rPr>
        <w:t>2377.84</w:t>
      </w:r>
      <w:bookmarkEnd w:id="0"/>
      <w:r>
        <w:rPr>
          <w:rFonts w:hint="eastAsia" w:ascii="仿宋_GB2312" w:eastAsia="仿宋_GB2312"/>
          <w:sz w:val="28"/>
          <w:szCs w:val="28"/>
        </w:rPr>
        <w:t>万元，主要用于以下方面（按大类）：一般公共服务支出</w:t>
      </w:r>
      <w:r>
        <w:rPr>
          <w:rFonts w:ascii="仿宋_GB2312" w:eastAsia="仿宋_GB2312"/>
          <w:sz w:val="28"/>
          <w:szCs w:val="28"/>
        </w:rPr>
        <w:t>2377.84</w:t>
      </w:r>
      <w:r>
        <w:rPr>
          <w:rFonts w:hint="eastAsia" w:ascii="仿宋_GB2312" w:eastAsia="仿宋_GB2312"/>
          <w:sz w:val="28"/>
          <w:szCs w:val="28"/>
        </w:rPr>
        <w:t>万元，占本年财政拨款支出100.00%。</w:t>
      </w:r>
    </w:p>
    <w:p w14:paraId="6A1829D6">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08D62C48">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1、“教育支出”（类）2024年度年初预算1624.08万元，2024年度决算1769.34万元，完成年初预算的108.94%。</w:t>
      </w:r>
    </w:p>
    <w:p w14:paraId="5E07B124">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14:paraId="609D7655">
      <w:pPr>
        <w:spacing w:line="580" w:lineRule="exact"/>
        <w:ind w:firstLine="560" w:firstLineChars="200"/>
        <w:rPr>
          <w:rFonts w:ascii="仿宋_GB2312" w:eastAsia="仿宋_GB2312"/>
          <w:sz w:val="28"/>
          <w:szCs w:val="28"/>
        </w:rPr>
      </w:pPr>
      <w:r>
        <w:rPr>
          <w:rFonts w:hint="eastAsia" w:ascii="仿宋_GB2312" w:eastAsia="仿宋_GB2312"/>
          <w:sz w:val="28"/>
          <w:szCs w:val="28"/>
          <w:lang w:bidi="ar"/>
        </w:rPr>
        <w:t>“普通教育”（款）</w:t>
      </w:r>
      <w:r>
        <w:rPr>
          <w:rFonts w:hint="eastAsia" w:ascii="仿宋_GB2312" w:eastAsia="仿宋_GB2312"/>
          <w:sz w:val="28"/>
          <w:szCs w:val="28"/>
        </w:rPr>
        <w:t>年初预算1620.24万元，2024年度决算1767.69万元，完成年初预算的109.1%。主要原因：根据扩班需求增加外聘人员费用。</w:t>
      </w:r>
    </w:p>
    <w:p w14:paraId="0949F853">
      <w:pPr>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“进修及培训”（款）“培训支出”（项）年初预算3.84万元，2024年度决算1.64万元，完成年初预算的42.71%。主要原因：落实政府过紧日子要求、励行勤俭节约，控制培训成本。</w:t>
      </w:r>
    </w:p>
    <w:p w14:paraId="008FBECB">
      <w:pPr>
        <w:spacing w:line="580" w:lineRule="exact"/>
        <w:ind w:firstLine="560" w:firstLineChars="200"/>
        <w:rPr>
          <w:rFonts w:ascii="仿宋_GB2312" w:eastAsia="仿宋_GB2312" w:cs="仿宋_GB2312"/>
          <w:sz w:val="28"/>
          <w:szCs w:val="28"/>
        </w:rPr>
      </w:pPr>
      <w:r>
        <w:rPr>
          <w:rFonts w:hint="eastAsia" w:ascii="仿宋_GB2312" w:eastAsia="仿宋_GB2312" w:cs="仿宋_GB2312"/>
          <w:sz w:val="28"/>
          <w:szCs w:val="28"/>
        </w:rPr>
        <w:t>2、</w:t>
      </w:r>
      <w:r>
        <w:rPr>
          <w:rFonts w:hint="eastAsia" w:ascii="仿宋_GB2312" w:eastAsia="仿宋_GB2312"/>
          <w:sz w:val="28"/>
          <w:szCs w:val="28"/>
        </w:rPr>
        <w:t>“社会保障和就业支出”（类）2024年度年初预算219.80万元，2024年度决算236.69万元，完成年初预算的107.68%。其中：</w:t>
      </w:r>
    </w:p>
    <w:p w14:paraId="782BDACE">
      <w:pPr>
        <w:spacing w:line="580" w:lineRule="exact"/>
        <w:ind w:firstLine="560" w:firstLineChars="200"/>
        <w:rPr>
          <w:rFonts w:ascii="仿宋_GB2312" w:eastAsia="仿宋_GB2312" w:cs="仿宋_GB2312"/>
          <w:sz w:val="28"/>
          <w:szCs w:val="28"/>
          <w:lang w:bidi="ar"/>
        </w:rPr>
      </w:pPr>
      <w:r>
        <w:rPr>
          <w:rFonts w:hint="eastAsia" w:ascii="仿宋_GB2312" w:eastAsia="仿宋_GB2312" w:cs="仿宋_GB2312"/>
          <w:sz w:val="28"/>
          <w:szCs w:val="28"/>
          <w:lang w:bidi="ar"/>
        </w:rPr>
        <w:t>“行政事业单位养老支出”（款）2024年度年初预算219.80万元，2024年度决算236.69万元，完成年初预算的107.68%。主要原因：养老保险基数调整以及追加退休人员一次性补贴。</w:t>
      </w:r>
    </w:p>
    <w:p w14:paraId="2F762D22">
      <w:pPr>
        <w:spacing w:line="580" w:lineRule="exact"/>
        <w:ind w:firstLine="560" w:firstLineChars="200"/>
        <w:rPr>
          <w:rFonts w:eastAsia="仿宋_GB2312"/>
        </w:rPr>
      </w:pPr>
      <w:r>
        <w:rPr>
          <w:rFonts w:hint="eastAsia" w:ascii="仿宋_GB2312" w:eastAsia="仿宋_GB2312"/>
          <w:sz w:val="28"/>
          <w:szCs w:val="28"/>
        </w:rPr>
        <w:t>3、“卫生健康支出”(类)2024年度年初预算118.94万元，2024年度决算126.54万元，完成年初预算的106.39%。其中：</w:t>
      </w:r>
    </w:p>
    <w:p w14:paraId="40267DDF">
      <w:pPr>
        <w:spacing w:line="580" w:lineRule="exact"/>
        <w:ind w:firstLine="560" w:firstLineChars="200"/>
        <w:rPr>
          <w:rFonts w:ascii="仿宋_GB2312" w:eastAsia="仿宋_GB2312" w:cs="仿宋_GB2312"/>
          <w:sz w:val="28"/>
          <w:szCs w:val="28"/>
        </w:rPr>
      </w:pPr>
      <w:r>
        <w:rPr>
          <w:rFonts w:hint="eastAsia" w:ascii="仿宋_GB2312" w:eastAsia="仿宋_GB2312" w:cs="仿宋_GB2312"/>
          <w:sz w:val="28"/>
          <w:szCs w:val="28"/>
          <w:lang w:bidi="ar"/>
        </w:rPr>
        <w:t>“行政事业单位医疗”（款）2024年度</w:t>
      </w:r>
      <w:r>
        <w:rPr>
          <w:rFonts w:hint="eastAsia" w:ascii="仿宋_GB2312" w:eastAsia="仿宋_GB2312"/>
          <w:sz w:val="28"/>
          <w:szCs w:val="28"/>
        </w:rPr>
        <w:t>年初预算118.94万元，2024年度决算126.54万元，完成年初预算的106.39%</w:t>
      </w:r>
      <w:r>
        <w:rPr>
          <w:rFonts w:hint="eastAsia" w:ascii="仿宋_GB2312" w:eastAsia="仿宋_GB2312" w:cs="仿宋_GB2312"/>
          <w:sz w:val="28"/>
          <w:szCs w:val="28"/>
          <w:lang w:bidi="ar"/>
        </w:rPr>
        <w:t>主要原因：医疗保险基数调增。</w:t>
      </w:r>
    </w:p>
    <w:p w14:paraId="3B612EBE">
      <w:pPr>
        <w:spacing w:line="580" w:lineRule="exact"/>
        <w:ind w:firstLine="560" w:firstLineChars="200"/>
        <w:rPr>
          <w:rFonts w:ascii="仿宋_GB2312" w:eastAsia="仿宋_GB2312" w:cs="仿宋_GB2312"/>
          <w:sz w:val="28"/>
          <w:szCs w:val="28"/>
        </w:rPr>
      </w:pPr>
      <w:r>
        <w:rPr>
          <w:rFonts w:hint="eastAsia" w:ascii="仿宋_GB2312" w:eastAsia="仿宋_GB2312" w:cs="仿宋_GB2312"/>
          <w:sz w:val="28"/>
          <w:szCs w:val="28"/>
        </w:rPr>
        <w:t>4、</w:t>
      </w:r>
      <w:r>
        <w:rPr>
          <w:rFonts w:hint="eastAsia" w:ascii="仿宋_GB2312" w:eastAsia="仿宋_GB2312"/>
          <w:sz w:val="28"/>
          <w:szCs w:val="28"/>
        </w:rPr>
        <w:t>“住房保障支出”(类)2024年度年初预算</w:t>
      </w:r>
      <w:bookmarkStart w:id="1" w:name="OLE_LINK2"/>
      <w:r>
        <w:rPr>
          <w:rFonts w:hint="eastAsia" w:ascii="仿宋_GB2312" w:eastAsia="仿宋_GB2312"/>
          <w:sz w:val="28"/>
          <w:szCs w:val="28"/>
        </w:rPr>
        <w:t>235.57万元，2024年度决算245.28万元，完成年初预算的104.12%</w:t>
      </w:r>
      <w:bookmarkEnd w:id="1"/>
      <w:r>
        <w:rPr>
          <w:rFonts w:hint="eastAsia" w:ascii="仿宋_GB2312" w:eastAsia="仿宋_GB2312"/>
          <w:sz w:val="28"/>
          <w:szCs w:val="28"/>
        </w:rPr>
        <w:t>。其中：</w:t>
      </w:r>
    </w:p>
    <w:p w14:paraId="747C243F">
      <w:pPr>
        <w:spacing w:line="580" w:lineRule="exact"/>
        <w:ind w:firstLine="560" w:firstLineChars="200"/>
        <w:rPr>
          <w:rFonts w:eastAsia="仿宋_GB2312"/>
        </w:rPr>
      </w:pPr>
      <w:r>
        <w:rPr>
          <w:rFonts w:hint="eastAsia" w:ascii="仿宋_GB2312" w:eastAsia="仿宋_GB2312" w:cs="仿宋_GB2312"/>
          <w:sz w:val="28"/>
          <w:szCs w:val="28"/>
          <w:lang w:bidi="ar"/>
        </w:rPr>
        <w:t>“住房改革支出”（款）2024年度年初预算</w:t>
      </w:r>
      <w:r>
        <w:rPr>
          <w:rFonts w:hint="eastAsia" w:ascii="仿宋_GB2312" w:eastAsia="仿宋_GB2312"/>
          <w:sz w:val="28"/>
          <w:szCs w:val="28"/>
        </w:rPr>
        <w:t>235.57万元，2024年度决算245.28万元，完成年初预算的104.12%</w:t>
      </w:r>
      <w:r>
        <w:rPr>
          <w:rFonts w:hint="eastAsia" w:ascii="仿宋_GB2312" w:eastAsia="仿宋_GB2312" w:cs="仿宋_GB2312"/>
          <w:sz w:val="28"/>
          <w:szCs w:val="28"/>
          <w:lang w:bidi="ar"/>
        </w:rPr>
        <w:t>。主要原因：住房公积金基数调整。</w:t>
      </w:r>
    </w:p>
    <w:p w14:paraId="6B726553">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240E2117">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532FBF13">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D8BE56E">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6048B154">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2A99A791">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1918.12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32066F54">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0169D100">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600F237B">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5C9757F5">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2B761F7A">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42A325CF">
      <w:pPr>
        <w:ind w:firstLine="537" w:firstLineChars="192"/>
      </w:pPr>
      <w:r>
        <w:rPr>
          <w:rFonts w:hint="eastAsia" w:ascii="仿宋_GB2312" w:eastAsia="仿宋_GB2312"/>
          <w:sz w:val="28"/>
          <w:szCs w:val="28"/>
        </w:rPr>
        <w:t>本单位不在机关运行经费统计范围内。</w:t>
      </w:r>
    </w:p>
    <w:p w14:paraId="7223FB84">
      <w:pPr>
        <w:ind w:left="540"/>
        <w:rPr>
          <w:rFonts w:ascii="黑体" w:eastAsia="黑体"/>
          <w:sz w:val="28"/>
          <w:szCs w:val="28"/>
        </w:rPr>
      </w:pPr>
      <w:r>
        <w:rPr>
          <w:rFonts w:hint="eastAsia" w:ascii="黑体" w:eastAsia="黑体"/>
          <w:sz w:val="28"/>
          <w:szCs w:val="28"/>
        </w:rPr>
        <w:t>三、政府采购支出情况</w:t>
      </w:r>
    </w:p>
    <w:p w14:paraId="0E6100B0">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28.82</w:t>
      </w:r>
      <w:r>
        <w:rPr>
          <w:rFonts w:hint="eastAsia" w:ascii="仿宋_GB2312" w:eastAsia="仿宋_GB2312"/>
          <w:sz w:val="28"/>
          <w:szCs w:val="28"/>
        </w:rPr>
        <w:t>万元，其中：政府采购货物支出</w:t>
      </w:r>
      <w:r>
        <w:rPr>
          <w:rFonts w:ascii="仿宋_GB2312" w:eastAsia="仿宋_GB2312"/>
          <w:sz w:val="28"/>
          <w:szCs w:val="28"/>
        </w:rPr>
        <w:t>4.37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24.46</w:t>
      </w:r>
      <w:r>
        <w:rPr>
          <w:rFonts w:hint="eastAsia" w:ascii="仿宋_GB2312" w:eastAsia="仿宋_GB2312"/>
          <w:sz w:val="28"/>
          <w:szCs w:val="28"/>
        </w:rPr>
        <w:t>万元。授予中小企业合同金额</w:t>
      </w:r>
      <w:r>
        <w:rPr>
          <w:rFonts w:ascii="仿宋_GB2312" w:eastAsia="仿宋_GB2312"/>
          <w:sz w:val="28"/>
          <w:szCs w:val="28"/>
        </w:rPr>
        <w:t>28.82</w:t>
      </w:r>
      <w:r>
        <w:rPr>
          <w:rFonts w:hint="eastAsia" w:ascii="仿宋_GB2312" w:eastAsia="仿宋_GB2312"/>
          <w:sz w:val="28"/>
          <w:szCs w:val="28"/>
        </w:rPr>
        <w:t>万元，占政府采购支出总额的100%，其中：授予小微企业合同金额</w:t>
      </w:r>
      <w:r>
        <w:rPr>
          <w:rFonts w:ascii="仿宋_GB2312" w:eastAsia="仿宋_GB2312"/>
          <w:sz w:val="28"/>
          <w:szCs w:val="28"/>
        </w:rPr>
        <w:t>28.82</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151C254C">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6C6DC24B">
      <w:pPr>
        <w:ind w:firstLine="560" w:firstLineChars="200"/>
        <w:rPr>
          <w:rFonts w:ascii="仿宋_GB2312" w:eastAsia="仿宋_GB2312"/>
          <w:sz w:val="32"/>
          <w:szCs w:val="32"/>
        </w:rPr>
      </w:pPr>
      <w:r>
        <w:rPr>
          <w:rFonts w:hint="eastAsia" w:ascii="仿宋_GB2312" w:eastAsia="仿宋_GB2312"/>
          <w:sz w:val="28"/>
          <w:szCs w:val="28"/>
        </w:rPr>
        <w:t>截至12月31日，北京市西城区信和幼儿园共有车辆0台；单位价值100万元（含）以上的设备0台（套）。</w:t>
      </w:r>
    </w:p>
    <w:p w14:paraId="1587F940">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57F6392B">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0AD30E39">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16DF16B">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7A46FEE">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6FEFCD3">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02A3A75">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DF285D3">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AB4BB34">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6EAE8A2">
      <w:pPr>
        <w:ind w:firstLine="420" w:firstLineChars="150"/>
        <w:rPr>
          <w:rFonts w:ascii="仿宋_GB2312" w:eastAsia="仿宋_GB2312" w:cs="仿宋_GB2312"/>
          <w:sz w:val="28"/>
          <w:szCs w:val="28"/>
        </w:rPr>
      </w:pPr>
      <w:r>
        <w:rPr>
          <w:rFonts w:hint="eastAsia" w:ascii="仿宋_GB2312" w:eastAsia="仿宋_GB2312"/>
          <w:sz w:val="28"/>
          <w:szCs w:val="28"/>
        </w:rPr>
        <w:t>7.</w:t>
      </w:r>
      <w:r>
        <w:rPr>
          <w:rFonts w:hint="eastAsia" w:ascii="仿宋_GB2312" w:eastAsia="仿宋_GB2312" w:cs="仿宋_GB2312"/>
          <w:sz w:val="28"/>
          <w:szCs w:val="28"/>
        </w:rPr>
        <w:t>教育支出（类）普通教育（款）学前教育（项）：反映本部门举办的学前教育支出。</w:t>
      </w:r>
    </w:p>
    <w:p w14:paraId="6E3EB026">
      <w:pPr>
        <w:ind w:firstLine="420" w:firstLineChars="150"/>
        <w:rPr>
          <w:rFonts w:ascii="仿宋_GB2312" w:eastAsia="仿宋_GB2312"/>
          <w:sz w:val="28"/>
          <w:szCs w:val="28"/>
        </w:rPr>
      </w:pPr>
      <w:r>
        <w:rPr>
          <w:rFonts w:hint="eastAsia" w:ascii="仿宋_GB2312" w:eastAsia="仿宋_GB2312"/>
          <w:sz w:val="28"/>
          <w:szCs w:val="28"/>
        </w:rPr>
        <w:t>8.教育支出（类）进修及培训（款）培训支出（项）：反映本部门安排的用于培训的支出。</w:t>
      </w:r>
    </w:p>
    <w:p w14:paraId="6B1CC2E2">
      <w:pPr>
        <w:ind w:firstLine="420" w:firstLineChars="150"/>
        <w:rPr>
          <w:rFonts w:ascii="仿宋_GB2312" w:eastAsia="仿宋_GB2312"/>
          <w:sz w:val="28"/>
          <w:szCs w:val="28"/>
        </w:rPr>
      </w:pPr>
      <w:r>
        <w:rPr>
          <w:rFonts w:hint="eastAsia" w:ascii="仿宋_GB2312" w:eastAsia="仿宋_GB2312"/>
          <w:sz w:val="28"/>
          <w:szCs w:val="28"/>
        </w:rPr>
        <w:t>9.社会保障和就业支出（类）行政事业单位养老支出（款）事业单位离退休（项）：反映事业单位开支的离退休经费。</w:t>
      </w:r>
    </w:p>
    <w:p w14:paraId="46C37F55">
      <w:pPr>
        <w:ind w:firstLine="420" w:firstLineChars="150"/>
        <w:rPr>
          <w:rFonts w:ascii="仿宋_GB2312" w:eastAsia="仿宋_GB2312"/>
          <w:sz w:val="28"/>
          <w:szCs w:val="28"/>
        </w:rPr>
      </w:pPr>
      <w:r>
        <w:rPr>
          <w:rFonts w:hint="eastAsia" w:ascii="仿宋_GB2312" w:eastAsia="仿宋_GB2312"/>
          <w:sz w:val="28"/>
          <w:szCs w:val="28"/>
        </w:rPr>
        <w:t>10.社会保障和就业支出（类）行政事业单位养老支出（款）机关事业单位基本养老保险缴费支出（项）：反映机关事业单位实施养老保险制度由单位缴纳的基本养老保险费支出。</w:t>
      </w:r>
    </w:p>
    <w:p w14:paraId="5994F024">
      <w:pPr>
        <w:ind w:firstLine="420" w:firstLineChars="150"/>
        <w:rPr>
          <w:rFonts w:ascii="仿宋_GB2312" w:eastAsia="仿宋_GB2312"/>
          <w:sz w:val="28"/>
          <w:szCs w:val="28"/>
        </w:rPr>
      </w:pPr>
      <w:r>
        <w:rPr>
          <w:rFonts w:hint="eastAsia" w:ascii="仿宋_GB2312" w:eastAsia="仿宋_GB2312"/>
          <w:sz w:val="28"/>
          <w:szCs w:val="28"/>
        </w:rPr>
        <w:t>11.社会保障和就业支出（类）行政事业单位养老支出（款）机关事业单位职业年金缴费支出（项）：反映机关事业单位实施养老保险制度由单位实际缴纳的职业年金支出。</w:t>
      </w:r>
    </w:p>
    <w:p w14:paraId="00AEAEDA">
      <w:pPr>
        <w:ind w:firstLine="420" w:firstLineChars="150"/>
        <w:rPr>
          <w:rFonts w:ascii="仿宋_GB2312" w:eastAsia="仿宋_GB2312"/>
          <w:sz w:val="28"/>
          <w:szCs w:val="28"/>
        </w:rPr>
      </w:pPr>
      <w:r>
        <w:rPr>
          <w:rFonts w:hint="eastAsia" w:ascii="仿宋_GB2312" w:eastAsia="仿宋_GB2312"/>
          <w:sz w:val="28"/>
          <w:szCs w:val="28"/>
        </w:rPr>
        <w:t>12.卫生健康支出（类）行政事业单位医疗（款）事业单位医疗（项）：反映财政部门安排的事业单位基本医疗保险缴费经费，未参加医疗保险的事业单位的公费医疗经费，按国家规定享受离休人员待遇的医疗经费。</w:t>
      </w:r>
    </w:p>
    <w:p w14:paraId="0580E119">
      <w:pPr>
        <w:ind w:firstLine="420" w:firstLineChars="150"/>
        <w:rPr>
          <w:rFonts w:ascii="仿宋_GB2312" w:eastAsia="仿宋_GB2312"/>
          <w:sz w:val="28"/>
          <w:szCs w:val="28"/>
        </w:rPr>
      </w:pPr>
      <w:r>
        <w:rPr>
          <w:rFonts w:hint="eastAsia" w:ascii="仿宋_GB2312" w:eastAsia="仿宋_GB2312"/>
          <w:sz w:val="28"/>
          <w:szCs w:val="28"/>
        </w:rPr>
        <w:t>13.住房保障支出（类）住房改革支出（款）住房公积金（项）：反映行政事业单位按人力资源和社会保障部、财政部规定的基本工资和津贴补贴以及规定比例为职工缴纳的住房公积金。</w:t>
      </w:r>
    </w:p>
    <w:p w14:paraId="3C183285">
      <w:pPr>
        <w:ind w:firstLine="420" w:firstLineChars="150"/>
        <w:rPr>
          <w:rFonts w:ascii="仿宋_GB2312" w:eastAsia="仿宋_GB2312"/>
          <w:sz w:val="28"/>
          <w:szCs w:val="28"/>
        </w:rPr>
      </w:pPr>
      <w:r>
        <w:rPr>
          <w:rFonts w:hint="eastAsia" w:ascii="仿宋_GB2312" w:eastAsia="仿宋_GB2312"/>
          <w:sz w:val="28"/>
          <w:szCs w:val="28"/>
        </w:rPr>
        <w:t>14.住房保障支出（类）住房改革支出（款）提租补贴（项）：反映按房改政策规定的标准，行政事业单位向职工（含离退休人员）发放的租金补助。</w:t>
      </w:r>
    </w:p>
    <w:p w14:paraId="3349F971">
      <w:pPr>
        <w:ind w:firstLine="420" w:firstLineChars="150"/>
        <w:rPr>
          <w:rFonts w:ascii="仿宋_GB2312" w:eastAsia="仿宋_GB2312"/>
          <w:sz w:val="28"/>
          <w:szCs w:val="28"/>
        </w:rPr>
      </w:pPr>
      <w:r>
        <w:rPr>
          <w:rFonts w:hint="eastAsia" w:ascii="仿宋_GB2312" w:eastAsia="仿宋_GB2312"/>
          <w:sz w:val="28"/>
          <w:szCs w:val="28"/>
        </w:rPr>
        <w:t>15.住房保障支出（类）住房改革支出（款）购房补贴（项）：反映按房改政策规定的标准，行政事业单位向符合条件职工（含离退休人员）发放的用于购买住房的补贴。</w:t>
      </w:r>
    </w:p>
    <w:p w14:paraId="446CEAFF">
      <w:pPr>
        <w:pStyle w:val="2"/>
      </w:pPr>
    </w:p>
    <w:p w14:paraId="2FFEABD5">
      <w:pPr>
        <w:rPr>
          <w:rFonts w:ascii="黑体" w:eastAsia="黑体"/>
          <w:sz w:val="32"/>
          <w:szCs w:val="32"/>
        </w:rPr>
      </w:pPr>
    </w:p>
    <w:p w14:paraId="2042F9E2">
      <w:pPr>
        <w:ind w:firstLine="640" w:firstLineChars="200"/>
        <w:jc w:val="center"/>
        <w:rPr>
          <w:rFonts w:ascii="黑体" w:eastAsia="黑体"/>
          <w:sz w:val="32"/>
          <w:szCs w:val="32"/>
        </w:rPr>
      </w:pPr>
    </w:p>
    <w:p w14:paraId="79F070CD">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69893E6B">
      <w:pPr>
        <w:ind w:firstLine="560" w:firstLineChars="200"/>
        <w:rPr>
          <w:rFonts w:ascii="黑体" w:eastAsia="黑体"/>
          <w:sz w:val="28"/>
          <w:szCs w:val="28"/>
          <w:highlight w:val="yellow"/>
        </w:rPr>
      </w:pPr>
    </w:p>
    <w:p w14:paraId="699941B3">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AEE4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4E81C0D2">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8837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12</w:t>
    </w:r>
    <w:r>
      <w:fldChar w:fldCharType="end"/>
    </w:r>
  </w:p>
  <w:p w14:paraId="357277A0">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F1258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6AB15E4D">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kNmExMGE4ODUxNjYxYjQ4ZGNhY2ZlMjQ5NmQwNT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35CB"/>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4E6"/>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4162"/>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0591"/>
    <w:rsid w:val="00A81518"/>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92CD0"/>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C27F46"/>
    <w:rsid w:val="02F120AB"/>
    <w:rsid w:val="032B5196"/>
    <w:rsid w:val="04C3537C"/>
    <w:rsid w:val="079004AC"/>
    <w:rsid w:val="0B9E269F"/>
    <w:rsid w:val="0BA148CA"/>
    <w:rsid w:val="0C1165C4"/>
    <w:rsid w:val="0D6D544B"/>
    <w:rsid w:val="0DD136FE"/>
    <w:rsid w:val="0F8E2C57"/>
    <w:rsid w:val="1059665E"/>
    <w:rsid w:val="10AC13BA"/>
    <w:rsid w:val="145A6C1B"/>
    <w:rsid w:val="148F2F79"/>
    <w:rsid w:val="14B73493"/>
    <w:rsid w:val="167A2FF9"/>
    <w:rsid w:val="18581C69"/>
    <w:rsid w:val="19A8293B"/>
    <w:rsid w:val="1AD27C6F"/>
    <w:rsid w:val="1AEC0734"/>
    <w:rsid w:val="1D4B3A7E"/>
    <w:rsid w:val="1DEF20B0"/>
    <w:rsid w:val="206C46C2"/>
    <w:rsid w:val="214243FA"/>
    <w:rsid w:val="21AD613C"/>
    <w:rsid w:val="22467189"/>
    <w:rsid w:val="23931BB2"/>
    <w:rsid w:val="23DC48B9"/>
    <w:rsid w:val="257A14F5"/>
    <w:rsid w:val="27196C26"/>
    <w:rsid w:val="29EF086F"/>
    <w:rsid w:val="2A3C3357"/>
    <w:rsid w:val="2B8C0F10"/>
    <w:rsid w:val="2B98280F"/>
    <w:rsid w:val="2DD9679C"/>
    <w:rsid w:val="2EFFE297"/>
    <w:rsid w:val="301437CA"/>
    <w:rsid w:val="30766D5D"/>
    <w:rsid w:val="31C14142"/>
    <w:rsid w:val="349D1F0A"/>
    <w:rsid w:val="34DD0473"/>
    <w:rsid w:val="3B070E17"/>
    <w:rsid w:val="3C684897"/>
    <w:rsid w:val="433E495C"/>
    <w:rsid w:val="489F2FD7"/>
    <w:rsid w:val="4AC27CB3"/>
    <w:rsid w:val="4BF72BEF"/>
    <w:rsid w:val="4E5403C0"/>
    <w:rsid w:val="4E550D53"/>
    <w:rsid w:val="4FA90297"/>
    <w:rsid w:val="4FC41A43"/>
    <w:rsid w:val="51385D77"/>
    <w:rsid w:val="51DB3C59"/>
    <w:rsid w:val="52132340"/>
    <w:rsid w:val="53E73A84"/>
    <w:rsid w:val="550C0952"/>
    <w:rsid w:val="55762E42"/>
    <w:rsid w:val="561A3126"/>
    <w:rsid w:val="57A7B272"/>
    <w:rsid w:val="58470068"/>
    <w:rsid w:val="58747CAC"/>
    <w:rsid w:val="58D85297"/>
    <w:rsid w:val="5A1720F9"/>
    <w:rsid w:val="5AEB2D7B"/>
    <w:rsid w:val="5B9C37C2"/>
    <w:rsid w:val="5BA7C654"/>
    <w:rsid w:val="5BFB1340"/>
    <w:rsid w:val="60A54109"/>
    <w:rsid w:val="61D01CDF"/>
    <w:rsid w:val="6235097C"/>
    <w:rsid w:val="64C0607C"/>
    <w:rsid w:val="65756C86"/>
    <w:rsid w:val="674D385B"/>
    <w:rsid w:val="676C5848"/>
    <w:rsid w:val="676F09E1"/>
    <w:rsid w:val="6B8B10E9"/>
    <w:rsid w:val="6B970455"/>
    <w:rsid w:val="6E0B0D13"/>
    <w:rsid w:val="71793A80"/>
    <w:rsid w:val="7357290B"/>
    <w:rsid w:val="7691545E"/>
    <w:rsid w:val="798524E4"/>
    <w:rsid w:val="7A7F1C49"/>
    <w:rsid w:val="7AD87AFF"/>
    <w:rsid w:val="7B5B7AE6"/>
    <w:rsid w:val="7B7B6628"/>
    <w:rsid w:val="7BA7071E"/>
    <w:rsid w:val="7BDF6DA8"/>
    <w:rsid w:val="7C4F2467"/>
    <w:rsid w:val="7C7EDC1A"/>
    <w:rsid w:val="7CCED98D"/>
    <w:rsid w:val="7D08410F"/>
    <w:rsid w:val="7DB96DED"/>
    <w:rsid w:val="7DD3AD81"/>
    <w:rsid w:val="7DDE4744"/>
    <w:rsid w:val="7E891395"/>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customStyle="1" w:styleId="20">
    <w:name w:val="msolistparagraph"/>
    <w:basedOn w:val="1"/>
    <w:uiPriority w:val="0"/>
    <w:pPr>
      <w:ind w:left="720"/>
      <w:contextualSpacing/>
    </w:pPr>
    <w:rPr>
      <w:rFonts w:hint="eastAsia" w:ascii="等线" w:hAnsi="等线" w:eastAsia="等线"/>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2377.84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5e9d1c3-f8a9-4d89-9a8d-3e669524c4bf}"/>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1918.12</c:v>
                </c:pt>
                <c:pt idx="1">
                  <c:v>459.71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6c6de930-4cd6-4711-a60d-6a3300668fad}"/>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3388</Words>
  <Characters>3822</Characters>
  <Lines>28</Lines>
  <Paragraphs>7</Paragraphs>
  <TotalTime>25</TotalTime>
  <ScaleCrop>false</ScaleCrop>
  <LinksUpToDate>false</LinksUpToDate>
  <CharactersWithSpaces>3841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周惠昭</cp:lastModifiedBy>
  <cp:lastPrinted>2020-08-07T11:39:00Z</cp:lastPrinted>
  <dcterms:modified xsi:type="dcterms:W3CDTF">2025-08-28T03:16:16Z</dcterms:modified>
  <dc:title>北京市财政局关于做好向市人大常委会报送2015年度市级部门决算（草案）</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eyJoZGlkIjoiMWI0NjZhYzNkM2U2YmU1ZjFmYjhkZmI1NmYyMjZiMGEiLCJ1c2VySWQiOiIxNjAzNDIwMTgyIn0=</vt:lpwstr>
  </property>
</Properties>
</file>