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CECAD">
      <w:pPr>
        <w:jc w:val="center"/>
        <w:rPr>
          <w:rFonts w:ascii="仿宋_GB2312" w:eastAsia="仿宋_GB2312"/>
          <w:b/>
          <w:sz w:val="32"/>
          <w:szCs w:val="32"/>
        </w:rPr>
      </w:pPr>
    </w:p>
    <w:p w14:paraId="1771CF95">
      <w:pPr>
        <w:jc w:val="center"/>
        <w:rPr>
          <w:rFonts w:ascii="黑体" w:eastAsia="黑体"/>
          <w:sz w:val="72"/>
          <w:szCs w:val="72"/>
        </w:rPr>
      </w:pPr>
    </w:p>
    <w:p w14:paraId="7B19B9BF">
      <w:pPr>
        <w:jc w:val="center"/>
        <w:rPr>
          <w:rFonts w:ascii="黑体" w:eastAsia="黑体"/>
          <w:sz w:val="72"/>
          <w:szCs w:val="72"/>
        </w:rPr>
      </w:pPr>
    </w:p>
    <w:p w14:paraId="39777506">
      <w:pPr>
        <w:jc w:val="center"/>
        <w:rPr>
          <w:rFonts w:ascii="黑体" w:eastAsia="黑体"/>
          <w:sz w:val="72"/>
          <w:szCs w:val="72"/>
        </w:rPr>
      </w:pPr>
    </w:p>
    <w:p w14:paraId="1D646666">
      <w:pPr>
        <w:jc w:val="center"/>
        <w:rPr>
          <w:rFonts w:ascii="黑体" w:eastAsia="黑体"/>
          <w:sz w:val="72"/>
          <w:szCs w:val="72"/>
        </w:rPr>
      </w:pPr>
    </w:p>
    <w:p w14:paraId="31CA332F">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2F37185">
      <w:pPr>
        <w:jc w:val="center"/>
        <w:rPr>
          <w:rFonts w:ascii="黑体" w:eastAsia="黑体"/>
          <w:sz w:val="52"/>
          <w:szCs w:val="52"/>
        </w:rPr>
      </w:pPr>
    </w:p>
    <w:p w14:paraId="4A1344A7">
      <w:pPr>
        <w:jc w:val="center"/>
        <w:rPr>
          <w:rFonts w:ascii="黑体" w:eastAsia="黑体"/>
          <w:sz w:val="52"/>
          <w:szCs w:val="52"/>
        </w:rPr>
      </w:pPr>
    </w:p>
    <w:p w14:paraId="0356CB75">
      <w:pPr>
        <w:jc w:val="center"/>
        <w:rPr>
          <w:rFonts w:ascii="黑体" w:eastAsia="黑体"/>
          <w:sz w:val="52"/>
          <w:szCs w:val="52"/>
        </w:rPr>
      </w:pPr>
    </w:p>
    <w:p w14:paraId="635B8229">
      <w:pPr>
        <w:jc w:val="center"/>
        <w:rPr>
          <w:rFonts w:ascii="黑体" w:eastAsia="黑体"/>
          <w:sz w:val="52"/>
          <w:szCs w:val="52"/>
        </w:rPr>
      </w:pPr>
    </w:p>
    <w:p w14:paraId="55435E52">
      <w:pPr>
        <w:jc w:val="center"/>
        <w:rPr>
          <w:rFonts w:ascii="黑体" w:eastAsia="黑体"/>
          <w:sz w:val="32"/>
          <w:szCs w:val="32"/>
        </w:rPr>
      </w:pPr>
    </w:p>
    <w:p w14:paraId="61BA2BB7">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B647439">
      <w:pPr>
        <w:spacing w:line="500" w:lineRule="exact"/>
        <w:ind w:firstLine="645"/>
        <w:jc w:val="center"/>
        <w:rPr>
          <w:rFonts w:hint="eastAsia" w:ascii="宋体" w:hAnsi="宋体" w:cs="宋体"/>
          <w:b/>
          <w:bCs/>
          <w:kern w:val="0"/>
          <w:sz w:val="36"/>
          <w:szCs w:val="36"/>
        </w:rPr>
      </w:pPr>
    </w:p>
    <w:p w14:paraId="3240268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CA01DE3">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5FF65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E8E5B9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F6CCFE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9DFED5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A7EBB5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1F69A4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12DAC4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71DE3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BD54E4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093075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177F61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21ED34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0F80010">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E931D3A">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E770C1B">
      <w:pPr>
        <w:tabs>
          <w:tab w:val="center" w:pos="6979"/>
        </w:tabs>
        <w:spacing w:before="156" w:beforeLines="50" w:after="156" w:afterLines="50"/>
        <w:jc w:val="center"/>
        <w:rPr>
          <w:rFonts w:ascii="宋体" w:hAnsi="宋体" w:cs="宋体"/>
          <w:b/>
          <w:bCs/>
          <w:spacing w:val="40"/>
          <w:kern w:val="0"/>
          <w:sz w:val="32"/>
          <w:szCs w:val="32"/>
        </w:rPr>
      </w:pPr>
    </w:p>
    <w:p w14:paraId="3755AB1E">
      <w:pPr>
        <w:tabs>
          <w:tab w:val="center" w:pos="6979"/>
        </w:tabs>
        <w:spacing w:before="156" w:beforeLines="50" w:after="156" w:afterLines="50"/>
        <w:jc w:val="center"/>
        <w:rPr>
          <w:rFonts w:ascii="宋体" w:hAnsi="宋体" w:cs="宋体"/>
          <w:b/>
          <w:bCs/>
          <w:spacing w:val="40"/>
          <w:kern w:val="0"/>
          <w:sz w:val="32"/>
          <w:szCs w:val="32"/>
        </w:rPr>
      </w:pPr>
    </w:p>
    <w:p w14:paraId="626F303B">
      <w:pPr>
        <w:tabs>
          <w:tab w:val="center" w:pos="6979"/>
        </w:tabs>
        <w:spacing w:before="156" w:beforeLines="50" w:after="156" w:afterLines="50"/>
        <w:jc w:val="center"/>
        <w:rPr>
          <w:rFonts w:ascii="宋体" w:hAnsi="宋体" w:cs="宋体"/>
          <w:b/>
          <w:bCs/>
          <w:spacing w:val="40"/>
          <w:kern w:val="0"/>
          <w:sz w:val="32"/>
          <w:szCs w:val="32"/>
        </w:rPr>
      </w:pPr>
    </w:p>
    <w:p w14:paraId="3FE77881">
      <w:pPr>
        <w:tabs>
          <w:tab w:val="center" w:pos="6979"/>
        </w:tabs>
        <w:spacing w:before="156" w:beforeLines="50" w:after="156" w:afterLines="50"/>
        <w:jc w:val="center"/>
        <w:rPr>
          <w:rFonts w:ascii="宋体" w:hAnsi="宋体" w:cs="宋体"/>
          <w:b/>
          <w:bCs/>
          <w:spacing w:val="40"/>
          <w:kern w:val="0"/>
          <w:sz w:val="32"/>
          <w:szCs w:val="32"/>
        </w:rPr>
      </w:pPr>
    </w:p>
    <w:p w14:paraId="2BB2DBDE">
      <w:pPr>
        <w:tabs>
          <w:tab w:val="center" w:pos="6979"/>
        </w:tabs>
        <w:spacing w:before="156" w:beforeLines="50" w:after="156" w:afterLines="50"/>
        <w:jc w:val="center"/>
        <w:rPr>
          <w:rFonts w:ascii="宋体" w:hAnsi="宋体" w:cs="宋体"/>
          <w:b/>
          <w:bCs/>
          <w:spacing w:val="40"/>
          <w:kern w:val="0"/>
          <w:sz w:val="32"/>
          <w:szCs w:val="32"/>
        </w:rPr>
      </w:pPr>
    </w:p>
    <w:p w14:paraId="5BEFC23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1A3CF1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A26F38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5D9935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1E06C909">
      <w:pPr>
        <w:spacing w:line="700" w:lineRule="exact"/>
        <w:ind w:firstLine="560" w:firstLineChars="20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08E6A80C">
      <w:pPr>
        <w:spacing w:line="7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本单位机构设置:</w:t>
      </w:r>
      <w:r>
        <w:rPr>
          <w:rFonts w:hint="eastAsia"/>
          <w:sz w:val="32"/>
          <w:szCs w:val="32"/>
        </w:rPr>
        <w:t xml:space="preserve"> </w:t>
      </w:r>
      <w:r>
        <w:rPr>
          <w:rFonts w:hint="eastAsia" w:ascii="仿宋_GB2312" w:eastAsia="仿宋_GB2312"/>
          <w:color w:val="000000"/>
          <w:sz w:val="32"/>
          <w:szCs w:val="32"/>
        </w:rPr>
        <w:t>北京市西城区广安幼儿园建于2016年9月，是一所隶属于北京市西城区教委的公办全日制一级二类幼儿园。广安幼儿园现有大、中、小教学班共计1</w:t>
      </w:r>
      <w:r>
        <w:rPr>
          <w:rFonts w:ascii="仿宋_GB2312" w:eastAsia="仿宋_GB2312"/>
          <w:color w:val="000000"/>
          <w:sz w:val="32"/>
          <w:szCs w:val="32"/>
        </w:rPr>
        <w:t>1</w:t>
      </w:r>
      <w:r>
        <w:rPr>
          <w:rFonts w:hint="eastAsia" w:ascii="仿宋_GB2312" w:eastAsia="仿宋_GB2312"/>
          <w:color w:val="000000"/>
          <w:sz w:val="32"/>
          <w:szCs w:val="32"/>
        </w:rPr>
        <w:t>个。</w:t>
      </w:r>
    </w:p>
    <w:p w14:paraId="1F6D1BE4">
      <w:pPr>
        <w:tabs>
          <w:tab w:val="center" w:pos="6979"/>
        </w:tabs>
        <w:spacing w:line="580" w:lineRule="exact"/>
        <w:rPr>
          <w:rFonts w:hint="eastAsia" w:ascii="黑体" w:eastAsia="黑体"/>
          <w:b/>
          <w:sz w:val="28"/>
          <w:szCs w:val="28"/>
        </w:rPr>
      </w:pPr>
      <w:bookmarkStart w:id="0" w:name="_GoBack"/>
      <w:bookmarkEnd w:id="0"/>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FC854D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2395.48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130.39</w:t>
      </w:r>
      <w:r>
        <w:rPr>
          <w:rFonts w:hint="eastAsia" w:ascii="仿宋_GB2312" w:eastAsia="仿宋_GB2312"/>
          <w:sz w:val="28"/>
          <w:szCs w:val="28"/>
        </w:rPr>
        <w:t>万元，下降5</w:t>
      </w:r>
      <w:r>
        <w:rPr>
          <w:rFonts w:ascii="仿宋_GB2312" w:eastAsia="仿宋_GB2312"/>
          <w:sz w:val="28"/>
          <w:szCs w:val="28"/>
        </w:rPr>
        <w:t>.16</w:t>
      </w:r>
      <w:r>
        <w:rPr>
          <w:rFonts w:hint="eastAsia" w:ascii="仿宋_GB2312" w:eastAsia="仿宋_GB2312"/>
          <w:sz w:val="28"/>
          <w:szCs w:val="28"/>
        </w:rPr>
        <w:t>%。</w:t>
      </w:r>
    </w:p>
    <w:p w14:paraId="0F68D71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E2A5D3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2395.48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130.39</w:t>
      </w:r>
      <w:r>
        <w:rPr>
          <w:rFonts w:hint="eastAsia" w:ascii="仿宋_GB2312" w:eastAsia="仿宋_GB2312"/>
          <w:sz w:val="28"/>
          <w:szCs w:val="28"/>
        </w:rPr>
        <w:t>万元，下降5</w:t>
      </w:r>
      <w:r>
        <w:rPr>
          <w:rFonts w:ascii="仿宋_GB2312" w:eastAsia="仿宋_GB2312"/>
          <w:sz w:val="28"/>
          <w:szCs w:val="28"/>
        </w:rPr>
        <w:t>.16</w:t>
      </w:r>
      <w:r>
        <w:rPr>
          <w:rFonts w:hint="eastAsia" w:ascii="仿宋_GB2312" w:eastAsia="仿宋_GB2312"/>
          <w:sz w:val="28"/>
          <w:szCs w:val="28"/>
        </w:rPr>
        <w:t>%。</w:t>
      </w:r>
    </w:p>
    <w:p w14:paraId="3E973D88">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2395.48</w:t>
      </w:r>
      <w:r>
        <w:rPr>
          <w:rFonts w:hint="eastAsia" w:ascii="仿宋_GB2312" w:eastAsia="仿宋_GB2312"/>
          <w:sz w:val="28"/>
          <w:szCs w:val="28"/>
        </w:rPr>
        <w:t>万元，占收入合计的100%。其中：一般公共预算财政拨款收入</w:t>
      </w:r>
      <w:r>
        <w:rPr>
          <w:rFonts w:ascii="仿宋_GB2312" w:eastAsia="仿宋_GB2312"/>
          <w:sz w:val="28"/>
          <w:szCs w:val="28"/>
        </w:rPr>
        <w:t>2395.48</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535F5B9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BBB0DA9">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551A40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00387A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7B9AD1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2598AA8">
      <w:pPr>
        <w:spacing w:line="560" w:lineRule="exact"/>
        <w:ind w:firstLine="640"/>
        <w:rPr>
          <w:rFonts w:hint="eastAsia" w:ascii="仿宋_GB2312" w:eastAsia="仿宋_GB2312" w:cs="Droid Sans"/>
          <w:color w:val="000000"/>
          <w:sz w:val="32"/>
          <w:szCs w:val="32"/>
          <w:highlight w:val="none"/>
          <w:lang w:eastAsia="zh-CN"/>
        </w:rPr>
      </w:pPr>
    </w:p>
    <w:p w14:paraId="372C8C2A">
      <w:pPr>
        <w:pStyle w:val="2"/>
        <w:ind w:firstLine="0"/>
        <w:jc w:val="center"/>
      </w:pPr>
      <w:r>
        <w:rPr>
          <w:rFonts w:hint="eastAsia" w:ascii="仿宋_GB2312" w:eastAsia="仿宋_GB2312"/>
          <w:color w:val="000000"/>
          <w:sz w:val="32"/>
          <w:szCs w:val="32"/>
          <w:highlight w:val="none"/>
          <w:lang w:val="en-US" w:eastAsia="zh-CN"/>
        </w:rPr>
        <w:t>图1：收入决算</w:t>
      </w:r>
    </w:p>
    <w:p w14:paraId="416B041D">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2C905C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F3168BD">
      <w:pPr>
        <w:spacing w:line="560" w:lineRule="exact"/>
        <w:ind w:firstLine="640"/>
        <w:rPr>
          <w:rFonts w:hint="eastAsia"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2395.48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130.39</w:t>
      </w:r>
      <w:r>
        <w:rPr>
          <w:rFonts w:hint="eastAsia" w:ascii="仿宋_GB2312" w:eastAsia="仿宋_GB2312"/>
          <w:sz w:val="28"/>
          <w:szCs w:val="28"/>
        </w:rPr>
        <w:t>万元，下降5</w:t>
      </w:r>
      <w:r>
        <w:rPr>
          <w:rFonts w:ascii="仿宋_GB2312" w:eastAsia="仿宋_GB2312"/>
          <w:sz w:val="28"/>
          <w:szCs w:val="28"/>
        </w:rPr>
        <w:t>.16</w:t>
      </w:r>
      <w:r>
        <w:rPr>
          <w:rFonts w:hint="eastAsia" w:ascii="仿宋_GB2312" w:eastAsia="仿宋_GB2312"/>
          <w:sz w:val="28"/>
          <w:szCs w:val="28"/>
        </w:rPr>
        <w:t>%，其中：基本支出</w:t>
      </w:r>
      <w:r>
        <w:rPr>
          <w:rFonts w:ascii="仿宋_GB2312" w:eastAsia="仿宋_GB2312"/>
          <w:sz w:val="28"/>
          <w:szCs w:val="28"/>
        </w:rPr>
        <w:t>2237.27</w:t>
      </w:r>
      <w:r>
        <w:rPr>
          <w:rFonts w:hint="eastAsia" w:ascii="仿宋_GB2312" w:eastAsia="仿宋_GB2312"/>
          <w:sz w:val="28"/>
          <w:szCs w:val="28"/>
        </w:rPr>
        <w:t>万元，占支出合计的93.4%；项目支出</w:t>
      </w:r>
      <w:r>
        <w:rPr>
          <w:rFonts w:ascii="仿宋_GB2312" w:eastAsia="仿宋_GB2312"/>
          <w:sz w:val="28"/>
          <w:szCs w:val="28"/>
        </w:rPr>
        <w:t>158.22</w:t>
      </w:r>
      <w:r>
        <w:rPr>
          <w:rFonts w:hint="eastAsia" w:ascii="仿宋_GB2312" w:eastAsia="仿宋_GB2312"/>
          <w:sz w:val="28"/>
          <w:szCs w:val="28"/>
        </w:rPr>
        <w:t>万元，占支出合计的6.6%;上缴上级支出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2A6F7D0">
      <w:pPr>
        <w:spacing w:line="560" w:lineRule="exact"/>
        <w:ind w:firstLine="640"/>
        <w:rPr>
          <w:rFonts w:hint="eastAsia" w:ascii="仿宋_GB2312" w:eastAsia="仿宋_GB2312" w:cs="Droid Sans"/>
          <w:color w:val="000000"/>
          <w:sz w:val="32"/>
          <w:szCs w:val="32"/>
          <w:highlight w:val="none"/>
          <w:lang w:eastAsia="zh-CN"/>
        </w:rPr>
      </w:pPr>
    </w:p>
    <w:p w14:paraId="3F7A3E42">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F1BDD29">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D3E823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836B5DF">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2395.48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130.39</w:t>
      </w:r>
      <w:r>
        <w:rPr>
          <w:rFonts w:hint="eastAsia" w:ascii="仿宋_GB2312" w:eastAsia="仿宋_GB2312"/>
          <w:sz w:val="28"/>
          <w:szCs w:val="28"/>
        </w:rPr>
        <w:t>万元，下降5</w:t>
      </w:r>
      <w:r>
        <w:rPr>
          <w:rFonts w:ascii="仿宋_GB2312" w:eastAsia="仿宋_GB2312"/>
          <w:sz w:val="28"/>
          <w:szCs w:val="28"/>
        </w:rPr>
        <w:t>.16</w:t>
      </w:r>
      <w:r>
        <w:rPr>
          <w:rFonts w:hint="eastAsia" w:ascii="仿宋_GB2312" w:eastAsia="仿宋_GB2312"/>
          <w:sz w:val="28"/>
          <w:szCs w:val="28"/>
        </w:rPr>
        <w:t>%。主要原因：本年度教师数、幼儿数均有所下降，因此教师人员经费及公用经费收入、支出都有所下降。</w:t>
      </w:r>
    </w:p>
    <w:p w14:paraId="7F086F4D">
      <w:pPr>
        <w:tabs>
          <w:tab w:val="center" w:pos="6979"/>
        </w:tabs>
        <w:spacing w:line="580" w:lineRule="exact"/>
        <w:ind w:firstLine="548" w:firstLineChars="196"/>
        <w:rPr>
          <w:rFonts w:hint="eastAsia" w:ascii="仿宋_GB2312" w:eastAsia="仿宋_GB2312"/>
          <w:sz w:val="28"/>
          <w:szCs w:val="28"/>
        </w:rPr>
      </w:pPr>
    </w:p>
    <w:p w14:paraId="6F00FD3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A8618F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04384F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2395.48</w:t>
      </w:r>
      <w:r>
        <w:rPr>
          <w:rFonts w:hint="eastAsia" w:ascii="仿宋_GB2312" w:eastAsia="仿宋_GB2312"/>
          <w:sz w:val="28"/>
          <w:szCs w:val="28"/>
        </w:rPr>
        <w:t>万元，主要用于以下方面（按大类）：教育支出1</w:t>
      </w:r>
      <w:r>
        <w:rPr>
          <w:rFonts w:ascii="仿宋_GB2312" w:eastAsia="仿宋_GB2312"/>
          <w:sz w:val="28"/>
          <w:szCs w:val="28"/>
        </w:rPr>
        <w:t>669.88</w:t>
      </w:r>
      <w:r>
        <w:rPr>
          <w:rFonts w:hint="eastAsia" w:ascii="仿宋_GB2312" w:eastAsia="仿宋_GB2312"/>
          <w:sz w:val="28"/>
          <w:szCs w:val="28"/>
        </w:rPr>
        <w:t>万元，占本年财政拨款支出</w:t>
      </w:r>
      <w:r>
        <w:rPr>
          <w:rFonts w:ascii="仿宋_GB2312" w:eastAsia="仿宋_GB2312"/>
          <w:sz w:val="28"/>
          <w:szCs w:val="28"/>
        </w:rPr>
        <w:t>69.71</w:t>
      </w:r>
      <w:r>
        <w:rPr>
          <w:rFonts w:hint="eastAsia" w:ascii="仿宋_GB2312" w:eastAsia="仿宋_GB2312"/>
          <w:sz w:val="28"/>
          <w:szCs w:val="28"/>
        </w:rPr>
        <w:t>%；社会保障和就业支出2</w:t>
      </w:r>
      <w:r>
        <w:rPr>
          <w:rFonts w:ascii="仿宋_GB2312" w:eastAsia="仿宋_GB2312"/>
          <w:sz w:val="28"/>
          <w:szCs w:val="28"/>
        </w:rPr>
        <w:t>71.28</w:t>
      </w:r>
      <w:r>
        <w:rPr>
          <w:rFonts w:hint="eastAsia" w:ascii="仿宋_GB2312" w:eastAsia="仿宋_GB2312"/>
          <w:sz w:val="28"/>
          <w:szCs w:val="28"/>
        </w:rPr>
        <w:t>万元，占本年财政拨款支出</w:t>
      </w:r>
      <w:r>
        <w:rPr>
          <w:rFonts w:ascii="仿宋_GB2312" w:eastAsia="仿宋_GB2312"/>
          <w:sz w:val="28"/>
          <w:szCs w:val="28"/>
        </w:rPr>
        <w:t>11.3</w:t>
      </w:r>
      <w:r>
        <w:rPr>
          <w:rFonts w:hint="eastAsia" w:ascii="仿宋_GB2312" w:eastAsia="仿宋_GB2312"/>
          <w:sz w:val="28"/>
          <w:szCs w:val="28"/>
          <w:lang w:val="en-US" w:eastAsia="zh-CN"/>
        </w:rPr>
        <w:t>2</w:t>
      </w:r>
      <w:r>
        <w:rPr>
          <w:rFonts w:hint="eastAsia" w:ascii="仿宋_GB2312" w:eastAsia="仿宋_GB2312"/>
          <w:sz w:val="28"/>
          <w:szCs w:val="28"/>
        </w:rPr>
        <w:t>%；卫生健康支出1</w:t>
      </w:r>
      <w:r>
        <w:rPr>
          <w:rFonts w:ascii="仿宋_GB2312" w:eastAsia="仿宋_GB2312"/>
          <w:sz w:val="28"/>
          <w:szCs w:val="28"/>
        </w:rPr>
        <w:t>48.22</w:t>
      </w:r>
      <w:r>
        <w:rPr>
          <w:rFonts w:hint="eastAsia" w:ascii="仿宋_GB2312" w:eastAsia="仿宋_GB2312"/>
          <w:sz w:val="28"/>
          <w:szCs w:val="28"/>
        </w:rPr>
        <w:t>万元，占本年财政拨款支出</w:t>
      </w:r>
      <w:r>
        <w:rPr>
          <w:rFonts w:ascii="仿宋_GB2312" w:eastAsia="仿宋_GB2312"/>
          <w:sz w:val="28"/>
          <w:szCs w:val="28"/>
        </w:rPr>
        <w:t>6.19</w:t>
      </w:r>
      <w:r>
        <w:rPr>
          <w:rFonts w:hint="eastAsia" w:ascii="仿宋_GB2312" w:eastAsia="仿宋_GB2312"/>
          <w:sz w:val="28"/>
          <w:szCs w:val="28"/>
        </w:rPr>
        <w:t>%；住房保障支出3</w:t>
      </w:r>
      <w:r>
        <w:rPr>
          <w:rFonts w:ascii="仿宋_GB2312" w:eastAsia="仿宋_GB2312"/>
          <w:sz w:val="28"/>
          <w:szCs w:val="28"/>
        </w:rPr>
        <w:t>06.10</w:t>
      </w:r>
      <w:r>
        <w:rPr>
          <w:rFonts w:hint="eastAsia" w:ascii="仿宋_GB2312" w:eastAsia="仿宋_GB2312"/>
          <w:sz w:val="28"/>
          <w:szCs w:val="28"/>
        </w:rPr>
        <w:t>万元，占本年财政拨款支出</w:t>
      </w:r>
      <w:r>
        <w:rPr>
          <w:rFonts w:ascii="仿宋_GB2312" w:eastAsia="仿宋_GB2312"/>
          <w:sz w:val="28"/>
          <w:szCs w:val="28"/>
        </w:rPr>
        <w:t>12.78</w:t>
      </w:r>
      <w:r>
        <w:rPr>
          <w:rFonts w:hint="eastAsia" w:ascii="仿宋_GB2312" w:eastAsia="仿宋_GB2312"/>
          <w:sz w:val="28"/>
          <w:szCs w:val="28"/>
        </w:rPr>
        <w:t>%。</w:t>
      </w:r>
    </w:p>
    <w:p w14:paraId="73F6CBF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4186E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1590.47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1669.88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104.99</w:t>
      </w:r>
      <w:r>
        <w:rPr>
          <w:rFonts w:hint="eastAsia" w:ascii="仿宋_GB2312" w:eastAsia="仿宋_GB2312"/>
          <w:sz w:val="28"/>
          <w:szCs w:val="28"/>
        </w:rPr>
        <w:t>%。</w:t>
      </w:r>
    </w:p>
    <w:p w14:paraId="048B68F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B54C584">
      <w:pPr>
        <w:spacing w:line="580" w:lineRule="exact"/>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kern w:val="0"/>
          <w:sz w:val="28"/>
          <w:szCs w:val="28"/>
        </w:rPr>
        <w:t>普通教育（款）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1585.59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1665</w:t>
      </w:r>
      <w:r>
        <w:rPr>
          <w:rFonts w:hint="eastAsia" w:ascii="仿宋_GB2312" w:eastAsia="仿宋_GB2312"/>
          <w:sz w:val="28"/>
          <w:szCs w:val="28"/>
        </w:rPr>
        <w:t>万元，</w:t>
      </w:r>
      <w:r>
        <w:rPr>
          <w:rFonts w:hint="eastAsia" w:ascii="仿宋_GB2312" w:eastAsia="仿宋_GB2312"/>
          <w:sz w:val="28"/>
          <w:szCs w:val="28"/>
          <w:lang w:eastAsia="zh-CN"/>
        </w:rPr>
        <w:t>完成年初预</w:t>
      </w:r>
      <w:r>
        <w:rPr>
          <w:rFonts w:hint="eastAsia" w:ascii="仿宋_GB2312" w:eastAsia="仿宋_GB2312"/>
          <w:color w:val="000000" w:themeColor="text1"/>
          <w:sz w:val="28"/>
          <w:szCs w:val="28"/>
          <w:lang w:eastAsia="zh-CN"/>
          <w14:textFill>
            <w14:solidFill>
              <w14:schemeClr w14:val="tx1"/>
            </w14:solidFill>
          </w14:textFill>
        </w:rPr>
        <w:t>算的</w:t>
      </w:r>
      <w:r>
        <w:rPr>
          <w:rFonts w:hint="eastAsia" w:ascii="仿宋_GB2312" w:eastAsia="仿宋_GB2312"/>
          <w:color w:val="000000" w:themeColor="text1"/>
          <w:sz w:val="28"/>
          <w:szCs w:val="28"/>
          <w:lang w:val="en-US" w:eastAsia="zh-CN"/>
          <w14:textFill>
            <w14:solidFill>
              <w14:schemeClr w14:val="tx1"/>
            </w14:solidFill>
          </w14:textFill>
        </w:rPr>
        <w:t>105.01</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val="en-US" w:eastAsia="zh-CN"/>
          <w14:textFill>
            <w14:solidFill>
              <w14:schemeClr w14:val="tx1"/>
            </w14:solidFill>
          </w14:textFill>
        </w:rPr>
        <w:t>人员经费有所增加</w:t>
      </w:r>
      <w:r>
        <w:rPr>
          <w:rFonts w:hint="eastAsia" w:ascii="仿宋_GB2312" w:eastAsia="仿宋_GB2312"/>
          <w:color w:val="000000" w:themeColor="text1"/>
          <w:sz w:val="28"/>
          <w:szCs w:val="28"/>
          <w14:textFill>
            <w14:solidFill>
              <w14:schemeClr w14:val="tx1"/>
            </w14:solidFill>
          </w14:textFill>
        </w:rPr>
        <w:t>。</w:t>
      </w:r>
    </w:p>
    <w:p w14:paraId="2F2B2100">
      <w:pPr>
        <w:widowControl/>
        <w:ind w:firstLine="560" w:firstLineChars="200"/>
        <w:jc w:val="left"/>
        <w:rPr>
          <w:rFonts w:hint="eastAsia" w:ascii="仿宋" w:hAnsi="仿宋" w:eastAsia="仿宋" w:cs="宋体"/>
          <w:color w:val="000000"/>
          <w:kern w:val="0"/>
          <w:sz w:val="28"/>
          <w:szCs w:val="28"/>
        </w:rPr>
      </w:pPr>
      <w:r>
        <w:rPr>
          <w:rFonts w:hint="eastAsia" w:ascii="仿宋_GB2312" w:eastAsia="仿宋_GB2312"/>
          <w:bCs/>
          <w:sz w:val="28"/>
          <w:szCs w:val="28"/>
        </w:rPr>
        <w:t>进修及培训（款）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p>
    <w:p w14:paraId="260BD006">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274.39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271.28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98.87</w:t>
      </w:r>
      <w:r>
        <w:rPr>
          <w:rFonts w:hint="eastAsia" w:ascii="仿宋_GB2312" w:eastAsia="仿宋_GB2312"/>
          <w:sz w:val="28"/>
          <w:szCs w:val="28"/>
        </w:rPr>
        <w:t>%。其中：</w:t>
      </w:r>
    </w:p>
    <w:p w14:paraId="427CFAD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274.39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271.28</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98.87</w:t>
      </w:r>
      <w:r>
        <w:rPr>
          <w:rFonts w:hint="eastAsia" w:ascii="仿宋_GB2312" w:eastAsia="仿宋_GB2312"/>
          <w:sz w:val="28"/>
          <w:szCs w:val="28"/>
        </w:rPr>
        <w:t>%。</w:t>
      </w:r>
    </w:p>
    <w:p w14:paraId="2AF988AD">
      <w:pPr>
        <w:widowControl/>
        <w:rPr>
          <w:rFonts w:hint="eastAsia" w:ascii="仿宋" w:hAnsi="仿宋" w:eastAsia="仿宋" w:cs="宋体"/>
          <w:color w:val="000000"/>
          <w:kern w:val="0"/>
          <w:sz w:val="28"/>
          <w:szCs w:val="28"/>
        </w:rPr>
      </w:pPr>
      <w:r>
        <w:rPr>
          <w:rFonts w:hint="eastAsia" w:ascii="仿宋_GB2312" w:eastAsia="仿宋_GB2312"/>
          <w:sz w:val="28"/>
          <w:szCs w:val="28"/>
        </w:rPr>
        <w:t>主要原因：</w:t>
      </w:r>
      <w:r>
        <w:rPr>
          <w:rFonts w:hint="eastAsia" w:ascii="仿宋" w:hAnsi="仿宋" w:eastAsia="仿宋" w:cs="宋体"/>
          <w:color w:val="000000"/>
          <w:kern w:val="0"/>
          <w:sz w:val="28"/>
          <w:szCs w:val="28"/>
        </w:rPr>
        <w:t>主要原因是财政预算核定基数与社保要求口径不一致导致当年决算数较预算数有结余，年末结余由财政统一收回。</w:t>
      </w:r>
    </w:p>
    <w:p w14:paraId="3A8455D4">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148.05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148.22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100.12</w:t>
      </w:r>
      <w:r>
        <w:rPr>
          <w:rFonts w:hint="eastAsia" w:ascii="仿宋_GB2312" w:eastAsia="仿宋_GB2312"/>
          <w:sz w:val="28"/>
          <w:szCs w:val="28"/>
        </w:rPr>
        <w:t>%。其中：</w:t>
      </w:r>
    </w:p>
    <w:p w14:paraId="29DB6D4C">
      <w:pPr>
        <w:widowControl/>
        <w:ind w:firstLine="560" w:firstLineChars="200"/>
        <w:rPr>
          <w:rFonts w:hint="eastAsia" w:ascii="仿宋" w:hAnsi="仿宋" w:eastAsia="仿宋" w:cs="宋体"/>
          <w:color w:val="000000"/>
          <w:kern w:val="0"/>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148.05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148.22万</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100.12</w:t>
      </w:r>
      <w:r>
        <w:rPr>
          <w:rFonts w:hint="eastAsia" w:ascii="仿宋_GB2312" w:eastAsia="仿宋_GB2312"/>
          <w:sz w:val="28"/>
          <w:szCs w:val="28"/>
        </w:rPr>
        <w:t>%。主要原因：</w:t>
      </w:r>
      <w:r>
        <w:rPr>
          <w:rFonts w:hint="eastAsia" w:ascii="仿宋" w:hAnsi="仿宋" w:eastAsia="仿宋" w:cs="宋体"/>
          <w:color w:val="000000"/>
          <w:kern w:val="0"/>
          <w:sz w:val="28"/>
          <w:szCs w:val="28"/>
        </w:rPr>
        <w:t>主要原因是财政预算核定基数与社保要求口径不一致导致当年决算数较预算数有增加。</w:t>
      </w:r>
    </w:p>
    <w:p w14:paraId="69EA1338">
      <w:pPr>
        <w:widowControl/>
        <w:ind w:firstLine="560" w:firstLineChars="200"/>
        <w:rPr>
          <w:rFonts w:hint="eastAsia" w:ascii="仿宋_GB2312" w:eastAsia="仿宋_GB2312"/>
          <w:sz w:val="28"/>
          <w:szCs w:val="28"/>
        </w:rPr>
      </w:pPr>
      <w:r>
        <w:rPr>
          <w:rFonts w:hint="eastAsia" w:ascii="仿宋" w:hAnsi="仿宋" w:eastAsia="仿宋" w:cs="宋体"/>
          <w:color w:val="000000"/>
          <w:kern w:val="0"/>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285.53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306.10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107.21</w:t>
      </w:r>
      <w:r>
        <w:rPr>
          <w:rFonts w:hint="eastAsia" w:ascii="仿宋_GB2312" w:eastAsia="仿宋_GB2312"/>
          <w:sz w:val="28"/>
          <w:szCs w:val="28"/>
        </w:rPr>
        <w:t>%。其中：</w:t>
      </w:r>
    </w:p>
    <w:p w14:paraId="73CC7F68">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285.53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306.10万</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107.21</w:t>
      </w:r>
      <w:r>
        <w:rPr>
          <w:rFonts w:hint="eastAsia" w:ascii="仿宋_GB2312" w:eastAsia="仿宋_GB2312"/>
          <w:sz w:val="28"/>
          <w:szCs w:val="28"/>
        </w:rPr>
        <w:t>%。主要原因：</w:t>
      </w:r>
      <w:r>
        <w:rPr>
          <w:rFonts w:hint="eastAsia" w:ascii="仿宋" w:hAnsi="仿宋" w:eastAsia="仿宋" w:cs="宋体"/>
          <w:color w:val="000000"/>
          <w:kern w:val="0"/>
          <w:sz w:val="28"/>
          <w:szCs w:val="28"/>
        </w:rPr>
        <w:t>财政预算核定基数与社保要求口径不一致导致当年决算数较预算数有增加</w:t>
      </w:r>
      <w:r>
        <w:rPr>
          <w:rFonts w:hint="eastAsia" w:ascii="仿宋_GB2312" w:eastAsia="仿宋_GB2312"/>
          <w:sz w:val="28"/>
          <w:szCs w:val="28"/>
        </w:rPr>
        <w:t>。</w:t>
      </w:r>
    </w:p>
    <w:p w14:paraId="75C4B5D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E4E0EB7">
      <w:pPr>
        <w:spacing w:line="580" w:lineRule="exact"/>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本年度无此项经费。</w:t>
      </w:r>
    </w:p>
    <w:p w14:paraId="15AC4D9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828C667">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D5993A9">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BE7F3AC">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2237.27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B5DFFB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3D7079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539121E">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91C80AD">
      <w:pPr>
        <w:numPr>
          <w:ilvl w:val="0"/>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val="en-US" w:eastAsia="zh-CN"/>
        </w:rPr>
        <w:t>本单位无此项经费。</w:t>
      </w:r>
    </w:p>
    <w:p w14:paraId="76230285">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58BF153F">
      <w:pPr>
        <w:tabs>
          <w:tab w:val="center" w:pos="6979"/>
        </w:tabs>
        <w:ind w:firstLine="554" w:firstLineChars="198"/>
        <w:rPr>
          <w:rFonts w:hint="eastAsia" w:ascii="仿宋_GB2312" w:eastAsia="仿宋_GB2312"/>
          <w:sz w:val="28"/>
          <w:szCs w:val="28"/>
          <w:lang w:val="en-US" w:eastAsia="zh-CN"/>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p>
    <w:p w14:paraId="3B5DE437">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801EF54">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3247A54A">
      <w:pPr>
        <w:ind w:left="540"/>
        <w:rPr>
          <w:rFonts w:hint="eastAsia" w:ascii="黑体" w:eastAsia="黑体"/>
          <w:sz w:val="28"/>
          <w:szCs w:val="28"/>
        </w:rPr>
      </w:pPr>
      <w:r>
        <w:rPr>
          <w:rFonts w:hint="eastAsia" w:ascii="黑体" w:eastAsia="黑体"/>
          <w:sz w:val="28"/>
          <w:szCs w:val="28"/>
        </w:rPr>
        <w:t>三、政府采购支出情况</w:t>
      </w:r>
    </w:p>
    <w:p w14:paraId="747801B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30.89</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30.89</w:t>
      </w:r>
      <w:r>
        <w:rPr>
          <w:rFonts w:hint="eastAsia" w:ascii="仿宋_GB2312" w:eastAsia="仿宋_GB2312"/>
          <w:sz w:val="28"/>
          <w:szCs w:val="28"/>
        </w:rPr>
        <w:t>万元。授予中小企业合同金额</w:t>
      </w:r>
      <w:r>
        <w:rPr>
          <w:rFonts w:ascii="仿宋_GB2312" w:eastAsia="仿宋_GB2312"/>
          <w:sz w:val="28"/>
          <w:szCs w:val="28"/>
        </w:rPr>
        <w:t>30.89</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30.89</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5DBD75D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C590482">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12月31日，北京市西城区广安幼儿园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05E5A71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D8515F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F31559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8614083">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D09F305">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F531A2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CE0EDB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8A9F9B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C08D9D4">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0FE5CEF">
      <w:pPr>
        <w:pStyle w:val="20"/>
        <w:numPr>
          <w:ilvl w:val="0"/>
          <w:numId w:val="0"/>
        </w:numPr>
        <w:ind w:firstLine="560" w:firstLineChars="200"/>
        <w:rPr>
          <w:rFonts w:hint="eastAsia" w:ascii="仿宋_GB2312" w:eastAsia="仿宋_GB2312"/>
          <w:sz w:val="28"/>
          <w:szCs w:val="28"/>
        </w:rPr>
      </w:pPr>
      <w:r>
        <w:rPr>
          <w:rFonts w:hint="eastAsia" w:ascii="仿宋_GB2312" w:hAnsi="Times New Roman" w:eastAsia="仿宋_GB2312" w:cs="Times New Roman"/>
          <w:b w:val="0"/>
          <w:bCs w:val="0"/>
          <w:kern w:val="2"/>
          <w:sz w:val="28"/>
          <w:szCs w:val="28"/>
          <w:lang w:val="en-US" w:eastAsia="zh-CN" w:bidi="ar-SA"/>
        </w:rPr>
        <w:t>7.</w:t>
      </w:r>
      <w:r>
        <w:rPr>
          <w:rFonts w:hint="eastAsia" w:ascii="仿宋_GB2312" w:eastAsia="仿宋_GB2312"/>
          <w:sz w:val="28"/>
          <w:szCs w:val="28"/>
        </w:rPr>
        <w:t>教育支出（类）普通教育（款）学前教育（项）：反映本部门举办的学前教育支出。</w:t>
      </w:r>
    </w:p>
    <w:p w14:paraId="2CF04CB9">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08567765">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14:paraId="26410947">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64FFAF9D">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6BFF547">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769E1881">
      <w:pPr>
        <w:ind w:firstLine="640" w:firstLineChars="200"/>
        <w:jc w:val="both"/>
        <w:rPr>
          <w:rFonts w:hint="eastAsia" w:ascii="黑体" w:eastAsia="黑体"/>
          <w:sz w:val="32"/>
          <w:szCs w:val="32"/>
        </w:rPr>
      </w:pPr>
    </w:p>
    <w:p w14:paraId="5639DD56">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C6D300B">
      <w:pPr>
        <w:ind w:firstLine="560" w:firstLineChars="200"/>
        <w:rPr>
          <w:rFonts w:hint="eastAsia" w:ascii="黑体" w:eastAsia="黑体"/>
          <w:sz w:val="28"/>
          <w:szCs w:val="28"/>
          <w:highlight w:val="yellow"/>
        </w:rPr>
      </w:pPr>
    </w:p>
    <w:p w14:paraId="4B46A754">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40F704ED">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6211797">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67C526DF">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3FFF168C">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13AE267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FAA2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44330C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5DDF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64C911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15DF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EE93F4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298429B"/>
    <w:multiLevelType w:val="singleLevel"/>
    <w:tmpl w:val="0298429B"/>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0E95F59"/>
    <w:rsid w:val="214243FA"/>
    <w:rsid w:val="21AD613C"/>
    <w:rsid w:val="22467189"/>
    <w:rsid w:val="257A14F5"/>
    <w:rsid w:val="27196C26"/>
    <w:rsid w:val="29EF086F"/>
    <w:rsid w:val="2EFFE297"/>
    <w:rsid w:val="301437CA"/>
    <w:rsid w:val="349D1F0A"/>
    <w:rsid w:val="34DD0473"/>
    <w:rsid w:val="3C684897"/>
    <w:rsid w:val="433E495C"/>
    <w:rsid w:val="477F461D"/>
    <w:rsid w:val="489F2FD7"/>
    <w:rsid w:val="4AC27CB3"/>
    <w:rsid w:val="4BF72BEF"/>
    <w:rsid w:val="4D0E7C03"/>
    <w:rsid w:val="4F284E1C"/>
    <w:rsid w:val="4FA90297"/>
    <w:rsid w:val="4FC41A43"/>
    <w:rsid w:val="511B2D10"/>
    <w:rsid w:val="51DB3C59"/>
    <w:rsid w:val="550C0952"/>
    <w:rsid w:val="55762E42"/>
    <w:rsid w:val="57A7B272"/>
    <w:rsid w:val="58470068"/>
    <w:rsid w:val="58747CAC"/>
    <w:rsid w:val="5A1720F9"/>
    <w:rsid w:val="5B9C37C2"/>
    <w:rsid w:val="5BA7C654"/>
    <w:rsid w:val="60A54109"/>
    <w:rsid w:val="61D01CDF"/>
    <w:rsid w:val="64C0607C"/>
    <w:rsid w:val="65756C86"/>
    <w:rsid w:val="65AA649A"/>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2395.48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c0a71da-74f3-49ba-a881-b4f86e9c282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2237.27</c:v>
                </c:pt>
                <c:pt idx="1">
                  <c:v>158.22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1650bc7-b02e-4202-8081-5acbfc4ecc3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3785</Words>
  <Characters>4257</Characters>
  <Lines>44</Lines>
  <Paragraphs>12</Paragraphs>
  <TotalTime>1</TotalTime>
  <ScaleCrop>false</ScaleCrop>
  <LinksUpToDate>false</LinksUpToDate>
  <CharactersWithSpaces>4278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比格诺斯</cp:lastModifiedBy>
  <cp:lastPrinted>2020-08-07T11:39:00Z</cp:lastPrinted>
  <dcterms:modified xsi:type="dcterms:W3CDTF">2025-08-28T04:15:15Z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eyJoZGlkIjoiNjBiZTYwMGE3MTE3NjUxZjg5ZjY1OGYxODI2Y2I5ZjAiLCJ1c2VySWQiOiI4ODQ4NDA4NzQifQ==</vt:lpwstr>
  </property>
</Properties>
</file>