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01F" w:rsidRDefault="00B4701F">
      <w:pPr>
        <w:jc w:val="center"/>
        <w:rPr>
          <w:rFonts w:ascii="仿宋_GB2312" w:eastAsia="仿宋_GB2312"/>
          <w:b/>
          <w:sz w:val="32"/>
          <w:szCs w:val="32"/>
        </w:rPr>
      </w:pPr>
    </w:p>
    <w:p w:rsidR="00B4701F" w:rsidRDefault="00B4701F">
      <w:pPr>
        <w:jc w:val="center"/>
        <w:rPr>
          <w:rFonts w:ascii="黑体" w:eastAsia="黑体"/>
          <w:sz w:val="72"/>
          <w:szCs w:val="72"/>
        </w:rPr>
      </w:pPr>
    </w:p>
    <w:p w:rsidR="00B4701F" w:rsidRDefault="00B4701F">
      <w:pPr>
        <w:jc w:val="center"/>
        <w:rPr>
          <w:rFonts w:ascii="黑体" w:eastAsia="黑体"/>
          <w:sz w:val="72"/>
          <w:szCs w:val="72"/>
        </w:rPr>
      </w:pPr>
    </w:p>
    <w:p w:rsidR="00B4701F" w:rsidRDefault="00B4701F">
      <w:pPr>
        <w:jc w:val="center"/>
        <w:rPr>
          <w:rFonts w:ascii="黑体" w:eastAsia="黑体"/>
          <w:sz w:val="72"/>
          <w:szCs w:val="72"/>
        </w:rPr>
      </w:pPr>
    </w:p>
    <w:p w:rsidR="00B4701F" w:rsidRDefault="00B4701F">
      <w:pPr>
        <w:jc w:val="center"/>
        <w:rPr>
          <w:rFonts w:ascii="黑体" w:eastAsia="黑体"/>
          <w:sz w:val="72"/>
          <w:szCs w:val="72"/>
        </w:rPr>
      </w:pPr>
    </w:p>
    <w:p w:rsidR="00B4701F" w:rsidRDefault="001613C5">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B4701F" w:rsidRDefault="00B4701F">
      <w:pPr>
        <w:jc w:val="center"/>
        <w:rPr>
          <w:rFonts w:ascii="黑体" w:eastAsia="黑体"/>
          <w:sz w:val="52"/>
          <w:szCs w:val="52"/>
        </w:rPr>
      </w:pPr>
    </w:p>
    <w:p w:rsidR="00B4701F" w:rsidRDefault="00B4701F">
      <w:pPr>
        <w:jc w:val="center"/>
        <w:rPr>
          <w:rFonts w:ascii="黑体" w:eastAsia="黑体"/>
          <w:sz w:val="52"/>
          <w:szCs w:val="52"/>
        </w:rPr>
      </w:pPr>
    </w:p>
    <w:p w:rsidR="00B4701F" w:rsidRDefault="00B4701F">
      <w:pPr>
        <w:jc w:val="center"/>
        <w:rPr>
          <w:rFonts w:ascii="黑体" w:eastAsia="黑体"/>
          <w:sz w:val="52"/>
          <w:szCs w:val="52"/>
        </w:rPr>
      </w:pPr>
    </w:p>
    <w:p w:rsidR="00B4701F" w:rsidRDefault="00B4701F">
      <w:pPr>
        <w:jc w:val="center"/>
        <w:rPr>
          <w:rFonts w:ascii="黑体" w:eastAsia="黑体"/>
          <w:sz w:val="52"/>
          <w:szCs w:val="52"/>
        </w:rPr>
      </w:pPr>
    </w:p>
    <w:p w:rsidR="00B4701F" w:rsidRDefault="00B4701F">
      <w:pPr>
        <w:jc w:val="center"/>
        <w:rPr>
          <w:rFonts w:ascii="黑体" w:eastAsia="黑体"/>
          <w:sz w:val="32"/>
          <w:szCs w:val="32"/>
        </w:rPr>
      </w:pPr>
    </w:p>
    <w:p w:rsidR="00B4701F" w:rsidRDefault="001613C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B4701F" w:rsidRDefault="00B4701F">
      <w:pPr>
        <w:spacing w:line="500" w:lineRule="exact"/>
        <w:ind w:firstLine="645"/>
        <w:jc w:val="center"/>
        <w:rPr>
          <w:rFonts w:ascii="宋体" w:hAnsi="宋体" w:cs="宋体"/>
          <w:b/>
          <w:bCs/>
          <w:kern w:val="0"/>
          <w:sz w:val="36"/>
          <w:szCs w:val="36"/>
        </w:rPr>
      </w:pPr>
    </w:p>
    <w:p w:rsidR="00B4701F" w:rsidRDefault="001613C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B4701F" w:rsidRDefault="001613C5">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B4701F" w:rsidRDefault="001613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B4701F" w:rsidRDefault="001613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B4701F" w:rsidRDefault="001613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B4701F" w:rsidRDefault="001613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B4701F" w:rsidRDefault="001613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B4701F" w:rsidRDefault="001613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B4701F" w:rsidRDefault="001613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B4701F" w:rsidRDefault="001613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B4701F" w:rsidRDefault="001613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B4701F" w:rsidRDefault="001613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B4701F" w:rsidRDefault="001613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B4701F" w:rsidRDefault="001613C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B4701F" w:rsidRDefault="001613C5">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B4701F" w:rsidRDefault="001613C5">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B4701F" w:rsidRDefault="00B4701F" w:rsidP="00D761D0">
      <w:pPr>
        <w:tabs>
          <w:tab w:val="center" w:pos="6979"/>
        </w:tabs>
        <w:spacing w:beforeLines="50" w:afterLines="50"/>
        <w:jc w:val="center"/>
        <w:rPr>
          <w:rFonts w:ascii="宋体" w:hAnsi="宋体" w:cs="宋体"/>
          <w:b/>
          <w:bCs/>
          <w:spacing w:val="40"/>
          <w:kern w:val="0"/>
          <w:sz w:val="32"/>
          <w:szCs w:val="32"/>
        </w:rPr>
      </w:pPr>
    </w:p>
    <w:p w:rsidR="00B4701F" w:rsidRDefault="00B4701F" w:rsidP="00D761D0">
      <w:pPr>
        <w:tabs>
          <w:tab w:val="center" w:pos="6979"/>
        </w:tabs>
        <w:spacing w:beforeLines="50" w:afterLines="50"/>
        <w:jc w:val="center"/>
        <w:rPr>
          <w:rFonts w:ascii="宋体" w:hAnsi="宋体" w:cs="宋体"/>
          <w:b/>
          <w:bCs/>
          <w:spacing w:val="40"/>
          <w:kern w:val="0"/>
          <w:sz w:val="32"/>
          <w:szCs w:val="32"/>
        </w:rPr>
      </w:pPr>
    </w:p>
    <w:p w:rsidR="00B4701F" w:rsidRDefault="00B4701F" w:rsidP="00D761D0">
      <w:pPr>
        <w:tabs>
          <w:tab w:val="center" w:pos="6979"/>
        </w:tabs>
        <w:spacing w:beforeLines="50" w:afterLines="50"/>
        <w:jc w:val="center"/>
        <w:rPr>
          <w:rFonts w:ascii="宋体" w:hAnsi="宋体" w:cs="宋体"/>
          <w:b/>
          <w:bCs/>
          <w:spacing w:val="40"/>
          <w:kern w:val="0"/>
          <w:sz w:val="32"/>
          <w:szCs w:val="32"/>
        </w:rPr>
      </w:pPr>
    </w:p>
    <w:p w:rsidR="00B4701F" w:rsidRDefault="00B4701F" w:rsidP="00D761D0">
      <w:pPr>
        <w:tabs>
          <w:tab w:val="center" w:pos="6979"/>
        </w:tabs>
        <w:spacing w:beforeLines="50" w:afterLines="50"/>
        <w:jc w:val="center"/>
        <w:rPr>
          <w:rFonts w:ascii="宋体" w:hAnsi="宋体" w:cs="宋体"/>
          <w:b/>
          <w:bCs/>
          <w:spacing w:val="40"/>
          <w:kern w:val="0"/>
          <w:sz w:val="32"/>
          <w:szCs w:val="32"/>
        </w:rPr>
      </w:pPr>
    </w:p>
    <w:p w:rsidR="00B4701F" w:rsidRDefault="00B4701F" w:rsidP="00D761D0">
      <w:pPr>
        <w:tabs>
          <w:tab w:val="center" w:pos="6979"/>
        </w:tabs>
        <w:spacing w:beforeLines="50" w:afterLines="50"/>
        <w:jc w:val="center"/>
        <w:rPr>
          <w:rFonts w:ascii="宋体" w:hAnsi="宋体" w:cs="宋体"/>
          <w:b/>
          <w:bCs/>
          <w:spacing w:val="40"/>
          <w:kern w:val="0"/>
          <w:sz w:val="32"/>
          <w:szCs w:val="32"/>
        </w:rPr>
      </w:pPr>
    </w:p>
    <w:p w:rsidR="00B4701F" w:rsidRDefault="001613C5" w:rsidP="00D761D0">
      <w:pPr>
        <w:tabs>
          <w:tab w:val="center" w:pos="6979"/>
        </w:tabs>
        <w:spacing w:beforeLines="50" w:afterLines="50"/>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B4701F" w:rsidRDefault="001613C5">
      <w:pPr>
        <w:pStyle w:val="2"/>
        <w:rPr>
          <w:b w:val="0"/>
          <w:bCs w:val="0"/>
        </w:rPr>
        <w:sectPr w:rsidR="00B4701F">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B4701F" w:rsidRDefault="001613C5" w:rsidP="00D761D0">
      <w:pPr>
        <w:tabs>
          <w:tab w:val="center" w:pos="6979"/>
        </w:tabs>
        <w:spacing w:beforeLines="50" w:afterLines="50"/>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B4701F" w:rsidRDefault="001613C5" w:rsidP="009B6093">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rsidR="00B4701F" w:rsidRDefault="001613C5">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B4701F" w:rsidRDefault="001613C5">
      <w:pPr>
        <w:spacing w:line="400" w:lineRule="exact"/>
        <w:ind w:firstLineChars="205" w:firstLine="656"/>
        <w:rPr>
          <w:rFonts w:ascii="仿宋" w:eastAsia="仿宋" w:hAnsi="仿宋"/>
          <w:color w:val="000000"/>
          <w:sz w:val="32"/>
          <w:szCs w:val="32"/>
        </w:rPr>
      </w:pPr>
      <w:r>
        <w:rPr>
          <w:rFonts w:ascii="仿宋" w:eastAsia="仿宋" w:hAnsi="仿宋" w:hint="eastAsia"/>
          <w:color w:val="000000"/>
          <w:sz w:val="32"/>
          <w:szCs w:val="32"/>
        </w:rPr>
        <w:t>北京市西城区大栅栏幼儿园是一所隶属于北京市西城区教育委员会的公办园，地址位于北京市西城区小</w:t>
      </w:r>
      <w:proofErr w:type="gramStart"/>
      <w:r>
        <w:rPr>
          <w:rFonts w:ascii="仿宋" w:eastAsia="仿宋" w:hAnsi="仿宋" w:hint="eastAsia"/>
          <w:color w:val="000000"/>
          <w:sz w:val="32"/>
          <w:szCs w:val="32"/>
        </w:rPr>
        <w:t>沙土园</w:t>
      </w:r>
      <w:proofErr w:type="gramEnd"/>
      <w:r>
        <w:rPr>
          <w:rFonts w:ascii="仿宋" w:eastAsia="仿宋" w:hAnsi="仿宋" w:hint="eastAsia"/>
          <w:color w:val="000000"/>
          <w:sz w:val="32"/>
          <w:szCs w:val="32"/>
        </w:rPr>
        <w:t>12号。园所占地面积为1225平方米，园所建筑面积为2389.80平方米。</w:t>
      </w:r>
      <w:r>
        <w:rPr>
          <w:rFonts w:ascii="仿宋_GB2312" w:eastAsia="仿宋_GB2312" w:hAnsi="仿宋" w:hint="eastAsia"/>
          <w:color w:val="000000"/>
          <w:sz w:val="32"/>
          <w:szCs w:val="32"/>
        </w:rPr>
        <w:t>目前我园办</w:t>
      </w:r>
      <w:proofErr w:type="gramStart"/>
      <w:r>
        <w:rPr>
          <w:rFonts w:ascii="仿宋_GB2312" w:eastAsia="仿宋_GB2312" w:hAnsi="仿宋" w:hint="eastAsia"/>
          <w:color w:val="000000"/>
          <w:sz w:val="32"/>
          <w:szCs w:val="32"/>
        </w:rPr>
        <w:t>园规</w:t>
      </w:r>
      <w:proofErr w:type="gramEnd"/>
      <w:r>
        <w:rPr>
          <w:rFonts w:ascii="仿宋_GB2312" w:eastAsia="仿宋_GB2312" w:hAnsi="仿宋" w:hint="eastAsia"/>
          <w:color w:val="000000"/>
          <w:sz w:val="32"/>
          <w:szCs w:val="32"/>
        </w:rPr>
        <w:t>模为整日小班2</w:t>
      </w:r>
      <w:r>
        <w:rPr>
          <w:rFonts w:ascii="仿宋_GB2312" w:eastAsia="仿宋_GB2312" w:hAnsi="仿宋"/>
          <w:color w:val="000000"/>
          <w:sz w:val="32"/>
          <w:szCs w:val="32"/>
        </w:rPr>
        <w:t>个，整日中班4个，整日大班3个。</w:t>
      </w:r>
      <w:r>
        <w:rPr>
          <w:rFonts w:ascii="仿宋" w:eastAsia="仿宋" w:hAnsi="仿宋" w:hint="eastAsia"/>
          <w:color w:val="000000"/>
          <w:sz w:val="32"/>
          <w:szCs w:val="32"/>
        </w:rPr>
        <w:t>主要职能是为学龄前儿童提供保育和教育服务。本单位无下属单位。</w:t>
      </w:r>
    </w:p>
    <w:p w:rsidR="00B4701F" w:rsidRDefault="001613C5">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B4701F" w:rsidRDefault="001613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1530.62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减少150.34万元，下降8.94%。</w:t>
      </w:r>
    </w:p>
    <w:p w:rsidR="00B4701F" w:rsidRDefault="001613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B4701F" w:rsidRDefault="001613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1530.62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减少150.34万元，下降8.94%。</w:t>
      </w:r>
    </w:p>
    <w:p w:rsidR="00B4701F" w:rsidRDefault="001613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1530.62</w:t>
      </w:r>
      <w:r>
        <w:rPr>
          <w:rFonts w:ascii="仿宋_GB2312" w:eastAsia="仿宋_GB2312" w:hint="eastAsia"/>
          <w:sz w:val="28"/>
          <w:szCs w:val="28"/>
        </w:rPr>
        <w:t>万元，占收入合计的100%。其中：一般公共预算财政拨款收入</w:t>
      </w:r>
      <w:r>
        <w:rPr>
          <w:rFonts w:ascii="仿宋_GB2312" w:eastAsia="仿宋_GB2312"/>
          <w:sz w:val="28"/>
          <w:szCs w:val="28"/>
        </w:rPr>
        <w:t>1530.62</w:t>
      </w:r>
      <w:r>
        <w:rPr>
          <w:rFonts w:ascii="仿宋_GB2312" w:eastAsia="仿宋_GB2312" w:hint="eastAsia"/>
          <w:sz w:val="28"/>
          <w:szCs w:val="28"/>
        </w:rPr>
        <w:t>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rsidR="00B4701F" w:rsidRDefault="001613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B4701F" w:rsidRDefault="001613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B4701F" w:rsidRDefault="001613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B4701F" w:rsidRDefault="001613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B4701F" w:rsidRDefault="001613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B4701F" w:rsidRDefault="00B4701F">
      <w:pPr>
        <w:spacing w:line="560" w:lineRule="exact"/>
        <w:ind w:firstLine="640"/>
        <w:rPr>
          <w:rFonts w:ascii="仿宋_GB2312" w:eastAsia="仿宋_GB2312" w:cs="Droid Sans"/>
          <w:color w:val="000000"/>
          <w:sz w:val="32"/>
          <w:szCs w:val="32"/>
        </w:rPr>
      </w:pPr>
    </w:p>
    <w:p w:rsidR="00B4701F" w:rsidRDefault="001613C5">
      <w:pPr>
        <w:pStyle w:val="2"/>
        <w:jc w:val="center"/>
      </w:pPr>
      <w:r>
        <w:rPr>
          <w:rFonts w:ascii="仿宋_GB2312" w:eastAsia="仿宋_GB2312" w:hint="eastAsia"/>
          <w:color w:val="000000"/>
          <w:sz w:val="32"/>
        </w:rPr>
        <w:t>图1：收入决算</w:t>
      </w:r>
    </w:p>
    <w:p w:rsidR="00B4701F" w:rsidRDefault="001613C5">
      <w:pPr>
        <w:pStyle w:val="a3"/>
        <w:ind w:firstLine="420"/>
        <w:jc w:val="center"/>
      </w:pPr>
      <w:r>
        <w:rPr>
          <w:noProof/>
        </w:rPr>
        <w:drawing>
          <wp:inline distT="0" distB="0" distL="0" distR="0">
            <wp:extent cx="4036695" cy="2328545"/>
            <wp:effectExtent l="0" t="0"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4701F" w:rsidRDefault="001613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B4701F" w:rsidRDefault="001613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1530.62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减少150.34万元，下降8.94%，其中：基本支出</w:t>
      </w:r>
      <w:r>
        <w:rPr>
          <w:rFonts w:ascii="仿宋_GB2312" w:eastAsia="仿宋_GB2312"/>
          <w:sz w:val="28"/>
          <w:szCs w:val="28"/>
        </w:rPr>
        <w:t>1270.04</w:t>
      </w:r>
      <w:r>
        <w:rPr>
          <w:rFonts w:ascii="仿宋_GB2312" w:eastAsia="仿宋_GB2312" w:hint="eastAsia"/>
          <w:sz w:val="28"/>
          <w:szCs w:val="28"/>
        </w:rPr>
        <w:t>万元，占支出合计的82.98%；项目支出</w:t>
      </w:r>
      <w:r>
        <w:rPr>
          <w:rFonts w:ascii="仿宋_GB2312" w:eastAsia="仿宋_GB2312"/>
          <w:sz w:val="28"/>
          <w:szCs w:val="28"/>
        </w:rPr>
        <w:t>260.58</w:t>
      </w:r>
      <w:r>
        <w:rPr>
          <w:rFonts w:ascii="仿宋_GB2312" w:eastAsia="仿宋_GB2312" w:hint="eastAsia"/>
          <w:sz w:val="28"/>
          <w:szCs w:val="28"/>
        </w:rPr>
        <w:t>万元，占支出合计的17.02%;上缴上级支出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B4701F" w:rsidRDefault="00B4701F">
      <w:pPr>
        <w:spacing w:line="560" w:lineRule="exact"/>
        <w:ind w:firstLine="640"/>
        <w:rPr>
          <w:rFonts w:ascii="仿宋_GB2312" w:eastAsia="仿宋_GB2312" w:cs="Droid Sans"/>
          <w:color w:val="000000"/>
          <w:sz w:val="32"/>
          <w:szCs w:val="32"/>
        </w:rPr>
      </w:pPr>
    </w:p>
    <w:p w:rsidR="00B4701F" w:rsidRDefault="001613C5">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B4701F" w:rsidRDefault="001613C5">
      <w:pPr>
        <w:jc w:val="center"/>
        <w:rPr>
          <w:rFonts w:ascii="黑体" w:eastAsia="黑体"/>
          <w:b/>
          <w:sz w:val="28"/>
          <w:szCs w:val="28"/>
        </w:rPr>
      </w:pPr>
      <w:r>
        <w:rPr>
          <w:noProof/>
        </w:rPr>
        <w:drawing>
          <wp:inline distT="0" distB="0" distL="114300" distR="114300">
            <wp:extent cx="4572000" cy="274320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4701F" w:rsidRDefault="001613C5" w:rsidP="009B6093">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B4701F" w:rsidRDefault="001613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1530.62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减少150.34万元，下降8.94%。主要原因：本年新增退休教职工，人员经费收入支出减少，因在园幼儿数减少，教学活动费、公用经费减少。</w:t>
      </w:r>
    </w:p>
    <w:p w:rsidR="00B4701F" w:rsidRDefault="001613C5" w:rsidP="009B6093">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B4701F" w:rsidRDefault="001613C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B4701F" w:rsidRPr="003D5075" w:rsidRDefault="001613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1530.62</w:t>
      </w:r>
      <w:r>
        <w:rPr>
          <w:rFonts w:ascii="仿宋_GB2312" w:eastAsia="仿宋_GB2312" w:hint="eastAsia"/>
          <w:sz w:val="28"/>
          <w:szCs w:val="28"/>
        </w:rPr>
        <w:t>万元，主要用于以下方面（按大类）：教育支出1120.68万元，占本年财政拨款支出73.22%；社会保障和就业支出172.76万元，占本年财政拨款支出11.29%；卫生健康支出77.15万元，，</w:t>
      </w:r>
      <w:r>
        <w:rPr>
          <w:rFonts w:ascii="仿宋_GB2312" w:eastAsia="仿宋_GB2312" w:hint="eastAsia"/>
          <w:sz w:val="28"/>
          <w:szCs w:val="28"/>
        </w:rPr>
        <w:lastRenderedPageBreak/>
        <w:t>占本年财</w:t>
      </w:r>
      <w:r w:rsidRPr="003D5075">
        <w:rPr>
          <w:rFonts w:ascii="仿宋_GB2312" w:eastAsia="仿宋_GB2312" w:hint="eastAsia"/>
          <w:sz w:val="28"/>
          <w:szCs w:val="28"/>
        </w:rPr>
        <w:t>政拨款支出5.04%；住房保障支出160.02万元，占本年财政拨款支出10.45%。</w:t>
      </w:r>
    </w:p>
    <w:p w:rsidR="00B4701F" w:rsidRPr="003D5075" w:rsidRDefault="001613C5">
      <w:pPr>
        <w:autoSpaceDE w:val="0"/>
        <w:autoSpaceDN w:val="0"/>
        <w:adjustRightInd w:val="0"/>
        <w:spacing w:line="580" w:lineRule="exact"/>
        <w:ind w:firstLineChars="200" w:firstLine="560"/>
        <w:jc w:val="left"/>
        <w:rPr>
          <w:rFonts w:ascii="仿宋_GB2312" w:eastAsia="仿宋_GB2312"/>
          <w:sz w:val="28"/>
          <w:szCs w:val="28"/>
        </w:rPr>
      </w:pPr>
      <w:r w:rsidRPr="003D5075">
        <w:rPr>
          <w:rFonts w:ascii="仿宋_GB2312" w:eastAsia="仿宋_GB2312" w:hint="eastAsia"/>
          <w:sz w:val="28"/>
          <w:szCs w:val="28"/>
        </w:rPr>
        <w:t>（二）一般公共预算财政拨款支出决算具体情况</w:t>
      </w:r>
    </w:p>
    <w:p w:rsidR="00B4701F" w:rsidRPr="003D5075" w:rsidRDefault="001613C5">
      <w:pPr>
        <w:autoSpaceDE w:val="0"/>
        <w:autoSpaceDN w:val="0"/>
        <w:adjustRightInd w:val="0"/>
        <w:spacing w:line="580" w:lineRule="exact"/>
        <w:ind w:firstLineChars="200" w:firstLine="560"/>
        <w:jc w:val="left"/>
        <w:rPr>
          <w:rFonts w:ascii="仿宋_GB2312" w:eastAsia="仿宋_GB2312"/>
          <w:sz w:val="28"/>
          <w:szCs w:val="28"/>
        </w:rPr>
      </w:pPr>
      <w:r w:rsidRPr="003D5075">
        <w:rPr>
          <w:rFonts w:ascii="仿宋_GB2312" w:eastAsia="仿宋_GB2312" w:hint="eastAsia"/>
          <w:sz w:val="28"/>
          <w:szCs w:val="28"/>
        </w:rPr>
        <w:t>1、“教育支出”（类）2024年度</w:t>
      </w:r>
      <w:r w:rsidR="009B6093" w:rsidRPr="003D5075">
        <w:rPr>
          <w:rFonts w:ascii="仿宋_GB2312" w:eastAsia="仿宋_GB2312" w:hint="eastAsia"/>
          <w:sz w:val="28"/>
          <w:szCs w:val="28"/>
        </w:rPr>
        <w:t>年初预算1039.87万元，2024年度</w:t>
      </w:r>
      <w:r w:rsidRPr="003D5075">
        <w:rPr>
          <w:rFonts w:ascii="仿宋_GB2312" w:eastAsia="仿宋_GB2312" w:hint="eastAsia"/>
          <w:sz w:val="28"/>
          <w:szCs w:val="28"/>
        </w:rPr>
        <w:t>决算1120.68万元，</w:t>
      </w:r>
      <w:r w:rsidR="009B6093" w:rsidRPr="003D5075">
        <w:rPr>
          <w:rFonts w:ascii="仿宋_GB2312" w:eastAsia="仿宋_GB2312" w:hint="eastAsia"/>
          <w:sz w:val="28"/>
          <w:szCs w:val="28"/>
        </w:rPr>
        <w:t>完成年初预算的107.77%</w:t>
      </w:r>
      <w:r w:rsidRPr="003D5075">
        <w:rPr>
          <w:rFonts w:ascii="仿宋_GB2312" w:eastAsia="仿宋_GB2312" w:hint="eastAsia"/>
          <w:sz w:val="28"/>
          <w:szCs w:val="28"/>
        </w:rPr>
        <w:t>。其中：</w:t>
      </w:r>
    </w:p>
    <w:p w:rsidR="00B4701F" w:rsidRPr="003D5075" w:rsidRDefault="001613C5">
      <w:pPr>
        <w:spacing w:line="580" w:lineRule="exact"/>
        <w:ind w:firstLineChars="200" w:firstLine="560"/>
        <w:rPr>
          <w:rFonts w:ascii="仿宋_GB2312" w:eastAsia="仿宋_GB2312"/>
          <w:sz w:val="28"/>
          <w:szCs w:val="28"/>
        </w:rPr>
      </w:pPr>
      <w:r w:rsidRPr="003D5075">
        <w:rPr>
          <w:rFonts w:ascii="仿宋_GB2312" w:eastAsia="仿宋_GB2312" w:hint="eastAsia"/>
          <w:sz w:val="28"/>
          <w:szCs w:val="28"/>
        </w:rPr>
        <w:t>“普通教育”（款）</w:t>
      </w:r>
      <w:r w:rsidR="009B6093" w:rsidRPr="003D5075">
        <w:rPr>
          <w:rFonts w:ascii="仿宋_GB2312" w:eastAsia="仿宋_GB2312" w:hint="eastAsia"/>
          <w:sz w:val="28"/>
          <w:szCs w:val="28"/>
        </w:rPr>
        <w:t>2024年度年初预算1037.15万元，</w:t>
      </w:r>
      <w:r w:rsidRPr="003D5075">
        <w:rPr>
          <w:rFonts w:ascii="仿宋_GB2312" w:eastAsia="仿宋_GB2312" w:hint="eastAsia"/>
          <w:sz w:val="28"/>
          <w:szCs w:val="28"/>
        </w:rPr>
        <w:t>2024年度决算1117.96万元，</w:t>
      </w:r>
      <w:r w:rsidR="009B6093" w:rsidRPr="003D5075">
        <w:rPr>
          <w:rFonts w:ascii="仿宋_GB2312" w:eastAsia="仿宋_GB2312" w:hint="eastAsia"/>
          <w:sz w:val="28"/>
          <w:szCs w:val="28"/>
        </w:rPr>
        <w:t>完成年初预算的107.79%。</w:t>
      </w:r>
      <w:r w:rsidRPr="003D5075">
        <w:rPr>
          <w:rFonts w:ascii="仿宋_GB2312" w:eastAsia="仿宋_GB2312" w:hint="eastAsia"/>
          <w:sz w:val="28"/>
          <w:szCs w:val="28"/>
        </w:rPr>
        <w:t>主要原因：因园所配备人员不足，增加外聘人员以弥补缺编问题，导致经费增加。“进修及培训”（款）</w:t>
      </w:r>
      <w:r w:rsidR="009B6093" w:rsidRPr="003D5075">
        <w:rPr>
          <w:rFonts w:ascii="仿宋_GB2312" w:eastAsia="仿宋_GB2312" w:hint="eastAsia"/>
          <w:sz w:val="28"/>
          <w:szCs w:val="28"/>
        </w:rPr>
        <w:t>2024年度年初预算2.72万元，</w:t>
      </w:r>
      <w:r w:rsidRPr="003D5075">
        <w:rPr>
          <w:rFonts w:ascii="仿宋_GB2312" w:eastAsia="仿宋_GB2312" w:hint="eastAsia"/>
          <w:sz w:val="28"/>
          <w:szCs w:val="28"/>
        </w:rPr>
        <w:t>2024年度决算2.72万元，</w:t>
      </w:r>
      <w:r w:rsidR="009B6093" w:rsidRPr="003D5075">
        <w:rPr>
          <w:rFonts w:ascii="仿宋_GB2312" w:eastAsia="仿宋_GB2312" w:hint="eastAsia"/>
          <w:sz w:val="28"/>
          <w:szCs w:val="28"/>
        </w:rPr>
        <w:t>完成年初预算的100.00%</w:t>
      </w:r>
      <w:r w:rsidRPr="003D5075">
        <w:rPr>
          <w:rFonts w:ascii="仿宋_GB2312" w:eastAsia="仿宋_GB2312" w:hint="eastAsia"/>
          <w:sz w:val="28"/>
          <w:szCs w:val="28"/>
        </w:rPr>
        <w:t>。</w:t>
      </w:r>
    </w:p>
    <w:p w:rsidR="00B4701F" w:rsidRPr="003D5075" w:rsidRDefault="001613C5">
      <w:pPr>
        <w:spacing w:line="580" w:lineRule="exact"/>
        <w:ind w:firstLineChars="200" w:firstLine="560"/>
        <w:rPr>
          <w:rFonts w:ascii="仿宋_GB2312" w:eastAsia="仿宋_GB2312"/>
          <w:sz w:val="28"/>
          <w:szCs w:val="28"/>
        </w:rPr>
      </w:pPr>
      <w:r w:rsidRPr="003D5075">
        <w:rPr>
          <w:rFonts w:ascii="仿宋_GB2312" w:eastAsia="仿宋_GB2312" w:hint="eastAsia"/>
          <w:sz w:val="28"/>
          <w:szCs w:val="28"/>
        </w:rPr>
        <w:t>2、“社会保障和就业支出”(类)</w:t>
      </w:r>
      <w:r w:rsidR="003D5075" w:rsidRPr="003D5075">
        <w:rPr>
          <w:rFonts w:ascii="仿宋_GB2312" w:eastAsia="仿宋_GB2312" w:hint="eastAsia"/>
          <w:sz w:val="28"/>
          <w:szCs w:val="28"/>
        </w:rPr>
        <w:t xml:space="preserve"> 2024年度年初预算153.59万元，</w:t>
      </w:r>
      <w:r w:rsidRPr="003D5075">
        <w:rPr>
          <w:rFonts w:ascii="仿宋_GB2312" w:eastAsia="仿宋_GB2312" w:hint="eastAsia"/>
          <w:sz w:val="28"/>
          <w:szCs w:val="28"/>
        </w:rPr>
        <w:t>2024年度决算172.76万元，</w:t>
      </w:r>
      <w:r w:rsidR="003D5075" w:rsidRPr="003D5075">
        <w:rPr>
          <w:rFonts w:ascii="仿宋_GB2312" w:eastAsia="仿宋_GB2312" w:hint="eastAsia"/>
          <w:sz w:val="28"/>
          <w:szCs w:val="28"/>
        </w:rPr>
        <w:t>完成年初预算的112.49%</w:t>
      </w:r>
      <w:r w:rsidRPr="003D5075">
        <w:rPr>
          <w:rFonts w:ascii="仿宋_GB2312" w:eastAsia="仿宋_GB2312" w:hint="eastAsia"/>
          <w:sz w:val="28"/>
          <w:szCs w:val="28"/>
        </w:rPr>
        <w:t>。其中：</w:t>
      </w:r>
    </w:p>
    <w:p w:rsidR="00B4701F" w:rsidRPr="003D5075" w:rsidRDefault="001613C5">
      <w:pPr>
        <w:spacing w:line="580" w:lineRule="exact"/>
        <w:ind w:firstLineChars="200" w:firstLine="560"/>
        <w:rPr>
          <w:rFonts w:ascii="仿宋_GB2312" w:eastAsia="仿宋_GB2312"/>
          <w:sz w:val="28"/>
          <w:szCs w:val="28"/>
        </w:rPr>
      </w:pPr>
      <w:r w:rsidRPr="003D5075">
        <w:rPr>
          <w:rFonts w:ascii="仿宋_GB2312" w:eastAsia="仿宋_GB2312" w:hint="eastAsia"/>
          <w:sz w:val="28"/>
          <w:szCs w:val="28"/>
        </w:rPr>
        <w:t>“行政事业单位养老支出”（款）</w:t>
      </w:r>
      <w:r w:rsidR="003D5075" w:rsidRPr="003D5075">
        <w:rPr>
          <w:rFonts w:ascii="仿宋_GB2312" w:eastAsia="仿宋_GB2312" w:hint="eastAsia"/>
          <w:sz w:val="28"/>
          <w:szCs w:val="28"/>
        </w:rPr>
        <w:t>2024年度年初预算153.59万元，</w:t>
      </w:r>
      <w:r w:rsidRPr="003D5075">
        <w:rPr>
          <w:rFonts w:ascii="仿宋_GB2312" w:eastAsia="仿宋_GB2312" w:hint="eastAsia"/>
          <w:sz w:val="28"/>
          <w:szCs w:val="28"/>
        </w:rPr>
        <w:t>2024年度决算172.76万元，</w:t>
      </w:r>
      <w:r w:rsidR="003D5075" w:rsidRPr="003D5075">
        <w:rPr>
          <w:rFonts w:ascii="仿宋_GB2312" w:eastAsia="仿宋_GB2312" w:hint="eastAsia"/>
          <w:sz w:val="28"/>
          <w:szCs w:val="28"/>
        </w:rPr>
        <w:t>完成年初预算的112.49%</w:t>
      </w:r>
      <w:r w:rsidRPr="003D5075">
        <w:rPr>
          <w:rFonts w:ascii="仿宋_GB2312" w:eastAsia="仿宋_GB2312" w:hint="eastAsia"/>
          <w:sz w:val="28"/>
          <w:szCs w:val="28"/>
        </w:rPr>
        <w:t>。主要原因：养老保险相关缴费增加所致。</w:t>
      </w:r>
    </w:p>
    <w:p w:rsidR="00B4701F" w:rsidRPr="003D5075" w:rsidRDefault="001613C5" w:rsidP="003D5075">
      <w:pPr>
        <w:spacing w:line="580" w:lineRule="exact"/>
        <w:ind w:firstLineChars="200" w:firstLine="560"/>
        <w:rPr>
          <w:rFonts w:ascii="仿宋_GB2312" w:eastAsia="仿宋_GB2312"/>
          <w:sz w:val="28"/>
          <w:szCs w:val="28"/>
        </w:rPr>
      </w:pPr>
      <w:r w:rsidRPr="003D5075">
        <w:rPr>
          <w:rFonts w:ascii="仿宋_GB2312" w:eastAsia="仿宋_GB2312" w:hint="eastAsia"/>
          <w:sz w:val="28"/>
          <w:szCs w:val="28"/>
        </w:rPr>
        <w:t>3、“卫生健康支出”(类)</w:t>
      </w:r>
      <w:r w:rsidR="003D5075" w:rsidRPr="003D5075">
        <w:rPr>
          <w:rFonts w:ascii="仿宋_GB2312" w:eastAsia="仿宋_GB2312" w:hint="eastAsia"/>
          <w:sz w:val="28"/>
          <w:szCs w:val="28"/>
        </w:rPr>
        <w:t xml:space="preserve"> 2024年度年初预算83.53万元，</w:t>
      </w:r>
      <w:r w:rsidRPr="003D5075">
        <w:rPr>
          <w:rFonts w:ascii="仿宋_GB2312" w:eastAsia="仿宋_GB2312" w:hint="eastAsia"/>
          <w:sz w:val="28"/>
          <w:szCs w:val="28"/>
        </w:rPr>
        <w:t>2024年度决算77.15万元，</w:t>
      </w:r>
      <w:r w:rsidR="003D5075" w:rsidRPr="003D5075">
        <w:rPr>
          <w:rFonts w:ascii="仿宋_GB2312" w:eastAsia="仿宋_GB2312" w:hint="eastAsia"/>
          <w:sz w:val="28"/>
          <w:szCs w:val="28"/>
        </w:rPr>
        <w:t>完成年初预算的92.36%。</w:t>
      </w:r>
      <w:r w:rsidRPr="003D5075">
        <w:rPr>
          <w:rFonts w:ascii="仿宋_GB2312" w:eastAsia="仿宋_GB2312" w:hint="eastAsia"/>
          <w:sz w:val="28"/>
          <w:szCs w:val="28"/>
        </w:rPr>
        <w:t>其中：</w:t>
      </w:r>
    </w:p>
    <w:p w:rsidR="00B4701F" w:rsidRPr="003D5075" w:rsidRDefault="001613C5">
      <w:pPr>
        <w:spacing w:line="580" w:lineRule="exact"/>
        <w:ind w:firstLineChars="200" w:firstLine="560"/>
        <w:rPr>
          <w:rFonts w:ascii="仿宋_GB2312" w:eastAsia="仿宋_GB2312"/>
          <w:sz w:val="28"/>
          <w:szCs w:val="28"/>
        </w:rPr>
      </w:pPr>
      <w:r w:rsidRPr="003D5075">
        <w:rPr>
          <w:rFonts w:ascii="仿宋_GB2312" w:eastAsia="仿宋_GB2312" w:hint="eastAsia"/>
          <w:sz w:val="28"/>
          <w:szCs w:val="28"/>
        </w:rPr>
        <w:t>“行政事业单位医疗”（款）</w:t>
      </w:r>
      <w:r w:rsidR="003D5075" w:rsidRPr="003D5075">
        <w:rPr>
          <w:rFonts w:ascii="仿宋_GB2312" w:eastAsia="仿宋_GB2312" w:hint="eastAsia"/>
          <w:sz w:val="28"/>
          <w:szCs w:val="28"/>
        </w:rPr>
        <w:t>2024年度年初预算83.53万元，2024年度决算77.15万元，完成年初预算的92.36%。</w:t>
      </w:r>
      <w:r w:rsidRPr="003D5075">
        <w:rPr>
          <w:rFonts w:ascii="仿宋_GB2312" w:eastAsia="仿宋_GB2312" w:hint="eastAsia"/>
          <w:sz w:val="28"/>
          <w:szCs w:val="28"/>
        </w:rPr>
        <w:t>主要原因：年初核拨该项经费金额大于实际支出所致。</w:t>
      </w:r>
    </w:p>
    <w:p w:rsidR="00B4701F" w:rsidRPr="003D5075" w:rsidRDefault="001613C5">
      <w:pPr>
        <w:spacing w:line="580" w:lineRule="exact"/>
        <w:ind w:firstLineChars="200" w:firstLine="560"/>
        <w:rPr>
          <w:rFonts w:ascii="仿宋_GB2312" w:eastAsia="仿宋_GB2312"/>
          <w:sz w:val="28"/>
          <w:szCs w:val="28"/>
        </w:rPr>
      </w:pPr>
      <w:r w:rsidRPr="003D5075">
        <w:rPr>
          <w:rFonts w:ascii="仿宋_GB2312" w:eastAsia="仿宋_GB2312" w:hint="eastAsia"/>
          <w:sz w:val="28"/>
          <w:szCs w:val="28"/>
        </w:rPr>
        <w:t>4、“住房保障支出”(类)</w:t>
      </w:r>
      <w:r w:rsidR="003D5075" w:rsidRPr="003D5075">
        <w:rPr>
          <w:rFonts w:ascii="仿宋_GB2312" w:eastAsia="仿宋_GB2312" w:hint="eastAsia"/>
          <w:sz w:val="28"/>
          <w:szCs w:val="28"/>
        </w:rPr>
        <w:t xml:space="preserve"> 2024年度年初预算161.59万元，</w:t>
      </w:r>
      <w:r w:rsidRPr="003D5075">
        <w:rPr>
          <w:rFonts w:ascii="仿宋_GB2312" w:eastAsia="仿宋_GB2312" w:hint="eastAsia"/>
          <w:sz w:val="28"/>
          <w:szCs w:val="28"/>
        </w:rPr>
        <w:t>2024年度决算160.02万元，</w:t>
      </w:r>
      <w:r w:rsidR="003D5075" w:rsidRPr="003D5075">
        <w:rPr>
          <w:rFonts w:ascii="仿宋_GB2312" w:eastAsia="仿宋_GB2312" w:hint="eastAsia"/>
          <w:sz w:val="28"/>
          <w:szCs w:val="28"/>
        </w:rPr>
        <w:t>完成年初预算的99.03%</w:t>
      </w:r>
      <w:r w:rsidRPr="003D5075">
        <w:rPr>
          <w:rFonts w:ascii="仿宋_GB2312" w:eastAsia="仿宋_GB2312" w:hint="eastAsia"/>
          <w:sz w:val="28"/>
          <w:szCs w:val="28"/>
        </w:rPr>
        <w:t>。其中：</w:t>
      </w:r>
    </w:p>
    <w:p w:rsidR="00B4701F" w:rsidRDefault="001613C5">
      <w:pPr>
        <w:spacing w:line="580" w:lineRule="exact"/>
        <w:ind w:firstLineChars="200" w:firstLine="560"/>
        <w:rPr>
          <w:rFonts w:ascii="仿宋_GB2312" w:eastAsia="仿宋_GB2312"/>
          <w:sz w:val="28"/>
          <w:szCs w:val="28"/>
        </w:rPr>
      </w:pPr>
      <w:r w:rsidRPr="003D5075">
        <w:rPr>
          <w:rFonts w:ascii="仿宋_GB2312" w:eastAsia="仿宋_GB2312" w:hint="eastAsia"/>
          <w:sz w:val="28"/>
          <w:szCs w:val="28"/>
        </w:rPr>
        <w:lastRenderedPageBreak/>
        <w:t>“住房改革支出”（款）</w:t>
      </w:r>
      <w:r w:rsidR="003D5075" w:rsidRPr="003D5075">
        <w:rPr>
          <w:rFonts w:ascii="仿宋_GB2312" w:eastAsia="仿宋_GB2312" w:hint="eastAsia"/>
          <w:sz w:val="28"/>
          <w:szCs w:val="28"/>
        </w:rPr>
        <w:t>2024年度年初预算161.59万元，2024年度决算160.02万元，完成年初预算的99.03%。</w:t>
      </w:r>
      <w:r w:rsidRPr="003D5075">
        <w:rPr>
          <w:rFonts w:ascii="仿宋_GB2312" w:eastAsia="仿宋_GB2312" w:hint="eastAsia"/>
          <w:sz w:val="28"/>
          <w:szCs w:val="28"/>
        </w:rPr>
        <w:t>主要原因：年初核拨该项经费金额大于实际支出所致。</w:t>
      </w:r>
    </w:p>
    <w:p w:rsidR="00B4701F" w:rsidRDefault="001613C5" w:rsidP="009B6093">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B4701F" w:rsidRDefault="001613C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B4701F" w:rsidRDefault="001613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0</w:t>
      </w:r>
      <w:r>
        <w:rPr>
          <w:rFonts w:ascii="仿宋_GB2312" w:eastAsia="仿宋_GB2312" w:hint="eastAsia"/>
          <w:sz w:val="28"/>
          <w:szCs w:val="28"/>
        </w:rPr>
        <w:t>万元。</w:t>
      </w:r>
    </w:p>
    <w:p w:rsidR="00B4701F" w:rsidRDefault="001613C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B4701F" w:rsidRDefault="001613C5">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本年度无政府性基金预算财政拨款支出。</w:t>
      </w:r>
    </w:p>
    <w:p w:rsidR="00B4701F" w:rsidRDefault="001613C5" w:rsidP="009B6093">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B4701F" w:rsidRDefault="001613C5" w:rsidP="009B6093">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B4701F" w:rsidRDefault="001613C5" w:rsidP="009B6093">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B4701F" w:rsidRDefault="001613C5" w:rsidP="009B6093">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1270.04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w:t>
      </w:r>
      <w:r>
        <w:rPr>
          <w:rFonts w:ascii="仿宋_GB2312" w:eastAsia="仿宋_GB2312" w:hint="eastAsia"/>
          <w:sz w:val="28"/>
          <w:szCs w:val="28"/>
        </w:rPr>
        <w:lastRenderedPageBreak/>
        <w:t>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B4701F" w:rsidRDefault="001613C5">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B4701F" w:rsidRDefault="001613C5">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B4701F" w:rsidRDefault="001613C5">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B4701F" w:rsidRDefault="001613C5">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w:t>
      </w:r>
      <w:r>
        <w:rPr>
          <w:rFonts w:ascii="仿宋_GB2312" w:eastAsia="仿宋_GB2312" w:hint="eastAsia"/>
          <w:sz w:val="28"/>
          <w:szCs w:val="28"/>
        </w:rPr>
        <w:t>万元，比2024年度“三公”经费财政拨款年初预算</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万元。其中：</w:t>
      </w:r>
    </w:p>
    <w:p w:rsidR="00B4701F" w:rsidRDefault="001613C5">
      <w:pPr>
        <w:spacing w:line="560" w:lineRule="exact"/>
        <w:ind w:firstLine="600"/>
        <w:rPr>
          <w:rFonts w:ascii="仿宋_GB2312" w:eastAsia="仿宋_GB2312"/>
          <w:sz w:val="28"/>
          <w:szCs w:val="28"/>
        </w:rPr>
      </w:pPr>
      <w:r>
        <w:rPr>
          <w:rFonts w:ascii="仿宋_GB2312" w:eastAsia="仿宋_GB2312" w:hint="eastAsia"/>
          <w:sz w:val="28"/>
          <w:szCs w:val="28"/>
        </w:rPr>
        <w:t>1.因公出国（境）费用。</w:t>
      </w:r>
    </w:p>
    <w:p w:rsidR="00B4701F" w:rsidRDefault="001613C5">
      <w:pPr>
        <w:spacing w:line="560" w:lineRule="exact"/>
        <w:ind w:firstLine="600"/>
        <w:rPr>
          <w:rFonts w:ascii="仿宋_GB2312" w:eastAsia="仿宋_GB2312"/>
          <w:sz w:val="28"/>
          <w:szCs w:val="28"/>
        </w:rPr>
      </w:pPr>
      <w:r>
        <w:rPr>
          <w:rFonts w:ascii="仿宋_GB2312" w:eastAsia="仿宋_GB2312" w:hint="eastAsia"/>
          <w:sz w:val="28"/>
          <w:szCs w:val="28"/>
        </w:rPr>
        <w:t>本单位无此项经费。</w:t>
      </w:r>
    </w:p>
    <w:p w:rsidR="00B4701F" w:rsidRDefault="001613C5">
      <w:pPr>
        <w:spacing w:line="560" w:lineRule="exact"/>
        <w:ind w:firstLine="600"/>
        <w:rPr>
          <w:rFonts w:ascii="仿宋_GB2312" w:eastAsia="仿宋_GB2312"/>
          <w:sz w:val="28"/>
          <w:szCs w:val="28"/>
        </w:rPr>
      </w:pPr>
      <w:r>
        <w:rPr>
          <w:rFonts w:ascii="仿宋_GB2312" w:eastAsia="仿宋_GB2312" w:hint="eastAsia"/>
          <w:sz w:val="28"/>
          <w:szCs w:val="28"/>
        </w:rPr>
        <w:t>2.公务接待费。</w:t>
      </w:r>
    </w:p>
    <w:p w:rsidR="00B4701F" w:rsidRDefault="001613C5">
      <w:pPr>
        <w:spacing w:line="560" w:lineRule="exact"/>
        <w:ind w:firstLine="600"/>
        <w:rPr>
          <w:rFonts w:ascii="仿宋_GB2312" w:eastAsia="仿宋_GB2312"/>
          <w:sz w:val="28"/>
          <w:szCs w:val="28"/>
        </w:rPr>
      </w:pPr>
      <w:r>
        <w:rPr>
          <w:rFonts w:ascii="仿宋_GB2312" w:eastAsia="仿宋_GB2312" w:hint="eastAsia"/>
          <w:sz w:val="28"/>
          <w:szCs w:val="28"/>
        </w:rPr>
        <w:t>本单位无此项经费。</w:t>
      </w:r>
    </w:p>
    <w:p w:rsidR="00B4701F" w:rsidRDefault="001613C5">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w:t>
      </w:r>
    </w:p>
    <w:p w:rsidR="00B4701F" w:rsidRDefault="001613C5">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本单位无此项经费。2024年度公务用车保有量</w:t>
      </w:r>
      <w:r>
        <w:rPr>
          <w:rFonts w:ascii="仿宋_GB2312" w:eastAsia="仿宋_GB2312"/>
          <w:sz w:val="28"/>
          <w:szCs w:val="28"/>
        </w:rPr>
        <w:t>0</w:t>
      </w:r>
      <w:r>
        <w:rPr>
          <w:rFonts w:ascii="仿宋_GB2312" w:eastAsia="仿宋_GB2312" w:hint="eastAsia"/>
          <w:sz w:val="28"/>
          <w:szCs w:val="28"/>
        </w:rPr>
        <w:t>辆。</w:t>
      </w:r>
    </w:p>
    <w:p w:rsidR="00B4701F" w:rsidRDefault="001613C5">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B4701F" w:rsidRDefault="001613C5">
      <w:pPr>
        <w:ind w:left="540"/>
        <w:rPr>
          <w:rFonts w:ascii="仿宋_GB2312" w:eastAsia="仿宋_GB2312"/>
          <w:sz w:val="28"/>
          <w:szCs w:val="28"/>
        </w:rPr>
      </w:pPr>
      <w:r>
        <w:rPr>
          <w:rFonts w:ascii="仿宋_GB2312" w:eastAsia="仿宋_GB2312" w:hint="eastAsia"/>
          <w:sz w:val="28"/>
          <w:szCs w:val="28"/>
        </w:rPr>
        <w:t>我单位不在机关运行经费统计范围之内。</w:t>
      </w:r>
    </w:p>
    <w:p w:rsidR="00B4701F" w:rsidRDefault="001613C5">
      <w:pPr>
        <w:ind w:left="540"/>
        <w:rPr>
          <w:rFonts w:ascii="黑体" w:eastAsia="黑体"/>
          <w:sz w:val="28"/>
          <w:szCs w:val="28"/>
        </w:rPr>
      </w:pPr>
      <w:r>
        <w:rPr>
          <w:rFonts w:ascii="黑体" w:eastAsia="黑体" w:hint="eastAsia"/>
          <w:sz w:val="28"/>
          <w:szCs w:val="28"/>
        </w:rPr>
        <w:t>三、政府采购支出情况</w:t>
      </w:r>
    </w:p>
    <w:p w:rsidR="00B4701F" w:rsidRDefault="001613C5" w:rsidP="009B6093">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96.05</w:t>
      </w:r>
      <w:r>
        <w:rPr>
          <w:rFonts w:ascii="仿宋_GB2312" w:eastAsia="仿宋_GB2312" w:hint="eastAsia"/>
          <w:sz w:val="28"/>
          <w:szCs w:val="28"/>
        </w:rPr>
        <w:t>万元，其中：政府采购货物支出</w:t>
      </w:r>
      <w:r>
        <w:rPr>
          <w:rFonts w:ascii="仿宋_GB2312" w:eastAsia="仿宋_GB2312"/>
          <w:sz w:val="28"/>
          <w:szCs w:val="28"/>
        </w:rPr>
        <w:t>0.22</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w:t>
      </w:r>
      <w:r>
        <w:rPr>
          <w:rFonts w:ascii="仿宋_GB2312" w:eastAsia="仿宋_GB2312" w:hint="eastAsia"/>
          <w:sz w:val="28"/>
          <w:szCs w:val="28"/>
        </w:rPr>
        <w:lastRenderedPageBreak/>
        <w:t>购服务支出</w:t>
      </w:r>
      <w:r>
        <w:rPr>
          <w:rFonts w:ascii="仿宋_GB2312" w:eastAsia="仿宋_GB2312"/>
          <w:sz w:val="28"/>
          <w:szCs w:val="28"/>
        </w:rPr>
        <w:t>95.83</w:t>
      </w:r>
      <w:r>
        <w:rPr>
          <w:rFonts w:ascii="仿宋_GB2312" w:eastAsia="仿宋_GB2312" w:hint="eastAsia"/>
          <w:sz w:val="28"/>
          <w:szCs w:val="28"/>
        </w:rPr>
        <w:t>万元。授予中小企业合同金额</w:t>
      </w:r>
      <w:r>
        <w:rPr>
          <w:rFonts w:ascii="仿宋_GB2312" w:eastAsia="仿宋_GB2312"/>
          <w:sz w:val="28"/>
          <w:szCs w:val="28"/>
        </w:rPr>
        <w:t>96.05</w:t>
      </w:r>
      <w:r>
        <w:rPr>
          <w:rFonts w:ascii="仿宋_GB2312" w:eastAsia="仿宋_GB2312" w:hint="eastAsia"/>
          <w:sz w:val="28"/>
          <w:szCs w:val="28"/>
        </w:rPr>
        <w:t>万元，占政府采购支出总额的100%，其中：授予小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95.83</w:t>
      </w:r>
      <w:r>
        <w:rPr>
          <w:rFonts w:ascii="仿宋_GB2312" w:eastAsia="仿宋_GB2312" w:hint="eastAsia"/>
          <w:sz w:val="28"/>
          <w:szCs w:val="28"/>
        </w:rPr>
        <w:t>万元，占政府采购支出总额的</w:t>
      </w:r>
      <w:r>
        <w:rPr>
          <w:rFonts w:ascii="仿宋_GB2312" w:eastAsia="仿宋_GB2312"/>
          <w:sz w:val="28"/>
          <w:szCs w:val="28"/>
        </w:rPr>
        <w:t>99.77</w:t>
      </w:r>
      <w:r>
        <w:rPr>
          <w:rFonts w:ascii="仿宋_GB2312" w:eastAsia="仿宋_GB2312" w:hint="eastAsia"/>
          <w:sz w:val="28"/>
          <w:szCs w:val="28"/>
        </w:rPr>
        <w:t>%。</w:t>
      </w:r>
    </w:p>
    <w:p w:rsidR="00B4701F" w:rsidRDefault="001613C5">
      <w:pPr>
        <w:ind w:firstLineChars="200" w:firstLine="560"/>
        <w:rPr>
          <w:rFonts w:ascii="黑体" w:eastAsia="黑体"/>
          <w:sz w:val="28"/>
          <w:szCs w:val="28"/>
          <w:highlight w:val="yellow"/>
        </w:rPr>
      </w:pPr>
      <w:r>
        <w:rPr>
          <w:rFonts w:ascii="黑体" w:eastAsia="黑体" w:hint="eastAsia"/>
          <w:sz w:val="28"/>
          <w:szCs w:val="28"/>
        </w:rPr>
        <w:t>四、国有资产占用情况</w:t>
      </w:r>
    </w:p>
    <w:p w:rsidR="00B4701F" w:rsidRDefault="001613C5">
      <w:pPr>
        <w:ind w:firstLineChars="200" w:firstLine="560"/>
        <w:rPr>
          <w:rFonts w:ascii="仿宋_GB2312" w:eastAsia="仿宋_GB2312"/>
          <w:sz w:val="32"/>
          <w:szCs w:val="32"/>
        </w:rPr>
      </w:pPr>
      <w:r>
        <w:rPr>
          <w:rFonts w:ascii="仿宋_GB2312" w:eastAsia="仿宋_GB2312" w:hint="eastAsia"/>
          <w:sz w:val="28"/>
          <w:szCs w:val="28"/>
        </w:rPr>
        <w:t>截至12月31日，北京市西城区大栅栏幼儿园共有车辆0台；单位价值100万元（含）以上的设备0台（套）。</w:t>
      </w:r>
    </w:p>
    <w:p w:rsidR="00B4701F" w:rsidRDefault="001613C5" w:rsidP="009B6093">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B4701F" w:rsidRDefault="001613C5" w:rsidP="009B6093">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B4701F" w:rsidRDefault="001613C5">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B4701F" w:rsidRDefault="001613C5">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B4701F" w:rsidRDefault="001613C5">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B4701F" w:rsidRDefault="001613C5">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B4701F" w:rsidRDefault="001613C5">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w:t>
      </w:r>
      <w:r>
        <w:rPr>
          <w:rFonts w:ascii="仿宋_GB2312" w:eastAsia="仿宋_GB2312" w:hAnsi="宋体" w:hint="eastAsia"/>
          <w:sz w:val="28"/>
          <w:szCs w:val="28"/>
        </w:rPr>
        <w:lastRenderedPageBreak/>
        <w:t>用房取暖费、办公用房物业管理费、公务用车运行维护费以及其他费用。</w:t>
      </w:r>
    </w:p>
    <w:p w:rsidR="00B4701F" w:rsidRDefault="001613C5">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B4701F" w:rsidRDefault="001613C5">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B4701F" w:rsidRDefault="001613C5">
      <w:pPr>
        <w:ind w:firstLineChars="150" w:firstLine="420"/>
        <w:rPr>
          <w:rFonts w:ascii="仿宋_GB2312" w:eastAsia="仿宋_GB2312"/>
          <w:sz w:val="28"/>
          <w:szCs w:val="28"/>
        </w:rPr>
      </w:pPr>
      <w:r>
        <w:rPr>
          <w:rFonts w:ascii="仿宋_GB2312" w:eastAsia="仿宋_GB2312" w:hint="eastAsia"/>
          <w:sz w:val="28"/>
          <w:szCs w:val="28"/>
        </w:rPr>
        <w:t>7.教育支出（类）普通教育（款）学前教育（项）：反映本部门举办的学前教育支出。</w:t>
      </w:r>
    </w:p>
    <w:p w:rsidR="00B4701F" w:rsidRDefault="001613C5">
      <w:pPr>
        <w:ind w:firstLineChars="150" w:firstLine="420"/>
        <w:rPr>
          <w:rFonts w:ascii="仿宋_GB2312" w:eastAsia="仿宋_GB2312"/>
          <w:sz w:val="28"/>
          <w:szCs w:val="28"/>
        </w:rPr>
      </w:pPr>
      <w:r>
        <w:rPr>
          <w:rFonts w:ascii="仿宋_GB2312" w:eastAsia="仿宋_GB2312" w:hint="eastAsia"/>
          <w:sz w:val="28"/>
          <w:szCs w:val="28"/>
        </w:rPr>
        <w:t>8.教育支出（类）进修及培训（款）教师进修（项）：反映教师进修、师资培训教育支出。</w:t>
      </w:r>
    </w:p>
    <w:p w:rsidR="00B4701F" w:rsidRDefault="001613C5">
      <w:pPr>
        <w:ind w:firstLineChars="150" w:firstLine="420"/>
        <w:rPr>
          <w:rFonts w:ascii="仿宋_GB2312" w:eastAsia="仿宋_GB2312"/>
          <w:sz w:val="28"/>
          <w:szCs w:val="28"/>
        </w:rPr>
      </w:pPr>
      <w:r>
        <w:rPr>
          <w:rFonts w:ascii="仿宋_GB2312" w:eastAsia="仿宋_GB2312" w:hint="eastAsia"/>
          <w:sz w:val="28"/>
          <w:szCs w:val="28"/>
        </w:rPr>
        <w:t>9.社会保障和就业支出（类）行政事业单位养老支出（款）事业单位离退休（项）：反映事业单位开支的离退休经费。</w:t>
      </w:r>
    </w:p>
    <w:p w:rsidR="00B4701F" w:rsidRDefault="001613C5">
      <w:pPr>
        <w:ind w:firstLineChars="150" w:firstLine="420"/>
        <w:rPr>
          <w:rFonts w:ascii="仿宋_GB2312" w:eastAsia="仿宋_GB2312"/>
          <w:sz w:val="28"/>
          <w:szCs w:val="28"/>
        </w:rPr>
      </w:pPr>
      <w:r>
        <w:rPr>
          <w:rFonts w:ascii="仿宋_GB2312" w:eastAsia="仿宋_GB2312" w:hint="eastAsia"/>
          <w:sz w:val="28"/>
          <w:szCs w:val="28"/>
        </w:rPr>
        <w:t>10.社会保障和就业支出（类）行政事业单位养老支出（款）机关事业单位基本养老保险缴费支出（项）：反映机关事业单位实施养老保险制度由单位缴纳的基本养老保险费支出。</w:t>
      </w:r>
    </w:p>
    <w:p w:rsidR="00B4701F" w:rsidRDefault="001613C5">
      <w:pPr>
        <w:ind w:firstLineChars="150" w:firstLine="420"/>
        <w:rPr>
          <w:rFonts w:ascii="仿宋_GB2312" w:eastAsia="仿宋_GB2312"/>
          <w:sz w:val="28"/>
          <w:szCs w:val="28"/>
        </w:rPr>
      </w:pPr>
      <w:r>
        <w:rPr>
          <w:rFonts w:ascii="仿宋_GB2312" w:eastAsia="仿宋_GB2312" w:hint="eastAsia"/>
          <w:sz w:val="28"/>
          <w:szCs w:val="28"/>
        </w:rPr>
        <w:t>11.社会保障和就业支出（类）行政事业单位养老支出（款）机关事业单位职业年金缴费支出（项）：反映机关事业单位实施养老保险制度由单位实际缴纳的职业年金支出。</w:t>
      </w:r>
    </w:p>
    <w:p w:rsidR="00B4701F" w:rsidRDefault="001613C5">
      <w:pPr>
        <w:ind w:firstLineChars="150" w:firstLine="420"/>
        <w:rPr>
          <w:rFonts w:ascii="仿宋_GB2312" w:eastAsia="仿宋_GB2312"/>
          <w:sz w:val="28"/>
          <w:szCs w:val="28"/>
        </w:rPr>
      </w:pPr>
      <w:r>
        <w:rPr>
          <w:rFonts w:ascii="仿宋_GB2312" w:eastAsia="仿宋_GB2312" w:hint="eastAsia"/>
          <w:sz w:val="28"/>
          <w:szCs w:val="28"/>
        </w:rPr>
        <w:t>12.卫生健康支出（类）行政事业单位医疗（款）事业单位医疗（项）：反映财政部门安排的事业单位基本医疗保险缴费经费，未参加医疗保险的事业单位的公费医疗经费，按国家规定享受离休人员待遇的医疗经费。</w:t>
      </w:r>
    </w:p>
    <w:p w:rsidR="00B4701F" w:rsidRDefault="001613C5">
      <w:pPr>
        <w:ind w:firstLineChars="150" w:firstLine="420"/>
        <w:rPr>
          <w:rFonts w:ascii="仿宋_GB2312" w:eastAsia="仿宋_GB2312"/>
          <w:sz w:val="28"/>
          <w:szCs w:val="28"/>
        </w:rPr>
      </w:pPr>
      <w:r>
        <w:rPr>
          <w:rFonts w:ascii="仿宋_GB2312" w:eastAsia="仿宋_GB2312" w:hint="eastAsia"/>
          <w:sz w:val="28"/>
          <w:szCs w:val="28"/>
        </w:rPr>
        <w:t>13.住房保障支出（类）住房改革支出（款）住房公积金（项）：反映行政事业单位按人力资源和社会保障部、财政</w:t>
      </w:r>
      <w:r>
        <w:rPr>
          <w:rFonts w:ascii="仿宋_GB2312" w:eastAsia="仿宋_GB2312" w:hint="eastAsia"/>
          <w:sz w:val="28"/>
          <w:szCs w:val="28"/>
        </w:rPr>
        <w:lastRenderedPageBreak/>
        <w:t>部规定的基本工资和津贴补贴以及规定比例为职工缴纳的住房公积金。</w:t>
      </w:r>
    </w:p>
    <w:p w:rsidR="00B4701F" w:rsidRDefault="001613C5">
      <w:pPr>
        <w:ind w:firstLineChars="150" w:firstLine="420"/>
      </w:pPr>
      <w:r>
        <w:rPr>
          <w:rFonts w:ascii="仿宋_GB2312" w:eastAsia="仿宋_GB2312" w:hint="eastAsia"/>
          <w:sz w:val="28"/>
          <w:szCs w:val="28"/>
        </w:rPr>
        <w:t>14.住房保障支出（类）住房改革支出（款）购房补贴（项）：反映按房改政策规定的标准，行政事业单位向符合条件职工（含离退休人员）发放的用于购买住房的补贴。</w:t>
      </w:r>
    </w:p>
    <w:p w:rsidR="00B4701F" w:rsidRDefault="00B4701F">
      <w:pPr>
        <w:ind w:firstLineChars="200" w:firstLine="640"/>
        <w:jc w:val="center"/>
        <w:rPr>
          <w:rFonts w:ascii="黑体" w:eastAsia="黑体"/>
          <w:sz w:val="32"/>
          <w:szCs w:val="32"/>
        </w:rPr>
      </w:pPr>
    </w:p>
    <w:p w:rsidR="00B4701F" w:rsidRDefault="001613C5">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B4701F" w:rsidRDefault="00B4701F">
      <w:pPr>
        <w:ind w:firstLineChars="200" w:firstLine="560"/>
        <w:rPr>
          <w:rFonts w:ascii="黑体" w:eastAsia="黑体"/>
          <w:sz w:val="28"/>
          <w:szCs w:val="28"/>
          <w:highlight w:val="yellow"/>
        </w:rPr>
      </w:pPr>
    </w:p>
    <w:p w:rsidR="00B4701F" w:rsidRDefault="001613C5">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rsidR="00B4701F" w:rsidRDefault="001613C5">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rsidR="00B4701F" w:rsidRDefault="001613C5">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rsidR="00B4701F" w:rsidRDefault="001613C5">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rsidR="00B4701F" w:rsidRDefault="001613C5">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rsidR="00B4701F" w:rsidRDefault="00B4701F">
      <w:pPr>
        <w:spacing w:line="480" w:lineRule="exact"/>
        <w:rPr>
          <w:rFonts w:ascii="仿宋_GB2312" w:eastAsia="仿宋_GB2312" w:hAnsi="仿宋_GB2312" w:cs="仿宋_GB2312"/>
          <w:sz w:val="32"/>
          <w:szCs w:val="32"/>
        </w:rPr>
      </w:pPr>
    </w:p>
    <w:p w:rsidR="00B4701F" w:rsidRDefault="00B4701F">
      <w:pPr>
        <w:spacing w:line="480" w:lineRule="exact"/>
      </w:pPr>
    </w:p>
    <w:sectPr w:rsidR="00B4701F" w:rsidSect="00B4701F">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51F" w:rsidRDefault="0042751F" w:rsidP="00B4701F">
      <w:r>
        <w:separator/>
      </w:r>
    </w:p>
  </w:endnote>
  <w:endnote w:type="continuationSeparator" w:id="0">
    <w:p w:rsidR="0042751F" w:rsidRDefault="0042751F" w:rsidP="00B470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01F" w:rsidRDefault="00BB053B">
    <w:pPr>
      <w:pStyle w:val="a7"/>
      <w:framePr w:wrap="around" w:vAnchor="text" w:hAnchor="margin" w:xAlign="center" w:y="1"/>
      <w:rPr>
        <w:rStyle w:val="ab"/>
      </w:rPr>
    </w:pPr>
    <w:r>
      <w:fldChar w:fldCharType="begin"/>
    </w:r>
    <w:r w:rsidR="001613C5">
      <w:rPr>
        <w:rStyle w:val="ab"/>
      </w:rPr>
      <w:instrText xml:space="preserve">PAGE  </w:instrText>
    </w:r>
    <w:r>
      <w:fldChar w:fldCharType="separate"/>
    </w:r>
    <w:r w:rsidR="00D761D0">
      <w:rPr>
        <w:rStyle w:val="ab"/>
        <w:noProof/>
      </w:rPr>
      <w:t>1</w:t>
    </w:r>
    <w:r>
      <w:fldChar w:fldCharType="end"/>
    </w:r>
  </w:p>
  <w:p w:rsidR="00B4701F" w:rsidRDefault="00B4701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01F" w:rsidRDefault="00BB053B">
    <w:pPr>
      <w:pStyle w:val="a7"/>
      <w:framePr w:wrap="around" w:vAnchor="text" w:hAnchor="margin" w:xAlign="center" w:y="1"/>
      <w:rPr>
        <w:rStyle w:val="ab"/>
      </w:rPr>
    </w:pPr>
    <w:r>
      <w:fldChar w:fldCharType="begin"/>
    </w:r>
    <w:r w:rsidR="001613C5">
      <w:rPr>
        <w:rStyle w:val="ab"/>
      </w:rPr>
      <w:instrText xml:space="preserve">PAGE  </w:instrText>
    </w:r>
    <w:r>
      <w:fldChar w:fldCharType="separate"/>
    </w:r>
    <w:r w:rsidR="001613C5">
      <w:rPr>
        <w:rStyle w:val="ab"/>
      </w:rPr>
      <w:t>15</w:t>
    </w:r>
    <w:r>
      <w:fldChar w:fldCharType="end"/>
    </w:r>
  </w:p>
  <w:p w:rsidR="00B4701F" w:rsidRDefault="00B4701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01F" w:rsidRDefault="00BB053B">
    <w:pPr>
      <w:pStyle w:val="a7"/>
      <w:framePr w:wrap="around" w:vAnchor="text" w:hAnchor="margin" w:xAlign="center" w:y="1"/>
      <w:rPr>
        <w:rStyle w:val="ab"/>
      </w:rPr>
    </w:pPr>
    <w:r>
      <w:fldChar w:fldCharType="begin"/>
    </w:r>
    <w:r w:rsidR="001613C5">
      <w:rPr>
        <w:rStyle w:val="ab"/>
      </w:rPr>
      <w:instrText xml:space="preserve">PAGE  </w:instrText>
    </w:r>
    <w:r>
      <w:fldChar w:fldCharType="separate"/>
    </w:r>
    <w:r w:rsidR="00D761D0">
      <w:rPr>
        <w:rStyle w:val="ab"/>
        <w:noProof/>
      </w:rPr>
      <w:t>4</w:t>
    </w:r>
    <w:r>
      <w:fldChar w:fldCharType="end"/>
    </w:r>
  </w:p>
  <w:p w:rsidR="00B4701F" w:rsidRDefault="00B4701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51F" w:rsidRDefault="0042751F" w:rsidP="00B4701F">
      <w:r>
        <w:separator/>
      </w:r>
    </w:p>
  </w:footnote>
  <w:footnote w:type="continuationSeparator" w:id="0">
    <w:p w:rsidR="0042751F" w:rsidRDefault="0042751F" w:rsidP="00B470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613C5"/>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5075"/>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51F"/>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0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4701F"/>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B053B"/>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761D0"/>
    <w:rsid w:val="00D87DAF"/>
    <w:rsid w:val="00D9446D"/>
    <w:rsid w:val="00DA2994"/>
    <w:rsid w:val="00DB08E8"/>
    <w:rsid w:val="00DB0DED"/>
    <w:rsid w:val="00DB3073"/>
    <w:rsid w:val="00DB3BA9"/>
    <w:rsid w:val="00DB50FE"/>
    <w:rsid w:val="00DB5EDA"/>
    <w:rsid w:val="00DC2349"/>
    <w:rsid w:val="00DC3026"/>
    <w:rsid w:val="00DD0F10"/>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331735D"/>
    <w:rsid w:val="145A6C1B"/>
    <w:rsid w:val="14B73493"/>
    <w:rsid w:val="167A2FF9"/>
    <w:rsid w:val="18581C69"/>
    <w:rsid w:val="1AEC0734"/>
    <w:rsid w:val="1BB32CA8"/>
    <w:rsid w:val="1DEF20B0"/>
    <w:rsid w:val="214243FA"/>
    <w:rsid w:val="21AD613C"/>
    <w:rsid w:val="22467189"/>
    <w:rsid w:val="257A14F5"/>
    <w:rsid w:val="27196C26"/>
    <w:rsid w:val="29EF086F"/>
    <w:rsid w:val="2EFFE297"/>
    <w:rsid w:val="301437CA"/>
    <w:rsid w:val="30E878F4"/>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363B89"/>
    <w:rsid w:val="7F7FE70F"/>
    <w:rsid w:val="7FFF77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B4701F"/>
    <w:pPr>
      <w:widowControl w:val="0"/>
      <w:jc w:val="both"/>
    </w:pPr>
    <w:rPr>
      <w:kern w:val="2"/>
      <w:sz w:val="21"/>
      <w:szCs w:val="24"/>
    </w:rPr>
  </w:style>
  <w:style w:type="paragraph" w:styleId="1">
    <w:name w:val="heading 1"/>
    <w:basedOn w:val="a"/>
    <w:next w:val="a"/>
    <w:qFormat/>
    <w:rsid w:val="00B4701F"/>
    <w:pPr>
      <w:keepNext/>
      <w:keepLines/>
      <w:spacing w:line="576" w:lineRule="auto"/>
      <w:outlineLvl w:val="0"/>
    </w:pPr>
    <w:rPr>
      <w:b/>
      <w:kern w:val="44"/>
      <w:sz w:val="44"/>
    </w:rPr>
  </w:style>
  <w:style w:type="paragraph" w:styleId="2">
    <w:name w:val="heading 2"/>
    <w:basedOn w:val="a"/>
    <w:next w:val="a"/>
    <w:qFormat/>
    <w:rsid w:val="00B4701F"/>
    <w:pPr>
      <w:keepNext/>
      <w:keepLines/>
      <w:spacing w:before="100" w:beforeAutospacing="1" w:after="100" w:afterAutospacing="1"/>
      <w:outlineLvl w:val="1"/>
    </w:pPr>
    <w:rPr>
      <w:rFonts w:ascii="Cambria" w:eastAsia="黑体" w:hAnsi="Cambria"/>
      <w:b/>
      <w:bCs/>
      <w:kern w:val="0"/>
      <w:sz w:val="36"/>
      <w:szCs w:val="32"/>
    </w:rPr>
  </w:style>
  <w:style w:type="paragraph" w:styleId="3">
    <w:name w:val="heading 3"/>
    <w:basedOn w:val="a"/>
    <w:next w:val="a"/>
    <w:unhideWhenUsed/>
    <w:qFormat/>
    <w:rsid w:val="00B4701F"/>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B4701F"/>
    <w:pPr>
      <w:ind w:firstLineChars="200" w:firstLine="200"/>
    </w:pPr>
  </w:style>
  <w:style w:type="paragraph" w:styleId="a4">
    <w:name w:val="Body Text Indent"/>
    <w:basedOn w:val="a"/>
    <w:qFormat/>
    <w:rsid w:val="00B4701F"/>
    <w:pPr>
      <w:ind w:firstLine="645"/>
    </w:pPr>
    <w:rPr>
      <w:rFonts w:ascii="仿宋_GB2312" w:eastAsia="仿宋_GB2312" w:hAnsi="Calibri"/>
      <w:sz w:val="32"/>
      <w:szCs w:val="32"/>
    </w:rPr>
  </w:style>
  <w:style w:type="paragraph" w:styleId="a5">
    <w:name w:val="Date"/>
    <w:basedOn w:val="a"/>
    <w:next w:val="a"/>
    <w:qFormat/>
    <w:rsid w:val="00B4701F"/>
    <w:pPr>
      <w:ind w:leftChars="2500" w:left="100"/>
    </w:pPr>
  </w:style>
  <w:style w:type="paragraph" w:styleId="a6">
    <w:name w:val="Balloon Text"/>
    <w:basedOn w:val="a"/>
    <w:semiHidden/>
    <w:qFormat/>
    <w:rsid w:val="00B4701F"/>
    <w:rPr>
      <w:sz w:val="18"/>
      <w:szCs w:val="18"/>
    </w:rPr>
  </w:style>
  <w:style w:type="paragraph" w:styleId="a7">
    <w:name w:val="footer"/>
    <w:basedOn w:val="a"/>
    <w:link w:val="Char"/>
    <w:qFormat/>
    <w:rsid w:val="00B4701F"/>
    <w:pPr>
      <w:tabs>
        <w:tab w:val="center" w:pos="4153"/>
        <w:tab w:val="right" w:pos="8306"/>
      </w:tabs>
      <w:snapToGrid w:val="0"/>
      <w:jc w:val="left"/>
    </w:pPr>
    <w:rPr>
      <w:sz w:val="18"/>
      <w:szCs w:val="18"/>
    </w:rPr>
  </w:style>
  <w:style w:type="paragraph" w:styleId="a8">
    <w:name w:val="header"/>
    <w:basedOn w:val="a"/>
    <w:link w:val="Char0"/>
    <w:qFormat/>
    <w:rsid w:val="00B4701F"/>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rsid w:val="00B4701F"/>
    <w:pPr>
      <w:spacing w:before="100" w:beforeAutospacing="1" w:after="100" w:afterAutospacing="1"/>
      <w:ind w:right="238"/>
      <w:jc w:val="left"/>
    </w:pPr>
    <w:rPr>
      <w:b/>
      <w:kern w:val="0"/>
      <w:sz w:val="24"/>
      <w:szCs w:val="20"/>
    </w:rPr>
  </w:style>
  <w:style w:type="character" w:styleId="aa">
    <w:name w:val="Strong"/>
    <w:qFormat/>
    <w:rsid w:val="00B4701F"/>
    <w:rPr>
      <w:b/>
    </w:rPr>
  </w:style>
  <w:style w:type="character" w:styleId="ab">
    <w:name w:val="page number"/>
    <w:qFormat/>
    <w:rsid w:val="00B4701F"/>
  </w:style>
  <w:style w:type="character" w:customStyle="1" w:styleId="Char">
    <w:name w:val="页脚 Char"/>
    <w:link w:val="a7"/>
    <w:qFormat/>
    <w:rsid w:val="00B4701F"/>
    <w:rPr>
      <w:rFonts w:eastAsia="宋体"/>
      <w:kern w:val="2"/>
      <w:sz w:val="18"/>
      <w:szCs w:val="18"/>
      <w:lang w:val="en-US" w:eastAsia="zh-CN" w:bidi="ar-SA"/>
    </w:rPr>
  </w:style>
  <w:style w:type="character" w:customStyle="1" w:styleId="Char0">
    <w:name w:val="页眉 Char"/>
    <w:link w:val="a8"/>
    <w:qFormat/>
    <w:rsid w:val="00B4701F"/>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sid w:val="00B4701F"/>
    <w:rPr>
      <w:rFonts w:ascii="Tahoma" w:hAnsi="Tahoma"/>
      <w:sz w:val="24"/>
      <w:szCs w:val="20"/>
    </w:rPr>
  </w:style>
  <w:style w:type="paragraph" w:customStyle="1" w:styleId="Char1CharCharChar">
    <w:name w:val="Char1 Char Char Char"/>
    <w:basedOn w:val="a"/>
    <w:qFormat/>
    <w:rsid w:val="00B4701F"/>
    <w:pPr>
      <w:widowControl/>
      <w:spacing w:after="160" w:line="240" w:lineRule="exact"/>
      <w:jc w:val="left"/>
    </w:pPr>
    <w:rPr>
      <w:szCs w:val="20"/>
    </w:rPr>
  </w:style>
  <w:style w:type="paragraph" w:customStyle="1" w:styleId="Char1">
    <w:name w:val="Char"/>
    <w:basedOn w:val="a"/>
    <w:qFormat/>
    <w:rsid w:val="00B4701F"/>
    <w:rPr>
      <w:rFonts w:ascii="Tahoma" w:hAnsi="Tahoma"/>
      <w:sz w:val="24"/>
      <w:szCs w:val="20"/>
    </w:rPr>
  </w:style>
  <w:style w:type="paragraph" w:customStyle="1" w:styleId="CharChar3CharChar">
    <w:name w:val="Char Char3 Char Char"/>
    <w:basedOn w:val="a"/>
    <w:qFormat/>
    <w:rsid w:val="00B4701F"/>
    <w:rPr>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title>
    <c:plotArea>
      <c:layout/>
      <c:pieChart>
        <c:varyColors val="1"/>
        <c:ser>
          <c:idx val="0"/>
          <c:order val="0"/>
          <c:tx>
            <c:strRef>
              <c:f>Sheet1!$B$1</c:f>
              <c:strCache>
                <c:ptCount val="1"/>
                <c:pt idx="0">
                  <c:v>收入</c:v>
                </c:pt>
              </c:strCache>
            </c:strRef>
          </c:tx>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1530.62</c:v>
                </c:pt>
                <c:pt idx="1">
                  <c:v>0</c:v>
                </c:pt>
                <c:pt idx="2">
                  <c:v>0</c:v>
                </c:pt>
                <c:pt idx="3">
                  <c:v>0</c:v>
                </c:pt>
                <c:pt idx="4">
                  <c:v>0</c:v>
                </c:pt>
                <c:pt idx="5">
                  <c:v>0</c:v>
                </c:pt>
              </c:numCache>
            </c:numRef>
          </c:val>
        </c:ser>
        <c:dLbls>
          <c:showVal val="1"/>
        </c:dLbls>
        <c:firstSliceAng val="0"/>
      </c:pieChart>
    </c:plotArea>
    <c:legend>
      <c:legendPos val="r"/>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extLst>
      <c:ext uri="{0b15fc19-7d7d-44ad-8c2d-2c3a37ce22c3}">
        <chartProps xmlns="https://web.wps.cn/et/2018/main" chartId="{0f5cc22e-071c-4691-b848-bad15f7b7652}"/>
      </c:ext>
    </c:extLst>
  </c:chart>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spPr>
        <a:noFill/>
        <a:ln>
          <a:noFill/>
        </a:ln>
        <a:effectLst/>
      </c:spPr>
    </c:title>
    <c:plotArea>
      <c:layout/>
      <c:pieChart>
        <c:varyColors val="1"/>
        <c:ser>
          <c:idx val="0"/>
          <c:order val="0"/>
          <c:tx>
            <c:strRef>
              <c:f>Sheet0!$B$1</c:f>
              <c:strCache>
                <c:ptCount val="1"/>
                <c:pt idx="0">
                  <c:v>支出</c:v>
                </c:pt>
              </c:strCache>
            </c:strRef>
          </c:tx>
          <c:dPt>
            <c:idx val="0"/>
            <c:spPr>
              <a:solidFill>
                <a:srgbClr val="4F81BD"/>
              </a:solidFill>
              <a:ln w="19050">
                <a:solidFill>
                  <a:srgbClr val="FFFFFF"/>
                </a:solidFill>
              </a:ln>
              <a:effectLst/>
            </c:spPr>
          </c:dPt>
          <c:dPt>
            <c:idx val="1"/>
            <c:spPr>
              <a:solidFill>
                <a:srgbClr val="C0504D"/>
              </a:solidFill>
              <a:ln w="19050">
                <a:solidFill>
                  <a:srgbClr val="FFFFFF"/>
                </a:solidFill>
              </a:ln>
              <a:effectLst/>
            </c:spPr>
          </c:dPt>
          <c:dPt>
            <c:idx val="2"/>
            <c:spPr>
              <a:solidFill>
                <a:srgbClr val="9BBB59"/>
              </a:solidFill>
              <a:ln w="19050">
                <a:solidFill>
                  <a:srgbClr val="FFFFFF"/>
                </a:solidFill>
              </a:ln>
              <a:effectLst/>
            </c:spPr>
          </c:dPt>
          <c:dPt>
            <c:idx val="3"/>
            <c:spPr>
              <a:solidFill>
                <a:srgbClr val="8064A2"/>
              </a:solidFill>
              <a:ln w="19050">
                <a:solidFill>
                  <a:srgbClr val="FFFFFF"/>
                </a:solidFill>
              </a:ln>
              <a:effectLst/>
            </c:spPr>
          </c:dPt>
          <c:dPt>
            <c:idx val="4"/>
            <c:spPr>
              <a:solidFill>
                <a:srgbClr val="4BACC6"/>
              </a:solidFill>
              <a:ln w="19050">
                <a:solidFill>
                  <a:srgbClr val="FFFFFF"/>
                </a:solidFill>
              </a:ln>
              <a:effectLst/>
            </c:spPr>
          </c:dPt>
          <c:dLbls>
            <c:dLbl>
              <c:idx val="2"/>
              <c:layout>
                <c:manualLayout>
                  <c:x val="-3.9003729401150038E-2"/>
                  <c:y val="3.2827143610787812E-2"/>
                </c:manualLayout>
              </c:layout>
              <c:dLblPos val="bestFit"/>
              <c:showPercent val="1"/>
              <c:extLst>
                <c:ext xmlns:c15="http://schemas.microsoft.com/office/drawing/2012/chart" uri="{CE6537A1-D6FC-4f65-9D91-7224C49458BB}">
                  <c15:layout/>
                </c:ext>
              </c:extLst>
            </c:dLbl>
            <c:dLbl>
              <c:idx val="4"/>
              <c:layout>
                <c:manualLayout>
                  <c:x val="3.8988769358610204E-2"/>
                  <c:y val="1.0511229510062311E-2"/>
                </c:manualLayout>
              </c:layout>
              <c:dLblPos val="bestFit"/>
              <c:showPercent val="1"/>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1270.04</c:v>
                </c:pt>
                <c:pt idx="1">
                  <c:v>260.58</c:v>
                </c:pt>
                <c:pt idx="2">
                  <c:v>0</c:v>
                </c:pt>
                <c:pt idx="3">
                  <c:v>0</c:v>
                </c:pt>
                <c:pt idx="4">
                  <c:v>0</c:v>
                </c:pt>
              </c:numCache>
            </c:numRef>
          </c:val>
        </c:ser>
        <c:dLbls>
          <c:showPercent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zero"/>
    <c:extLst>
      <c:ext uri="{0b15fc19-7d7d-44ad-8c2d-2c3a37ce22c3}">
        <chartProps xmlns="https://web.wps.cn/et/2018/main" chartId="{e7409d42-4f0f-4dfb-a6c1-98c66237bffc}"/>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12</Pages>
  <Words>665</Words>
  <Characters>3794</Characters>
  <Application>Microsoft Office Word</Application>
  <DocSecurity>0</DocSecurity>
  <Lines>31</Lines>
  <Paragraphs>8</Paragraphs>
  <ScaleCrop>false</ScaleCrop>
  <Company/>
  <LinksUpToDate>false</LinksUpToDate>
  <CharactersWithSpaces>4451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cp:lastModifiedBy>
  <cp:revision>3</cp:revision>
  <cp:lastPrinted>2025-08-25T08:01:00Z</cp:lastPrinted>
  <dcterms:created xsi:type="dcterms:W3CDTF">2025-08-27T07:59:00Z</dcterms:created>
  <dcterms:modified xsi:type="dcterms:W3CDTF">2025-08-27T08:18:00Z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eyJoZGlkIjoiZmI5NTg5NmRjMWRiYmNlZDhlMDFjZDRmODBkZTViNzciLCJ1c2VySWQiOiI1MjA1MzQ4MTgifQ==</vt:lpwstr>
  </property>
</Properties>
</file>