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42E8C" w14:textId="77777777" w:rsidR="004E4802" w:rsidRDefault="004E4802">
      <w:pPr>
        <w:jc w:val="center"/>
        <w:rPr>
          <w:rFonts w:ascii="仿宋_GB2312" w:eastAsia="仿宋_GB2312"/>
          <w:b/>
          <w:sz w:val="32"/>
          <w:szCs w:val="32"/>
        </w:rPr>
      </w:pPr>
    </w:p>
    <w:p w14:paraId="185A9544" w14:textId="77777777" w:rsidR="004E4802" w:rsidRDefault="004E4802">
      <w:pPr>
        <w:jc w:val="center"/>
        <w:rPr>
          <w:rFonts w:ascii="黑体" w:eastAsia="黑体"/>
          <w:sz w:val="72"/>
          <w:szCs w:val="72"/>
        </w:rPr>
      </w:pPr>
    </w:p>
    <w:p w14:paraId="661D1476" w14:textId="77777777" w:rsidR="004E4802" w:rsidRDefault="004E4802">
      <w:pPr>
        <w:jc w:val="center"/>
        <w:rPr>
          <w:rFonts w:ascii="黑体" w:eastAsia="黑体"/>
          <w:sz w:val="72"/>
          <w:szCs w:val="72"/>
        </w:rPr>
      </w:pPr>
    </w:p>
    <w:p w14:paraId="04A6ED01" w14:textId="77777777" w:rsidR="004E4802" w:rsidRDefault="004E4802">
      <w:pPr>
        <w:jc w:val="center"/>
        <w:rPr>
          <w:rFonts w:ascii="黑体" w:eastAsia="黑体"/>
          <w:sz w:val="72"/>
          <w:szCs w:val="72"/>
        </w:rPr>
      </w:pPr>
    </w:p>
    <w:p w14:paraId="12DEF5B0" w14:textId="77777777" w:rsidR="004E4802" w:rsidRDefault="004E4802">
      <w:pPr>
        <w:jc w:val="center"/>
        <w:rPr>
          <w:rFonts w:ascii="黑体" w:eastAsia="黑体"/>
          <w:sz w:val="72"/>
          <w:szCs w:val="72"/>
        </w:rPr>
      </w:pPr>
    </w:p>
    <w:p w14:paraId="0E842EDE" w14:textId="77777777" w:rsidR="004E4802"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0006AA88" w14:textId="77777777" w:rsidR="004E4802" w:rsidRDefault="004E4802">
      <w:pPr>
        <w:jc w:val="center"/>
        <w:rPr>
          <w:rFonts w:ascii="黑体" w:eastAsia="黑体"/>
          <w:sz w:val="52"/>
          <w:szCs w:val="52"/>
        </w:rPr>
      </w:pPr>
    </w:p>
    <w:p w14:paraId="1AC8D982" w14:textId="77777777" w:rsidR="004E4802" w:rsidRDefault="004E4802">
      <w:pPr>
        <w:jc w:val="center"/>
        <w:rPr>
          <w:rFonts w:ascii="黑体" w:eastAsia="黑体"/>
          <w:sz w:val="52"/>
          <w:szCs w:val="52"/>
        </w:rPr>
      </w:pPr>
    </w:p>
    <w:p w14:paraId="264D0940" w14:textId="77777777" w:rsidR="004E4802" w:rsidRDefault="004E4802">
      <w:pPr>
        <w:jc w:val="center"/>
        <w:rPr>
          <w:rFonts w:ascii="黑体" w:eastAsia="黑体"/>
          <w:sz w:val="52"/>
          <w:szCs w:val="52"/>
        </w:rPr>
      </w:pPr>
    </w:p>
    <w:p w14:paraId="7468A620" w14:textId="77777777" w:rsidR="004E4802" w:rsidRDefault="004E4802">
      <w:pPr>
        <w:jc w:val="center"/>
        <w:rPr>
          <w:rFonts w:ascii="黑体" w:eastAsia="黑体"/>
          <w:sz w:val="52"/>
          <w:szCs w:val="52"/>
        </w:rPr>
      </w:pPr>
    </w:p>
    <w:p w14:paraId="6DBA1D92" w14:textId="77777777" w:rsidR="004E4802" w:rsidRDefault="004E4802">
      <w:pPr>
        <w:jc w:val="center"/>
        <w:rPr>
          <w:rFonts w:ascii="黑体" w:eastAsia="黑体"/>
          <w:sz w:val="32"/>
          <w:szCs w:val="32"/>
        </w:rPr>
      </w:pPr>
    </w:p>
    <w:p w14:paraId="180D654D" w14:textId="77777777" w:rsidR="004E4802"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54F3E6CE" w14:textId="77777777" w:rsidR="004E4802" w:rsidRDefault="004E4802">
      <w:pPr>
        <w:spacing w:line="500" w:lineRule="exact"/>
        <w:ind w:firstLine="645"/>
        <w:jc w:val="center"/>
        <w:rPr>
          <w:rFonts w:ascii="宋体" w:hAnsi="宋体" w:cs="宋体" w:hint="eastAsia"/>
          <w:b/>
          <w:bCs/>
          <w:kern w:val="0"/>
          <w:sz w:val="36"/>
          <w:szCs w:val="36"/>
        </w:rPr>
      </w:pPr>
    </w:p>
    <w:p w14:paraId="2BEA50A4" w14:textId="77777777" w:rsidR="004E4802"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57247B51" w14:textId="77777777" w:rsidR="004E4802"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2D9BC72A"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4C346FF2"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12B78104"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4DD31B9"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54C953AF"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A9C335F"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656B9256"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AD9CA60"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035BC9C"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89190B3"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33690FAD" w14:textId="77777777" w:rsidR="004E4802"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08B21DC" w14:textId="77777777" w:rsidR="004E4802"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549ECFBC" w14:textId="77777777" w:rsidR="004E4802"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B943ED4" w14:textId="77777777" w:rsidR="004E4802"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13B3B8F" w14:textId="77777777" w:rsidR="004E4802" w:rsidRDefault="004E4802">
      <w:pPr>
        <w:tabs>
          <w:tab w:val="center" w:pos="6979"/>
        </w:tabs>
        <w:spacing w:beforeLines="50" w:before="156" w:afterLines="50" w:after="156"/>
        <w:jc w:val="center"/>
        <w:rPr>
          <w:rFonts w:ascii="宋体" w:hAnsi="宋体" w:cs="宋体" w:hint="eastAsia"/>
          <w:b/>
          <w:bCs/>
          <w:spacing w:val="40"/>
          <w:kern w:val="0"/>
          <w:sz w:val="32"/>
          <w:szCs w:val="32"/>
        </w:rPr>
      </w:pPr>
    </w:p>
    <w:p w14:paraId="4868B032" w14:textId="77777777" w:rsidR="004E4802" w:rsidRDefault="004E4802">
      <w:pPr>
        <w:tabs>
          <w:tab w:val="center" w:pos="6979"/>
        </w:tabs>
        <w:spacing w:beforeLines="50" w:before="156" w:afterLines="50" w:after="156"/>
        <w:jc w:val="center"/>
        <w:rPr>
          <w:rFonts w:ascii="宋体" w:hAnsi="宋体" w:cs="宋体" w:hint="eastAsia"/>
          <w:b/>
          <w:bCs/>
          <w:spacing w:val="40"/>
          <w:kern w:val="0"/>
          <w:sz w:val="32"/>
          <w:szCs w:val="32"/>
        </w:rPr>
      </w:pPr>
    </w:p>
    <w:p w14:paraId="733C406F" w14:textId="77777777" w:rsidR="004E4802" w:rsidRDefault="004E4802">
      <w:pPr>
        <w:tabs>
          <w:tab w:val="center" w:pos="6979"/>
        </w:tabs>
        <w:spacing w:beforeLines="50" w:before="156" w:afterLines="50" w:after="156"/>
        <w:jc w:val="center"/>
        <w:rPr>
          <w:rFonts w:ascii="宋体" w:hAnsi="宋体" w:cs="宋体" w:hint="eastAsia"/>
          <w:b/>
          <w:bCs/>
          <w:spacing w:val="40"/>
          <w:kern w:val="0"/>
          <w:sz w:val="32"/>
          <w:szCs w:val="32"/>
        </w:rPr>
      </w:pPr>
    </w:p>
    <w:p w14:paraId="6980CD18" w14:textId="77777777" w:rsidR="004E4802" w:rsidRDefault="004E4802">
      <w:pPr>
        <w:tabs>
          <w:tab w:val="center" w:pos="6979"/>
        </w:tabs>
        <w:spacing w:beforeLines="50" w:before="156" w:afterLines="50" w:after="156"/>
        <w:jc w:val="center"/>
        <w:rPr>
          <w:rFonts w:ascii="宋体" w:hAnsi="宋体" w:cs="宋体" w:hint="eastAsia"/>
          <w:b/>
          <w:bCs/>
          <w:spacing w:val="40"/>
          <w:kern w:val="0"/>
          <w:sz w:val="32"/>
          <w:szCs w:val="32"/>
        </w:rPr>
      </w:pPr>
    </w:p>
    <w:p w14:paraId="0D490BC8" w14:textId="77777777" w:rsidR="004E4802" w:rsidRDefault="004E4802">
      <w:pPr>
        <w:tabs>
          <w:tab w:val="center" w:pos="6979"/>
        </w:tabs>
        <w:spacing w:beforeLines="50" w:before="156" w:afterLines="50" w:after="156"/>
        <w:jc w:val="center"/>
        <w:rPr>
          <w:rFonts w:ascii="宋体" w:hAnsi="宋体" w:cs="宋体" w:hint="eastAsia"/>
          <w:b/>
          <w:bCs/>
          <w:spacing w:val="40"/>
          <w:kern w:val="0"/>
          <w:sz w:val="32"/>
          <w:szCs w:val="32"/>
        </w:rPr>
      </w:pPr>
    </w:p>
    <w:p w14:paraId="4655A703" w14:textId="77777777" w:rsidR="004E4802"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5EF4F022" w14:textId="77777777" w:rsidR="004E4802" w:rsidRDefault="00000000">
      <w:pPr>
        <w:pStyle w:val="2"/>
        <w:rPr>
          <w:b w:val="0"/>
          <w:bCs w:val="0"/>
        </w:rPr>
        <w:sectPr w:rsidR="004E4802">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5AD4494" w14:textId="77777777" w:rsidR="004E4802" w:rsidRDefault="00000000">
      <w:pPr>
        <w:tabs>
          <w:tab w:val="center" w:pos="6979"/>
        </w:tabs>
        <w:spacing w:beforeLines="50" w:before="156" w:afterLines="50" w:after="156"/>
        <w:jc w:val="center"/>
        <w:rPr>
          <w:rFonts w:ascii="宋体" w:hAnsi="宋体" w:cs="宋体" w:hint="eastAsia"/>
          <w:b/>
          <w:bCs/>
          <w:spacing w:val="40"/>
          <w:kern w:val="0"/>
          <w:sz w:val="44"/>
          <w:szCs w:val="44"/>
        </w:rPr>
      </w:pPr>
      <w:r>
        <w:rPr>
          <w:rFonts w:ascii="宋体" w:hAnsi="宋体" w:cs="宋体" w:hint="eastAsia"/>
          <w:b/>
          <w:bCs/>
          <w:spacing w:val="40"/>
          <w:kern w:val="0"/>
          <w:sz w:val="44"/>
          <w:szCs w:val="44"/>
        </w:rPr>
        <w:lastRenderedPageBreak/>
        <w:t>第二部分 2024年度部门决算说明</w:t>
      </w:r>
    </w:p>
    <w:p w14:paraId="132CE81D" w14:textId="77777777" w:rsidR="004E4802"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3CD16E3C" w14:textId="53F19C0F"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北京市第三十九中学是一所普通完全中学，隶属于西城区教育委员会，基本性质为全额拨款事业单位，执行政府会计制度，主要职责是实施高中学历教育、初中义务教育。</w:t>
      </w:r>
    </w:p>
    <w:p w14:paraId="497EDB7F" w14:textId="77777777" w:rsidR="004E4802" w:rsidRDefault="00000000">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二、收入支出决算总体情况说明</w:t>
      </w:r>
    </w:p>
    <w:p w14:paraId="22B77FF7" w14:textId="77777777" w:rsidR="004E480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8824.42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减少109.44万元，下降1.23%。</w:t>
      </w:r>
    </w:p>
    <w:p w14:paraId="74B4DEA0" w14:textId="77777777" w:rsidR="004E480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9CD8D4B" w14:textId="77777777" w:rsidR="004E480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8665.9</w:t>
      </w:r>
      <w:r>
        <w:rPr>
          <w:rFonts w:ascii="仿宋_GB2312" w:eastAsia="仿宋_GB2312" w:hint="eastAsia"/>
          <w:sz w:val="28"/>
          <w:szCs w:val="28"/>
        </w:rPr>
        <w:t>0万元，</w:t>
      </w:r>
      <w:r>
        <w:rPr>
          <w:rFonts w:ascii="仿宋_GB2312" w:eastAsia="仿宋_GB2312"/>
          <w:sz w:val="28"/>
          <w:szCs w:val="28"/>
        </w:rPr>
        <w:t>比上年</w:t>
      </w:r>
      <w:r>
        <w:rPr>
          <w:rFonts w:ascii="仿宋_GB2312" w:eastAsia="仿宋_GB2312" w:hint="eastAsia"/>
          <w:sz w:val="28"/>
          <w:szCs w:val="28"/>
        </w:rPr>
        <w:t>减少170.94万元，下降1.93%。</w:t>
      </w:r>
    </w:p>
    <w:p w14:paraId="3DB2691D"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8400.66</w:t>
      </w:r>
      <w:r>
        <w:rPr>
          <w:rFonts w:ascii="仿宋_GB2312" w:eastAsia="仿宋_GB2312" w:hint="eastAsia"/>
          <w:sz w:val="28"/>
          <w:szCs w:val="28"/>
        </w:rPr>
        <w:t>万元，占收入合计的96.94%。其中：一般公共预算财政拨款收入</w:t>
      </w:r>
      <w:r>
        <w:rPr>
          <w:rFonts w:ascii="仿宋_GB2312" w:eastAsia="仿宋_GB2312"/>
          <w:sz w:val="28"/>
          <w:szCs w:val="28"/>
        </w:rPr>
        <w:t>8400.66</w:t>
      </w:r>
      <w:r>
        <w:rPr>
          <w:rFonts w:ascii="仿宋_GB2312" w:eastAsia="仿宋_GB2312" w:hint="eastAsia"/>
          <w:sz w:val="28"/>
          <w:szCs w:val="28"/>
        </w:rPr>
        <w:t>万元，占收入合计的96.94%；政府性基金预算财政拨款收入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0774279"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7A3DD3A0"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46.41</w:t>
      </w:r>
      <w:r>
        <w:rPr>
          <w:rFonts w:ascii="仿宋_GB2312" w:eastAsia="仿宋_GB2312" w:hint="eastAsia"/>
          <w:sz w:val="28"/>
          <w:szCs w:val="28"/>
        </w:rPr>
        <w:t>万元，占收入合计的0.54%；</w:t>
      </w:r>
    </w:p>
    <w:p w14:paraId="30EC9FC2"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218.83</w:t>
      </w:r>
      <w:r>
        <w:rPr>
          <w:rFonts w:ascii="仿宋_GB2312" w:eastAsia="仿宋_GB2312" w:hint="eastAsia"/>
          <w:sz w:val="28"/>
          <w:szCs w:val="28"/>
        </w:rPr>
        <w:t>万元，占收入合计的2.53%；</w:t>
      </w:r>
    </w:p>
    <w:p w14:paraId="00B99372"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6A5A3834"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222B2126" w14:textId="77777777" w:rsidR="004E4802" w:rsidRDefault="00000000">
      <w:pPr>
        <w:pStyle w:val="2"/>
        <w:jc w:val="center"/>
      </w:pPr>
      <w:r>
        <w:rPr>
          <w:rFonts w:ascii="仿宋_GB2312" w:eastAsia="仿宋_GB2312" w:hint="eastAsia"/>
          <w:color w:val="000000"/>
          <w:sz w:val="32"/>
        </w:rPr>
        <w:lastRenderedPageBreak/>
        <w:t>图1：收入决算</w:t>
      </w:r>
    </w:p>
    <w:p w14:paraId="6BA37037" w14:textId="77777777" w:rsidR="004E4802" w:rsidRDefault="00000000">
      <w:pPr>
        <w:pStyle w:val="a3"/>
        <w:ind w:firstLine="420"/>
        <w:jc w:val="center"/>
      </w:pPr>
      <w:r>
        <w:rPr>
          <w:noProof/>
        </w:rPr>
        <w:drawing>
          <wp:inline distT="0" distB="0" distL="0" distR="0" wp14:anchorId="0ACA8822" wp14:editId="16D54151">
            <wp:extent cx="4036695" cy="2328545"/>
            <wp:effectExtent l="0" t="0" r="20955" b="14605"/>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814DDC5" w14:textId="77777777" w:rsidR="004E480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538CCF11" w14:textId="77777777" w:rsidR="004E480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8665.9</w:t>
      </w:r>
      <w:r>
        <w:rPr>
          <w:rFonts w:ascii="仿宋_GB2312" w:eastAsia="仿宋_GB2312" w:hint="eastAsia"/>
          <w:sz w:val="28"/>
          <w:szCs w:val="28"/>
        </w:rPr>
        <w:t>0万元，</w:t>
      </w:r>
      <w:r>
        <w:rPr>
          <w:rFonts w:ascii="仿宋_GB2312" w:eastAsia="仿宋_GB2312"/>
          <w:sz w:val="28"/>
          <w:szCs w:val="28"/>
        </w:rPr>
        <w:t>比上年</w:t>
      </w:r>
      <w:r>
        <w:rPr>
          <w:rFonts w:ascii="仿宋_GB2312" w:eastAsia="仿宋_GB2312" w:hint="eastAsia"/>
          <w:sz w:val="28"/>
          <w:szCs w:val="28"/>
        </w:rPr>
        <w:t>减少72.15万元，下降0.83%，其中：基本支出</w:t>
      </w:r>
      <w:r>
        <w:rPr>
          <w:rFonts w:ascii="仿宋_GB2312" w:eastAsia="仿宋_GB2312"/>
          <w:sz w:val="28"/>
          <w:szCs w:val="28"/>
        </w:rPr>
        <w:t>5888.49</w:t>
      </w:r>
      <w:r>
        <w:rPr>
          <w:rFonts w:ascii="仿宋_GB2312" w:eastAsia="仿宋_GB2312" w:hint="eastAsia"/>
          <w:sz w:val="28"/>
          <w:szCs w:val="28"/>
        </w:rPr>
        <w:t>万元，占支出合计的67.95%；项目支出</w:t>
      </w:r>
      <w:r>
        <w:rPr>
          <w:rFonts w:ascii="仿宋_GB2312" w:eastAsia="仿宋_GB2312"/>
          <w:sz w:val="28"/>
          <w:szCs w:val="28"/>
        </w:rPr>
        <w:t>2558.58</w:t>
      </w:r>
      <w:r>
        <w:rPr>
          <w:rFonts w:ascii="仿宋_GB2312" w:eastAsia="仿宋_GB2312" w:hint="eastAsia"/>
          <w:sz w:val="28"/>
          <w:szCs w:val="28"/>
        </w:rPr>
        <w:t>万元，占支出合计的29.52%;上缴上级支出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218.83</w:t>
      </w:r>
      <w:r>
        <w:rPr>
          <w:rFonts w:ascii="仿宋_GB2312" w:eastAsia="仿宋_GB2312" w:hint="eastAsia"/>
          <w:sz w:val="28"/>
          <w:szCs w:val="28"/>
        </w:rPr>
        <w:t>万元，占支出合计的2.53%；对附属单位补助支出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5BF0ACCB" w14:textId="77777777" w:rsidR="004E4802" w:rsidRDefault="00000000">
      <w:pPr>
        <w:pStyle w:val="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3B21DDFC" w14:textId="77777777" w:rsidR="004E4802" w:rsidRDefault="00000000">
      <w:pPr>
        <w:jc w:val="center"/>
        <w:rPr>
          <w:rFonts w:ascii="黑体" w:eastAsia="黑体"/>
          <w:b/>
          <w:sz w:val="28"/>
          <w:szCs w:val="28"/>
        </w:rPr>
      </w:pPr>
      <w:r>
        <w:rPr>
          <w:noProof/>
        </w:rPr>
        <w:drawing>
          <wp:inline distT="0" distB="0" distL="114300" distR="114300" wp14:anchorId="0E37866A" wp14:editId="032C36A6">
            <wp:extent cx="4572000" cy="2743200"/>
            <wp:effectExtent l="4445" t="4445" r="14605" b="14605"/>
            <wp:docPr id="3"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D4DD827" w14:textId="77777777" w:rsidR="004E4802"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4E6A0E35" w14:textId="77777777" w:rsidR="004E480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8400.66</w:t>
      </w:r>
      <w:r>
        <w:rPr>
          <w:rFonts w:ascii="仿宋_GB2312" w:eastAsia="仿宋_GB2312" w:hint="eastAsia"/>
          <w:sz w:val="28"/>
          <w:szCs w:val="28"/>
        </w:rPr>
        <w:t>万元，比上年减少231.24万元，下降2.68%。主要原因：房屋租金减少。</w:t>
      </w:r>
    </w:p>
    <w:p w14:paraId="55AFF061" w14:textId="77777777" w:rsidR="004E4802"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9A58D02" w14:textId="77777777" w:rsidR="004E480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3F1F626A" w14:textId="77777777" w:rsidR="004E480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8400.66</w:t>
      </w:r>
      <w:r>
        <w:rPr>
          <w:rFonts w:ascii="仿宋_GB2312" w:eastAsia="仿宋_GB2312" w:hint="eastAsia"/>
          <w:sz w:val="28"/>
          <w:szCs w:val="28"/>
        </w:rPr>
        <w:t>万元，主要用于以下方面（按大类）：教育支出6136.68万元，占本年财政拨款支出73.05%；社会保障和就业支出1117.43万元，占本年财政拨款支出13.30%；卫生健康支出399.95万元，占本年财政拨款支出4.76%；住房保障支出746.60万元，占本年财政拨款支出8.89%。</w:t>
      </w:r>
    </w:p>
    <w:p w14:paraId="320F4A6F" w14:textId="77777777" w:rsidR="004E480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14:paraId="0FA75A92" w14:textId="77777777" w:rsidR="004E480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1、“教育支出”（类）2024年度年初预算5937.90万元，2024年度决算6136.68万元，完成年初预算的103.35%。其中：</w:t>
      </w:r>
    </w:p>
    <w:p w14:paraId="224A4924"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“普通教育”（款，下同）2024年度年初预算5803.19万元，2024年度决算6002.05万元，完成年初预算的103.43%。主要原因：财政追加人员经费支出及扩班设备等。</w:t>
      </w:r>
    </w:p>
    <w:p w14:paraId="16E4A31A"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“特殊教育”（款）2024年度年初预算3.57万元，2024年度决算3.57万元，完成年初预算的100%。</w:t>
      </w:r>
    </w:p>
    <w:p w14:paraId="5C51D8B0"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“进修及培训”（款）2024年度年初预算10.32万元，2024年度决算10.32万元，完成年初预算的100%。</w:t>
      </w:r>
    </w:p>
    <w:p w14:paraId="4AF2B346" w14:textId="77777777" w:rsidR="004E4802" w:rsidRDefault="00000000">
      <w:pPr>
        <w:spacing w:line="580" w:lineRule="exact"/>
        <w:ind w:firstLineChars="200" w:firstLine="560"/>
      </w:pPr>
      <w:r>
        <w:rPr>
          <w:rFonts w:ascii="仿宋_GB2312" w:eastAsia="仿宋_GB2312" w:hint="eastAsia"/>
          <w:sz w:val="28"/>
          <w:szCs w:val="28"/>
        </w:rPr>
        <w:t>“教育费附加安排的支出”（款）2024年度年初预算120.81万元，2024年度决算120.74万元，完成年初预算的99.94%。主要原因：政府采购价格正常波动。</w:t>
      </w:r>
    </w:p>
    <w:p w14:paraId="5BD46E60"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2、“社会保障和就业支出”（类）2024年度年初预算845.06万元，2024年度决算1117.43万元，完成年初预算的132.23%。其中：</w:t>
      </w:r>
    </w:p>
    <w:p w14:paraId="7F9B52EE"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“行政事业单位养老支出”（款）2024年度年初预算845.06万元，2024年度决算1045.38万元，完成年初预算的123.70%。主要原因：财政追加退休人员补贴。</w:t>
      </w:r>
    </w:p>
    <w:p w14:paraId="04C9708C"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“抚恤”（款）2024年度年初预算0.00万元，2024年度决算72.05万元。主要原因：退休教师去世抚恤金，年初无预算。</w:t>
      </w:r>
    </w:p>
    <w:p w14:paraId="3EEF568B" w14:textId="77777777" w:rsidR="004E480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3、“卫生健康支出”（类）2024年度年初预算370.68万元，2024年度决算399.95万元，完成年初预算的107.90%。其中：</w:t>
      </w:r>
    </w:p>
    <w:p w14:paraId="7ED7E85C" w14:textId="77777777" w:rsidR="004E480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“行政事业单位医疗”（款）2024年度年初预算370.68万元，2024年度决算399.95万元，完成年初预算的107.90%。主要原因：社保基数调整，导致医保经费增加。</w:t>
      </w:r>
    </w:p>
    <w:p w14:paraId="3BFA17C5" w14:textId="77777777" w:rsidR="004E4802" w:rsidRDefault="00000000">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4、“住房保障支出”（类）2024年度年初预算764.64万元，2024年度决算746.60万元，完成年初预算的97.64%。其中：</w:t>
      </w:r>
    </w:p>
    <w:p w14:paraId="046EAE45" w14:textId="77777777" w:rsidR="004E480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“住房改革支出”（款）2024年度年初预算764.64万元，2024年度决算746.60万元，完成年初预算的97.64%。主要原因：本年度新入职教师缴费及公积金基数调整等。</w:t>
      </w:r>
    </w:p>
    <w:p w14:paraId="25204E68" w14:textId="77777777" w:rsidR="004E4802" w:rsidRDefault="00000000">
      <w:pPr>
        <w:spacing w:line="56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636CAE3E" w14:textId="77777777" w:rsidR="004E480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5B655EC8" w14:textId="77777777" w:rsidR="004E4802" w:rsidRDefault="00000000">
      <w:pPr>
        <w:spacing w:line="56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AF20BD3" w14:textId="77777777" w:rsidR="004E480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12BC9072" w14:textId="77777777" w:rsidR="004E4802" w:rsidRDefault="00000000">
      <w:pPr>
        <w:spacing w:line="56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66FE2361" w14:textId="77777777" w:rsidR="004E4802" w:rsidRDefault="00000000">
      <w:pPr>
        <w:tabs>
          <w:tab w:val="center" w:pos="6979"/>
        </w:tabs>
        <w:spacing w:line="560" w:lineRule="exact"/>
        <w:ind w:firstLineChars="196" w:firstLine="549"/>
        <w:rPr>
          <w:rFonts w:ascii="宋体" w:hAnsi="宋体" w:hint="eastAsia"/>
          <w:b/>
          <w:spacing w:val="40"/>
          <w:sz w:val="32"/>
          <w:szCs w:val="32"/>
        </w:rPr>
      </w:pPr>
      <w:r>
        <w:rPr>
          <w:rFonts w:ascii="仿宋_GB2312" w:eastAsia="仿宋_GB2312" w:hint="eastAsia"/>
          <w:sz w:val="28"/>
          <w:szCs w:val="28"/>
        </w:rPr>
        <w:t>2024年度使用一般公共预算财政拨款安排基本支出</w:t>
      </w:r>
      <w:r>
        <w:rPr>
          <w:rFonts w:ascii="仿宋_GB2312" w:eastAsia="仿宋_GB2312"/>
          <w:sz w:val="28"/>
          <w:szCs w:val="28"/>
        </w:rPr>
        <w:t>5888.49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EA02265" w14:textId="77777777" w:rsidR="004E4802" w:rsidRDefault="00000000">
      <w:pPr>
        <w:tabs>
          <w:tab w:val="center" w:pos="6979"/>
        </w:tabs>
        <w:spacing w:beforeLines="50" w:before="156" w:afterLines="50" w:after="156"/>
        <w:jc w:val="center"/>
        <w:rPr>
          <w:rFonts w:ascii="宋体" w:hAnsi="宋体" w:cs="宋体" w:hint="eastAsia"/>
          <w:b/>
          <w:bCs/>
          <w:spacing w:val="40"/>
          <w:kern w:val="0"/>
          <w:sz w:val="44"/>
          <w:szCs w:val="44"/>
        </w:rPr>
      </w:pPr>
      <w:r>
        <w:rPr>
          <w:rFonts w:ascii="宋体" w:hAnsi="宋体" w:cs="宋体" w:hint="eastAsia"/>
          <w:b/>
          <w:bCs/>
          <w:spacing w:val="40"/>
          <w:kern w:val="0"/>
          <w:sz w:val="44"/>
          <w:szCs w:val="44"/>
        </w:rPr>
        <w:lastRenderedPageBreak/>
        <w:t>第三部分2024年度其他重要事项的情况说明</w:t>
      </w:r>
    </w:p>
    <w:p w14:paraId="20545496" w14:textId="77777777" w:rsidR="004E4802"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5E3DB470" w14:textId="77777777" w:rsidR="004E4802"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19.26</w:t>
      </w:r>
      <w:r>
        <w:rPr>
          <w:rFonts w:ascii="仿宋_GB2312" w:eastAsia="仿宋_GB2312" w:hint="eastAsia"/>
          <w:sz w:val="28"/>
          <w:szCs w:val="28"/>
        </w:rPr>
        <w:t>万元，比2024年度“三公”经费财政拨款年初预算</w:t>
      </w:r>
      <w:r>
        <w:rPr>
          <w:rFonts w:ascii="仿宋_GB2312" w:eastAsia="仿宋_GB2312"/>
          <w:sz w:val="28"/>
          <w:szCs w:val="28"/>
        </w:rPr>
        <w:t>20.7</w:t>
      </w:r>
      <w:r>
        <w:rPr>
          <w:rFonts w:ascii="仿宋_GB2312" w:eastAsia="仿宋_GB2312" w:hint="eastAsia"/>
          <w:sz w:val="28"/>
          <w:szCs w:val="28"/>
        </w:rPr>
        <w:t>0万元减少</w:t>
      </w:r>
      <w:r>
        <w:rPr>
          <w:rFonts w:ascii="仿宋_GB2312" w:eastAsia="仿宋_GB2312"/>
          <w:sz w:val="28"/>
          <w:szCs w:val="28"/>
        </w:rPr>
        <w:t>1.44</w:t>
      </w:r>
      <w:r>
        <w:rPr>
          <w:rFonts w:ascii="仿宋_GB2312" w:eastAsia="仿宋_GB2312" w:hint="eastAsia"/>
          <w:sz w:val="28"/>
          <w:szCs w:val="28"/>
        </w:rPr>
        <w:t>万元。其中：</w:t>
      </w:r>
    </w:p>
    <w:p w14:paraId="00402481" w14:textId="77777777" w:rsidR="004E4802"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1.因公出国（境）费用。本单位无此项经费。</w:t>
      </w:r>
    </w:p>
    <w:p w14:paraId="37C506FC" w14:textId="77777777" w:rsidR="004E4802"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p>
    <w:p w14:paraId="1CA9CC24" w14:textId="5AFBB32B" w:rsidR="004E480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19.26</w:t>
      </w:r>
      <w:r>
        <w:rPr>
          <w:rFonts w:ascii="仿宋_GB2312" w:eastAsia="仿宋_GB2312" w:hint="eastAsia"/>
          <w:sz w:val="28"/>
          <w:szCs w:val="28"/>
        </w:rPr>
        <w:t>万元，比2024年度年初预算数</w:t>
      </w:r>
      <w:r>
        <w:rPr>
          <w:rFonts w:ascii="仿宋_GB2312" w:eastAsia="仿宋_GB2312"/>
          <w:sz w:val="28"/>
          <w:szCs w:val="28"/>
        </w:rPr>
        <w:t>20.7</w:t>
      </w:r>
      <w:r>
        <w:rPr>
          <w:rFonts w:ascii="仿宋_GB2312" w:eastAsia="仿宋_GB2312" w:hint="eastAsia"/>
          <w:sz w:val="28"/>
          <w:szCs w:val="28"/>
        </w:rPr>
        <w:t>0万元减少</w:t>
      </w:r>
      <w:r>
        <w:rPr>
          <w:rFonts w:ascii="仿宋_GB2312" w:eastAsia="仿宋_GB2312"/>
          <w:sz w:val="28"/>
          <w:szCs w:val="28"/>
        </w:rPr>
        <w:t>1.44</w:t>
      </w:r>
      <w:r>
        <w:rPr>
          <w:rFonts w:ascii="仿宋_GB2312" w:eastAsia="仿宋_GB2312" w:hint="eastAsia"/>
          <w:sz w:val="28"/>
          <w:szCs w:val="28"/>
        </w:rPr>
        <w:t>万元。其中，公务用车购置费2024年度决算数17.98万元，比2024年度年初预算数18万元减少</w:t>
      </w:r>
      <w:r>
        <w:rPr>
          <w:rFonts w:ascii="仿宋_GB2312" w:eastAsia="仿宋_GB2312"/>
          <w:sz w:val="28"/>
          <w:szCs w:val="28"/>
        </w:rPr>
        <w:t>0.02</w:t>
      </w:r>
      <w:r>
        <w:rPr>
          <w:rFonts w:ascii="仿宋_GB2312" w:eastAsia="仿宋_GB2312" w:hint="eastAsia"/>
          <w:sz w:val="28"/>
          <w:szCs w:val="28"/>
        </w:rPr>
        <w:t>万元。主要原因：车辆市场价格正常波动。2024年度更新1辆，车均购置费</w:t>
      </w:r>
      <w:r>
        <w:rPr>
          <w:rFonts w:ascii="仿宋_GB2312" w:eastAsia="仿宋_GB2312"/>
          <w:sz w:val="28"/>
          <w:szCs w:val="28"/>
        </w:rPr>
        <w:t>17.98</w:t>
      </w:r>
      <w:r>
        <w:rPr>
          <w:rFonts w:ascii="仿宋_GB2312" w:eastAsia="仿宋_GB2312" w:hint="eastAsia"/>
          <w:sz w:val="28"/>
          <w:szCs w:val="28"/>
        </w:rPr>
        <w:t>万元。公务用车运行维护费2024年度决算数1.28万元，比2024年度年初预算数2.70万元减少</w:t>
      </w:r>
      <w:r>
        <w:rPr>
          <w:rFonts w:ascii="仿宋_GB2312" w:eastAsia="仿宋_GB2312"/>
          <w:sz w:val="28"/>
          <w:szCs w:val="28"/>
        </w:rPr>
        <w:t>1.42</w:t>
      </w:r>
      <w:r>
        <w:rPr>
          <w:rFonts w:ascii="仿宋_GB2312" w:eastAsia="仿宋_GB2312" w:hint="eastAsia"/>
          <w:sz w:val="28"/>
          <w:szCs w:val="28"/>
        </w:rPr>
        <w:t>万元，主要原因：公车改革后，我校严格控制公务用车使用，节约财政资金。2024年度公务用车保有量</w:t>
      </w:r>
      <w:r>
        <w:rPr>
          <w:rFonts w:ascii="仿宋_GB2312" w:eastAsia="仿宋_GB2312"/>
          <w:sz w:val="28"/>
          <w:szCs w:val="28"/>
        </w:rPr>
        <w:t>1</w:t>
      </w:r>
      <w:r>
        <w:rPr>
          <w:rFonts w:ascii="仿宋_GB2312" w:eastAsia="仿宋_GB2312" w:hint="eastAsia"/>
          <w:sz w:val="28"/>
          <w:szCs w:val="28"/>
        </w:rPr>
        <w:t>辆。</w:t>
      </w:r>
    </w:p>
    <w:p w14:paraId="390933BB" w14:textId="77777777" w:rsidR="004E4802"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1125EAE" w14:textId="77777777" w:rsidR="004E4802" w:rsidRDefault="00000000">
      <w:pPr>
        <w:ind w:firstLineChars="192" w:firstLine="538"/>
        <w:rPr>
          <w:rFonts w:ascii="仿宋_GB2312" w:eastAsia="仿宋_GB2312"/>
          <w:sz w:val="28"/>
          <w:szCs w:val="28"/>
        </w:rPr>
      </w:pPr>
      <w:r>
        <w:rPr>
          <w:rFonts w:ascii="仿宋_GB2312" w:eastAsia="仿宋_GB2312" w:hint="eastAsia"/>
          <w:sz w:val="28"/>
          <w:szCs w:val="28"/>
        </w:rPr>
        <w:t>本单位不属于机关运行经费统计范围。</w:t>
      </w:r>
    </w:p>
    <w:p w14:paraId="28C71992" w14:textId="77777777" w:rsidR="004E4802" w:rsidRDefault="00000000">
      <w:pPr>
        <w:ind w:left="540"/>
        <w:rPr>
          <w:rFonts w:ascii="黑体" w:eastAsia="黑体"/>
          <w:sz w:val="28"/>
          <w:szCs w:val="28"/>
        </w:rPr>
      </w:pPr>
      <w:r>
        <w:rPr>
          <w:rFonts w:ascii="黑体" w:eastAsia="黑体" w:hint="eastAsia"/>
          <w:sz w:val="28"/>
          <w:szCs w:val="28"/>
        </w:rPr>
        <w:t>三、政府采购支出情况</w:t>
      </w:r>
    </w:p>
    <w:p w14:paraId="792CC024" w14:textId="77777777" w:rsidR="004E4802"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181.42</w:t>
      </w:r>
      <w:r>
        <w:rPr>
          <w:rFonts w:ascii="仿宋_GB2312" w:eastAsia="仿宋_GB2312" w:hint="eastAsia"/>
          <w:sz w:val="28"/>
          <w:szCs w:val="28"/>
        </w:rPr>
        <w:t>万元，其中：政府采购货物支出</w:t>
      </w:r>
      <w:r>
        <w:rPr>
          <w:rFonts w:ascii="仿宋_GB2312" w:eastAsia="仿宋_GB2312"/>
          <w:sz w:val="28"/>
          <w:szCs w:val="28"/>
        </w:rPr>
        <w:t>123.08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58.34</w:t>
      </w:r>
      <w:r>
        <w:rPr>
          <w:rFonts w:ascii="仿宋_GB2312" w:eastAsia="仿宋_GB2312" w:hint="eastAsia"/>
          <w:sz w:val="28"/>
          <w:szCs w:val="28"/>
        </w:rPr>
        <w:t>万元。授予中小企业合同金额</w:t>
      </w:r>
      <w:r>
        <w:rPr>
          <w:rFonts w:ascii="仿宋_GB2312" w:eastAsia="仿宋_GB2312"/>
          <w:sz w:val="28"/>
          <w:szCs w:val="28"/>
        </w:rPr>
        <w:t>180.85</w:t>
      </w:r>
      <w:r>
        <w:rPr>
          <w:rFonts w:ascii="仿宋_GB2312" w:eastAsia="仿宋_GB2312" w:hint="eastAsia"/>
          <w:sz w:val="28"/>
          <w:szCs w:val="28"/>
        </w:rPr>
        <w:t>万元，占政府采购支出总额的99.69%，其中：授予小微企业</w:t>
      </w:r>
      <w:r>
        <w:rPr>
          <w:rFonts w:ascii="仿宋_GB2312" w:eastAsia="仿宋_GB2312" w:hint="eastAsia"/>
          <w:sz w:val="28"/>
          <w:szCs w:val="28"/>
        </w:rPr>
        <w:lastRenderedPageBreak/>
        <w:t>合同金额</w:t>
      </w:r>
      <w:r>
        <w:rPr>
          <w:rFonts w:ascii="仿宋_GB2312" w:eastAsia="仿宋_GB2312"/>
          <w:sz w:val="28"/>
          <w:szCs w:val="28"/>
        </w:rPr>
        <w:t>180.85</w:t>
      </w:r>
      <w:r>
        <w:rPr>
          <w:rFonts w:ascii="仿宋_GB2312" w:eastAsia="仿宋_GB2312" w:hint="eastAsia"/>
          <w:sz w:val="28"/>
          <w:szCs w:val="28"/>
        </w:rPr>
        <w:t>万元，占政府采购支出总额的</w:t>
      </w:r>
      <w:r>
        <w:rPr>
          <w:rFonts w:ascii="仿宋_GB2312" w:eastAsia="仿宋_GB2312"/>
          <w:sz w:val="28"/>
          <w:szCs w:val="28"/>
        </w:rPr>
        <w:t>99.69</w:t>
      </w:r>
      <w:r>
        <w:rPr>
          <w:rFonts w:ascii="仿宋_GB2312" w:eastAsia="仿宋_GB2312" w:hint="eastAsia"/>
          <w:sz w:val="28"/>
          <w:szCs w:val="28"/>
        </w:rPr>
        <w:t>%。</w:t>
      </w:r>
    </w:p>
    <w:p w14:paraId="44D41792" w14:textId="77777777" w:rsidR="004E4802"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799047F" w14:textId="77777777" w:rsidR="004E4802"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截至12月31日，北京市第三十九中学共有车辆1台；单位价值100万元（含）以上的设备0台（套）。</w:t>
      </w:r>
    </w:p>
    <w:p w14:paraId="644E4869" w14:textId="77777777" w:rsidR="004E4802"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A3CE0E7" w14:textId="77777777" w:rsidR="004E4802" w:rsidRDefault="00000000">
      <w:pPr>
        <w:ind w:firstLineChars="192" w:firstLine="538"/>
        <w:rPr>
          <w:rFonts w:ascii="仿宋_GB2312" w:eastAsia="仿宋_GB2312"/>
          <w:sz w:val="28"/>
          <w:szCs w:val="28"/>
        </w:rPr>
      </w:pPr>
      <w:r>
        <w:rPr>
          <w:rFonts w:ascii="仿宋_GB2312" w:eastAsia="仿宋_GB2312" w:hint="eastAsia"/>
          <w:sz w:val="28"/>
          <w:szCs w:val="28"/>
        </w:rPr>
        <w:t>本单位无此项支出。</w:t>
      </w:r>
    </w:p>
    <w:p w14:paraId="7C8CC1F3" w14:textId="77777777" w:rsidR="004E4802"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3EF984C8" w14:textId="77777777" w:rsidR="004E4802"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0567D017" w14:textId="77777777" w:rsidR="004E4802"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7AA6B740" w14:textId="77777777" w:rsidR="004E4802"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8D11B97" w14:textId="77777777" w:rsidR="004E4802" w:rsidRDefault="00000000">
      <w:pPr>
        <w:spacing w:line="580" w:lineRule="exact"/>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91C6E1C"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2B9047D"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EEDDA7E"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7.教育支出（类）普通教育（款）初中教育（项）：反映本部门举办的初中教育支出。</w:t>
      </w:r>
    </w:p>
    <w:p w14:paraId="65E3FE9F"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8.教育支出（类）普通教育（款）高中教育（项）：反映本部门举办的高中教育支出。</w:t>
      </w:r>
    </w:p>
    <w:p w14:paraId="76ABF459"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9.教育支出（类）特殊教育（款）特殊学校教育（项）：反映本部门举办盲童学校、聋哑学校、智力落后儿童学校、其他生理缺陷儿童学校的支出。</w:t>
      </w:r>
    </w:p>
    <w:p w14:paraId="3DC9EB53"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10.教育支出（类）进修及培训（款）培训支出（项）：反映本部门安排的用于培训的支出。</w:t>
      </w:r>
    </w:p>
    <w:p w14:paraId="0655A5B3"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11.教育支出（类）教育费附加安排的支出（款）城市中小学校舍建设（项）：反映教育费附加安排用于城市中小学校舍新建、改建、修缮和维护的支出。</w:t>
      </w:r>
    </w:p>
    <w:p w14:paraId="1EC26FA3"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12.教育支出（类）教育费附加安排的支出（款）城市中小学教学设施（项）：反映教育费附加安排用于改善城市中小学教学设施和办学条件的支出。</w:t>
      </w:r>
    </w:p>
    <w:p w14:paraId="24418F1E"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13.社会保障和就业支出（类）行政事业单位养老支出（款）事业单位离退休（项）：反映事业单位开支的离退休经费。</w:t>
      </w:r>
    </w:p>
    <w:p w14:paraId="021C2FA5"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14.社会保障和就业支出（类）行政事业单位养老支出（款）机关事业单位基本养老保险缴费支出（项）：反映机关</w:t>
      </w:r>
      <w:r>
        <w:rPr>
          <w:rFonts w:ascii="仿宋_GB2312" w:eastAsia="仿宋_GB2312" w:hint="eastAsia"/>
          <w:sz w:val="28"/>
          <w:szCs w:val="28"/>
        </w:rPr>
        <w:lastRenderedPageBreak/>
        <w:t>事业单位实施养老保险制度由单位缴纳的基本养老保险费支出。</w:t>
      </w:r>
    </w:p>
    <w:p w14:paraId="0E5C73D5"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15.社会保障和就业支出（类）行政事业单位养老支出（款）机关事业单位职业年金缴费支出（项）：反映机关事业单位实施养老保险制度由单位实际缴纳的职业年金支出。</w:t>
      </w:r>
    </w:p>
    <w:p w14:paraId="0BD47047"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16.社会保障和就业支出（类）抚恤（款）死亡抚恤（项）：反映按规定用于烈士和牺牲、病故人员家属的一次性和定期抚恤金、丧葬补助费以及烈士褒扬金。</w:t>
      </w:r>
    </w:p>
    <w:p w14:paraId="6FE3F941"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17.卫生健康支出（类）行政事业单位医疗（款）事业单位医疗（项）：反映财政部门安排的事业单位基本医疗保险缴费经费，未参加医疗保险的事业单位的公费医疗经费，按国家规定享受离休人员待遇的医疗经费。</w:t>
      </w:r>
    </w:p>
    <w:p w14:paraId="17DE2BED"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18.卫生健康支出（类）行政事业单位医疗（款）其他行政事业单位医疗支出（项）：反映除上述项目以外的其他用于行政事业单位医疗方面的支出。</w:t>
      </w:r>
    </w:p>
    <w:p w14:paraId="4147D992"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19.住房保障支出（类）住房改革支出（款）住房公积金（项）：反映行政事业单位按人力资源和社会保障部、财政部规定的基本工资和津贴补贴以及规定比例为职工缴纳的住房公积金。</w:t>
      </w:r>
    </w:p>
    <w:p w14:paraId="7C7291E6"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20.住房保障支出（类）住房改革支出（款）提租补贴（项）：反映按房改政策规定的标准，行政事业单位向职工（含离退休人员）发放的租金补助。</w:t>
      </w:r>
    </w:p>
    <w:p w14:paraId="525418EB" w14:textId="77777777" w:rsidR="004E4802" w:rsidRDefault="00000000">
      <w:pPr>
        <w:spacing w:line="580" w:lineRule="exact"/>
        <w:ind w:firstLineChars="150" w:firstLine="420"/>
        <w:rPr>
          <w:rFonts w:ascii="仿宋_GB2312" w:eastAsia="仿宋_GB2312"/>
          <w:sz w:val="28"/>
          <w:szCs w:val="28"/>
        </w:rPr>
      </w:pPr>
      <w:r>
        <w:rPr>
          <w:rFonts w:ascii="仿宋_GB2312" w:eastAsia="仿宋_GB2312" w:hint="eastAsia"/>
          <w:sz w:val="28"/>
          <w:szCs w:val="28"/>
        </w:rPr>
        <w:t>21.住房保障支出（类）住房改革支出（款）购房补贴（项）：反映按房改政策规定的标准，行政事业单位向符合条件职工（含离退休人员）发放的用于购买住房的补贴。</w:t>
      </w:r>
    </w:p>
    <w:p w14:paraId="7F4CCCA7" w14:textId="77777777" w:rsidR="004E4802" w:rsidRDefault="004E4802"/>
    <w:p w14:paraId="40542857" w14:textId="77777777" w:rsidR="004E4802" w:rsidRDefault="004E4802">
      <w:pPr>
        <w:tabs>
          <w:tab w:val="center" w:pos="6979"/>
        </w:tabs>
        <w:spacing w:beforeLines="50" w:before="156" w:afterLines="50" w:after="156"/>
        <w:jc w:val="center"/>
        <w:rPr>
          <w:rFonts w:ascii="宋体" w:hAnsi="宋体" w:cs="宋体" w:hint="eastAsia"/>
          <w:b/>
          <w:bCs/>
          <w:spacing w:val="40"/>
          <w:kern w:val="0"/>
          <w:sz w:val="44"/>
          <w:szCs w:val="44"/>
        </w:rPr>
      </w:pPr>
    </w:p>
    <w:p w14:paraId="779C6D3D" w14:textId="77777777" w:rsidR="004E4802" w:rsidRDefault="004E4802">
      <w:pPr>
        <w:tabs>
          <w:tab w:val="center" w:pos="6979"/>
        </w:tabs>
        <w:spacing w:beforeLines="50" w:before="156" w:afterLines="50" w:after="156"/>
        <w:jc w:val="center"/>
        <w:rPr>
          <w:rFonts w:ascii="宋体" w:hAnsi="宋体" w:cs="宋体" w:hint="eastAsia"/>
          <w:b/>
          <w:bCs/>
          <w:spacing w:val="40"/>
          <w:kern w:val="0"/>
          <w:sz w:val="44"/>
          <w:szCs w:val="44"/>
        </w:rPr>
      </w:pPr>
    </w:p>
    <w:p w14:paraId="4717C2FB" w14:textId="77777777" w:rsidR="004E4802" w:rsidRDefault="004E4802">
      <w:pPr>
        <w:tabs>
          <w:tab w:val="center" w:pos="6979"/>
        </w:tabs>
        <w:spacing w:beforeLines="50" w:before="156" w:afterLines="50" w:after="156"/>
        <w:jc w:val="center"/>
        <w:rPr>
          <w:rFonts w:ascii="宋体" w:hAnsi="宋体" w:cs="宋体" w:hint="eastAsia"/>
          <w:b/>
          <w:bCs/>
          <w:spacing w:val="40"/>
          <w:kern w:val="0"/>
          <w:sz w:val="44"/>
          <w:szCs w:val="44"/>
        </w:rPr>
      </w:pPr>
    </w:p>
    <w:p w14:paraId="75A000E8" w14:textId="77777777" w:rsidR="004E4802" w:rsidRDefault="00000000">
      <w:pPr>
        <w:tabs>
          <w:tab w:val="center" w:pos="6979"/>
        </w:tabs>
        <w:spacing w:beforeLines="50" w:before="156" w:afterLines="50" w:after="156"/>
        <w:jc w:val="center"/>
        <w:rPr>
          <w:rFonts w:ascii="宋体" w:hAnsi="宋体" w:cs="宋体" w:hint="eastAsia"/>
          <w:b/>
          <w:bCs/>
          <w:spacing w:val="40"/>
          <w:kern w:val="0"/>
          <w:sz w:val="44"/>
          <w:szCs w:val="44"/>
        </w:rPr>
      </w:pPr>
      <w:r>
        <w:rPr>
          <w:rFonts w:ascii="宋体" w:hAnsi="宋体" w:cs="宋体" w:hint="eastAsia"/>
          <w:b/>
          <w:bCs/>
          <w:spacing w:val="40"/>
          <w:kern w:val="0"/>
          <w:sz w:val="44"/>
          <w:szCs w:val="44"/>
        </w:rPr>
        <w:t>第四部分  2024年度部门绩效评价情况</w:t>
      </w:r>
    </w:p>
    <w:p w14:paraId="164FA970" w14:textId="77777777" w:rsidR="004E4802" w:rsidRDefault="004E4802">
      <w:pPr>
        <w:ind w:firstLineChars="200" w:firstLine="560"/>
        <w:rPr>
          <w:rFonts w:ascii="黑体" w:eastAsia="黑体"/>
          <w:sz w:val="28"/>
          <w:szCs w:val="28"/>
          <w:highlight w:val="yellow"/>
        </w:rPr>
      </w:pPr>
    </w:p>
    <w:p w14:paraId="0923E98F" w14:textId="77777777" w:rsidR="004E480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项目支出绩效自评表（详见附件）</w:t>
      </w:r>
    </w:p>
    <w:p w14:paraId="41C3CB72" w14:textId="77777777" w:rsidR="004E4802" w:rsidRDefault="004E4802">
      <w:pPr>
        <w:spacing w:line="480" w:lineRule="exact"/>
        <w:rPr>
          <w:rFonts w:ascii="仿宋_GB2312" w:eastAsia="仿宋_GB2312" w:hAnsi="仿宋_GB2312" w:cs="仿宋_GB2312" w:hint="eastAsia"/>
          <w:sz w:val="32"/>
          <w:szCs w:val="32"/>
        </w:rPr>
      </w:pPr>
    </w:p>
    <w:p w14:paraId="0F60AC9C" w14:textId="77777777" w:rsidR="004E4802" w:rsidRDefault="004E4802">
      <w:pPr>
        <w:spacing w:line="480" w:lineRule="exact"/>
      </w:pPr>
    </w:p>
    <w:sectPr w:rsidR="004E4802">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1015B" w14:textId="77777777" w:rsidR="001E04FE" w:rsidRDefault="001E04FE">
      <w:r>
        <w:separator/>
      </w:r>
    </w:p>
  </w:endnote>
  <w:endnote w:type="continuationSeparator" w:id="0">
    <w:p w14:paraId="10D27C8C" w14:textId="77777777" w:rsidR="001E04FE" w:rsidRDefault="001E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CD13C" w14:textId="77777777" w:rsidR="004E4802"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79039BDF" w14:textId="77777777" w:rsidR="004E4802" w:rsidRDefault="004E48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2437C" w14:textId="77777777" w:rsidR="004E4802"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913BC38" w14:textId="77777777" w:rsidR="004E4802" w:rsidRDefault="004E48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52735" w14:textId="77777777" w:rsidR="004E4802"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ACE06E1" w14:textId="77777777" w:rsidR="004E4802" w:rsidRDefault="004E48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1A28E" w14:textId="77777777" w:rsidR="001E04FE" w:rsidRDefault="001E04FE">
      <w:r>
        <w:separator/>
      </w:r>
    </w:p>
  </w:footnote>
  <w:footnote w:type="continuationSeparator" w:id="0">
    <w:p w14:paraId="2B2747BB" w14:textId="77777777" w:rsidR="001E04FE" w:rsidRDefault="001E04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387B"/>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4FE"/>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4802"/>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1F04"/>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7471EF"/>
    <w:rsid w:val="02F120AB"/>
    <w:rsid w:val="032B5196"/>
    <w:rsid w:val="04C3537C"/>
    <w:rsid w:val="079004AC"/>
    <w:rsid w:val="0BA148CA"/>
    <w:rsid w:val="0C1165C4"/>
    <w:rsid w:val="0D6D544B"/>
    <w:rsid w:val="0DD136FE"/>
    <w:rsid w:val="0F8E2C57"/>
    <w:rsid w:val="1059665E"/>
    <w:rsid w:val="10AC13BA"/>
    <w:rsid w:val="142142C5"/>
    <w:rsid w:val="145A6C1B"/>
    <w:rsid w:val="14B73493"/>
    <w:rsid w:val="167A2FF9"/>
    <w:rsid w:val="18581C69"/>
    <w:rsid w:val="1AEC0734"/>
    <w:rsid w:val="1DEF20B0"/>
    <w:rsid w:val="214243FA"/>
    <w:rsid w:val="21AD613C"/>
    <w:rsid w:val="22467189"/>
    <w:rsid w:val="257A14F5"/>
    <w:rsid w:val="26DF7DC9"/>
    <w:rsid w:val="27196C26"/>
    <w:rsid w:val="27252E8A"/>
    <w:rsid w:val="29EF086F"/>
    <w:rsid w:val="2EFFE297"/>
    <w:rsid w:val="301437CA"/>
    <w:rsid w:val="349D1F0A"/>
    <w:rsid w:val="34DD0473"/>
    <w:rsid w:val="3C277440"/>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E5B4B03"/>
    <w:rsid w:val="60A54109"/>
    <w:rsid w:val="61D01CDF"/>
    <w:rsid w:val="64C0607C"/>
    <w:rsid w:val="65756C86"/>
    <w:rsid w:val="65DB621A"/>
    <w:rsid w:val="674D385B"/>
    <w:rsid w:val="676F09E1"/>
    <w:rsid w:val="71793A80"/>
    <w:rsid w:val="7357290B"/>
    <w:rsid w:val="798524E4"/>
    <w:rsid w:val="7A7F1C49"/>
    <w:rsid w:val="7B5B7AE6"/>
    <w:rsid w:val="7B7B6628"/>
    <w:rsid w:val="7BA7071E"/>
    <w:rsid w:val="7BDF6DA8"/>
    <w:rsid w:val="7C7EDC1A"/>
    <w:rsid w:val="7CCED98D"/>
    <w:rsid w:val="7D08410F"/>
    <w:rsid w:val="7D272678"/>
    <w:rsid w:val="7DB96DED"/>
    <w:rsid w:val="7DD3AD81"/>
    <w:rsid w:val="7DDB22AD"/>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04099D"/>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D581-4B99-A3C7-0768329DD041}"/>
              </c:ext>
            </c:extLst>
          </c:dPt>
          <c:dPt>
            <c:idx val="1"/>
            <c:bubble3D val="0"/>
            <c:extLst>
              <c:ext xmlns:c16="http://schemas.microsoft.com/office/drawing/2014/chart" uri="{C3380CC4-5D6E-409C-BE32-E72D297353CC}">
                <c16:uniqueId val="{00000001-D581-4B99-A3C7-0768329DD041}"/>
              </c:ext>
            </c:extLst>
          </c:dPt>
          <c:dPt>
            <c:idx val="2"/>
            <c:bubble3D val="0"/>
            <c:extLst>
              <c:ext xmlns:c16="http://schemas.microsoft.com/office/drawing/2014/chart" uri="{C3380CC4-5D6E-409C-BE32-E72D297353CC}">
                <c16:uniqueId val="{00000002-D581-4B99-A3C7-0768329DD041}"/>
              </c:ext>
            </c:extLst>
          </c:dPt>
          <c:dLbls>
            <c:dLbl>
              <c:idx val="1"/>
              <c:layout>
                <c:manualLayout>
                  <c:x val="-0.196989816807947"/>
                  <c:y val="8.808209528722950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581-4B99-A3C7-0768329DD041}"/>
                </c:ext>
              </c:extLst>
            </c:dLbl>
            <c:dLbl>
              <c:idx val="2"/>
              <c:layout>
                <c:manualLayout>
                  <c:x val="-7.74996678300299E-2"/>
                  <c:y val="-7.35379850268939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D581-4B99-A3C7-0768329DD041}"/>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3"/>
                <c:pt idx="0">
                  <c:v>财政拨款收入</c:v>
                </c:pt>
                <c:pt idx="1">
                  <c:v>事业收入</c:v>
                </c:pt>
                <c:pt idx="2">
                  <c:v>经营收入</c:v>
                </c:pt>
              </c:strCache>
              <c:extLst/>
            </c:strRef>
          </c:cat>
          <c:val>
            <c:numRef>
              <c:f>Sheet1!$B$2:$B$7</c:f>
              <c:numCache>
                <c:formatCode>General</c:formatCode>
                <c:ptCount val="3"/>
                <c:pt idx="0">
                  <c:v>8400.66</c:v>
                </c:pt>
                <c:pt idx="1">
                  <c:v>46.41</c:v>
                </c:pt>
                <c:pt idx="2">
                  <c:v>218.83</c:v>
                </c:pt>
              </c:numCache>
              <c:extLst/>
            </c:numRef>
          </c:val>
          <c:extLst>
            <c:ext xmlns:c16="http://schemas.microsoft.com/office/drawing/2014/chart" uri="{C3380CC4-5D6E-409C-BE32-E72D297353CC}">
              <c16:uniqueId val="{00000003-D581-4B99-A3C7-0768329DD041}"/>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CAA5-4C1D-9952-E6BBA5EAEA83}"/>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CAA5-4C1D-9952-E6BBA5EAEA83}"/>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CAA5-4C1D-9952-E6BBA5EAEA83}"/>
              </c:ext>
            </c:extLst>
          </c:dPt>
          <c:dLbls>
            <c:dLbl>
              <c:idx val="2"/>
              <c:layout>
                <c:manualLayout>
                  <c:x val="-1.23370627344833E-2"/>
                  <c:y val="1.3382699166343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AA5-4C1D-9952-E6BBA5EAEA83}"/>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3"/>
                <c:pt idx="0">
                  <c:v>基本支出</c:v>
                </c:pt>
                <c:pt idx="1">
                  <c:v>项目支出</c:v>
                </c:pt>
                <c:pt idx="2">
                  <c:v>经营支出</c:v>
                </c:pt>
              </c:strCache>
              <c:extLst/>
            </c:strRef>
          </c:cat>
          <c:val>
            <c:numRef>
              <c:f>Sheet0!$B$2:$B$6</c:f>
              <c:numCache>
                <c:formatCode>General</c:formatCode>
                <c:ptCount val="3"/>
                <c:pt idx="0">
                  <c:v>5888.49</c:v>
                </c:pt>
                <c:pt idx="1">
                  <c:v>2558.58</c:v>
                </c:pt>
                <c:pt idx="2">
                  <c:v>218.83</c:v>
                </c:pt>
              </c:numCache>
              <c:extLst/>
            </c:numRef>
          </c:val>
          <c:extLst>
            <c:ext xmlns:c16="http://schemas.microsoft.com/office/drawing/2014/chart" uri="{C3380CC4-5D6E-409C-BE32-E72D297353CC}">
              <c16:uniqueId val="{00000006-CAA5-4C1D-9952-E6BBA5EAEA83}"/>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2302</Words>
  <Characters>2648</Characters>
  <Application>Microsoft Office Word</Application>
  <DocSecurity>0</DocSecurity>
  <Lines>94</Lines>
  <Paragraphs>98</Paragraphs>
  <ScaleCrop>false</ScaleCrop>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25</cp:revision>
  <cp:lastPrinted>2020-08-07T11:39:00Z</cp:lastPrinted>
  <dcterms:created xsi:type="dcterms:W3CDTF">2017-07-11T15:16:00Z</dcterms:created>
  <dcterms:modified xsi:type="dcterms:W3CDTF">2025-08-27T07:32:00Z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7A9B5AA97F254F3E97BB109459819C1F_13</vt:lpwstr>
  </property>
  <property fmtid="{D5CDD505-2E9C-101B-9397-08002B2CF9AE}" pid="4" name="KSOTemplateDocerSaveRecord">
    <vt:lpwstr>eyJoZGlkIjoiMTU3MGMwZDljNmE1NzRmZDQyMjkxODVmM2RiNTdkMTUiLCJ1c2VySWQiOiI2MjEyNDMzNDkifQ==</vt:lpwstr>
  </property>
</Properties>
</file>