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E1B4A">
      <w:pPr>
        <w:jc w:val="center"/>
        <w:rPr>
          <w:rFonts w:ascii="仿宋_GB2312" w:eastAsia="仿宋_GB2312"/>
          <w:b/>
          <w:color w:val="auto"/>
          <w:sz w:val="32"/>
          <w:szCs w:val="32"/>
          <w:highlight w:val="none"/>
        </w:rPr>
      </w:pPr>
    </w:p>
    <w:p w14:paraId="6820EF77">
      <w:pPr>
        <w:jc w:val="center"/>
        <w:rPr>
          <w:rFonts w:ascii="黑体" w:eastAsia="黑体"/>
          <w:color w:val="auto"/>
          <w:sz w:val="72"/>
          <w:szCs w:val="72"/>
          <w:highlight w:val="none"/>
        </w:rPr>
      </w:pPr>
    </w:p>
    <w:p w14:paraId="3C617D2A">
      <w:pPr>
        <w:jc w:val="center"/>
        <w:rPr>
          <w:rFonts w:ascii="黑体" w:eastAsia="黑体"/>
          <w:color w:val="auto"/>
          <w:sz w:val="72"/>
          <w:szCs w:val="72"/>
          <w:highlight w:val="none"/>
        </w:rPr>
      </w:pPr>
    </w:p>
    <w:p w14:paraId="4D47A0A0">
      <w:pPr>
        <w:jc w:val="center"/>
        <w:rPr>
          <w:rFonts w:ascii="黑体" w:eastAsia="黑体"/>
          <w:color w:val="auto"/>
          <w:sz w:val="72"/>
          <w:szCs w:val="72"/>
          <w:highlight w:val="none"/>
        </w:rPr>
      </w:pPr>
    </w:p>
    <w:p w14:paraId="041DEE01">
      <w:pPr>
        <w:jc w:val="center"/>
        <w:rPr>
          <w:rFonts w:ascii="黑体" w:eastAsia="黑体"/>
          <w:color w:val="auto"/>
          <w:sz w:val="72"/>
          <w:szCs w:val="72"/>
          <w:highlight w:val="none"/>
        </w:rPr>
      </w:pPr>
    </w:p>
    <w:p w14:paraId="3938486D">
      <w:pPr>
        <w:jc w:val="center"/>
        <w:rPr>
          <w:rFonts w:ascii="黑体" w:eastAsia="黑体"/>
          <w:color w:val="auto"/>
          <w:sz w:val="72"/>
          <w:szCs w:val="72"/>
          <w:highlight w:val="none"/>
        </w:rPr>
      </w:pPr>
      <w:r>
        <w:rPr>
          <w:rFonts w:hint="eastAsia" w:ascii="黑体" w:eastAsia="黑体"/>
          <w:color w:val="auto"/>
          <w:sz w:val="72"/>
          <w:szCs w:val="72"/>
          <w:highlight w:val="none"/>
        </w:rPr>
        <w:t>202</w:t>
      </w:r>
      <w:r>
        <w:rPr>
          <w:rFonts w:hint="eastAsia" w:ascii="黑体" w:eastAsia="黑体"/>
          <w:color w:val="auto"/>
          <w:sz w:val="72"/>
          <w:szCs w:val="72"/>
          <w:highlight w:val="none"/>
          <w:lang w:val="en-US" w:eastAsia="zh-CN"/>
        </w:rPr>
        <w:t>4</w:t>
      </w:r>
      <w:r>
        <w:rPr>
          <w:rFonts w:hint="eastAsia" w:ascii="黑体" w:eastAsia="黑体"/>
          <w:color w:val="auto"/>
          <w:sz w:val="72"/>
          <w:szCs w:val="72"/>
          <w:highlight w:val="none"/>
        </w:rPr>
        <w:t>年度部门决算（</w:t>
      </w:r>
      <w:r>
        <w:rPr>
          <w:rFonts w:hint="eastAsia" w:ascii="黑体" w:eastAsia="黑体"/>
          <w:color w:val="auto"/>
          <w:sz w:val="72"/>
          <w:szCs w:val="72"/>
          <w:highlight w:val="none"/>
          <w:lang w:val="en-US" w:eastAsia="zh-CN"/>
        </w:rPr>
        <w:t>公开</w:t>
      </w:r>
      <w:r>
        <w:rPr>
          <w:rFonts w:ascii="黑体" w:eastAsia="黑体"/>
          <w:color w:val="auto"/>
          <w:sz w:val="72"/>
          <w:szCs w:val="72"/>
          <w:highlight w:val="none"/>
        </w:rPr>
        <w:t>）</w:t>
      </w:r>
    </w:p>
    <w:p w14:paraId="3B9CE522">
      <w:pPr>
        <w:jc w:val="center"/>
        <w:rPr>
          <w:rFonts w:ascii="黑体" w:eastAsia="黑体"/>
          <w:color w:val="auto"/>
          <w:sz w:val="52"/>
          <w:szCs w:val="52"/>
          <w:highlight w:val="none"/>
        </w:rPr>
      </w:pPr>
    </w:p>
    <w:p w14:paraId="67E48AE2">
      <w:pPr>
        <w:jc w:val="center"/>
        <w:rPr>
          <w:rFonts w:ascii="黑体" w:eastAsia="黑体"/>
          <w:color w:val="auto"/>
          <w:sz w:val="52"/>
          <w:szCs w:val="52"/>
          <w:highlight w:val="none"/>
        </w:rPr>
      </w:pPr>
    </w:p>
    <w:p w14:paraId="73BBB416">
      <w:pPr>
        <w:jc w:val="center"/>
        <w:rPr>
          <w:rFonts w:ascii="黑体" w:eastAsia="黑体"/>
          <w:color w:val="auto"/>
          <w:sz w:val="52"/>
          <w:szCs w:val="52"/>
          <w:highlight w:val="none"/>
        </w:rPr>
      </w:pPr>
    </w:p>
    <w:p w14:paraId="6B716633">
      <w:pPr>
        <w:jc w:val="center"/>
        <w:rPr>
          <w:rFonts w:ascii="黑体" w:eastAsia="黑体"/>
          <w:color w:val="auto"/>
          <w:sz w:val="52"/>
          <w:szCs w:val="52"/>
          <w:highlight w:val="none"/>
        </w:rPr>
      </w:pPr>
    </w:p>
    <w:p w14:paraId="0F4467A1">
      <w:pPr>
        <w:jc w:val="center"/>
        <w:rPr>
          <w:rFonts w:ascii="黑体" w:eastAsia="黑体"/>
          <w:color w:val="auto"/>
          <w:sz w:val="32"/>
          <w:szCs w:val="32"/>
          <w:highlight w:val="none"/>
        </w:rPr>
      </w:pPr>
    </w:p>
    <w:p w14:paraId="06A49179">
      <w:pPr>
        <w:spacing w:line="500" w:lineRule="exact"/>
        <w:ind w:firstLine="645"/>
        <w:jc w:val="center"/>
        <w:rPr>
          <w:rFonts w:ascii="宋体" w:hAnsi="宋体" w:cs="宋体"/>
          <w:b/>
          <w:bCs/>
          <w:color w:val="auto"/>
          <w:kern w:val="0"/>
          <w:sz w:val="44"/>
          <w:szCs w:val="36"/>
          <w:highlight w:val="none"/>
        </w:rPr>
      </w:pPr>
      <w:r>
        <w:rPr>
          <w:rFonts w:hint="eastAsia" w:ascii="宋体" w:hAnsi="宋体" w:cs="宋体"/>
          <w:b/>
          <w:bCs/>
          <w:color w:val="auto"/>
          <w:kern w:val="0"/>
          <w:sz w:val="44"/>
          <w:szCs w:val="36"/>
          <w:highlight w:val="none"/>
        </w:rPr>
        <w:t>目    录</w:t>
      </w:r>
    </w:p>
    <w:p w14:paraId="6F25DA38">
      <w:pPr>
        <w:spacing w:line="500" w:lineRule="exact"/>
        <w:ind w:firstLine="645"/>
        <w:jc w:val="center"/>
        <w:rPr>
          <w:rFonts w:hint="eastAsia" w:ascii="宋体" w:hAnsi="宋体" w:cs="宋体"/>
          <w:b/>
          <w:bCs/>
          <w:color w:val="auto"/>
          <w:kern w:val="0"/>
          <w:sz w:val="36"/>
          <w:szCs w:val="36"/>
          <w:highlight w:val="none"/>
        </w:rPr>
      </w:pPr>
    </w:p>
    <w:p w14:paraId="5F475429">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第一部分 202</w:t>
      </w:r>
      <w:r>
        <w:rPr>
          <w:rFonts w:hint="eastAsia" w:ascii="宋体" w:hAnsi="宋体" w:cs="宋体"/>
          <w:bCs/>
          <w:color w:val="auto"/>
          <w:spacing w:val="40"/>
          <w:kern w:val="0"/>
          <w:sz w:val="32"/>
          <w:szCs w:val="32"/>
          <w:highlight w:val="none"/>
          <w:lang w:val="en-US" w:eastAsia="zh-CN"/>
        </w:rPr>
        <w:t>4</w:t>
      </w:r>
      <w:r>
        <w:rPr>
          <w:rFonts w:hint="eastAsia" w:ascii="宋体" w:hAnsi="宋体" w:cs="宋体"/>
          <w:bCs/>
          <w:color w:val="auto"/>
          <w:spacing w:val="40"/>
          <w:kern w:val="0"/>
          <w:sz w:val="32"/>
          <w:szCs w:val="32"/>
          <w:highlight w:val="none"/>
        </w:rPr>
        <w:t>年度部门决算报表</w:t>
      </w:r>
    </w:p>
    <w:p w14:paraId="07BEAE2A">
      <w:pPr>
        <w:tabs>
          <w:tab w:val="center" w:pos="6979"/>
        </w:tabs>
        <w:spacing w:line="500" w:lineRule="exact"/>
        <w:ind w:firstLine="2400" w:firstLineChars="600"/>
        <w:jc w:val="left"/>
        <w:rPr>
          <w:rFonts w:hint="eastAsia" w:ascii="仿宋_GB2312" w:hAnsi="仿宋" w:eastAsia="仿宋_GB2312"/>
          <w:color w:val="auto"/>
          <w:spacing w:val="40"/>
          <w:sz w:val="32"/>
          <w:szCs w:val="32"/>
          <w:highlight w:val="none"/>
        </w:rPr>
      </w:pPr>
      <w:r>
        <w:rPr>
          <w:rFonts w:hint="eastAsia" w:ascii="仿宋_GB2312" w:hAnsi="仿宋" w:eastAsia="仿宋_GB2312" w:cs="宋体"/>
          <w:bCs/>
          <w:color w:val="auto"/>
          <w:spacing w:val="40"/>
          <w:kern w:val="0"/>
          <w:sz w:val="32"/>
          <w:szCs w:val="32"/>
          <w:highlight w:val="none"/>
        </w:rPr>
        <w:t>一、收入支出决算总表</w:t>
      </w:r>
    </w:p>
    <w:p w14:paraId="4B6B357A">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二、收入决算表</w:t>
      </w:r>
    </w:p>
    <w:p w14:paraId="69F9CA68">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三、支出决算表</w:t>
      </w:r>
    </w:p>
    <w:p w14:paraId="183CB029">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四、财政拨款收入支出决算总表</w:t>
      </w:r>
    </w:p>
    <w:p w14:paraId="70CB34BB">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五、一般公共预算财政拨款支出决算表</w:t>
      </w:r>
    </w:p>
    <w:p w14:paraId="358B3FD5">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六、一般公共预算财政拨款</w:t>
      </w:r>
      <w:r>
        <w:rPr>
          <w:rFonts w:ascii="仿宋_GB2312" w:hAnsi="仿宋" w:eastAsia="仿宋_GB2312" w:cs="宋体"/>
          <w:bCs/>
          <w:color w:val="auto"/>
          <w:spacing w:val="40"/>
          <w:kern w:val="0"/>
          <w:sz w:val="32"/>
          <w:szCs w:val="32"/>
          <w:highlight w:val="none"/>
        </w:rPr>
        <w:t>基本支出决算表</w:t>
      </w:r>
    </w:p>
    <w:p w14:paraId="3D238A5B">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七</w:t>
      </w:r>
      <w:r>
        <w:rPr>
          <w:rFonts w:ascii="仿宋_GB2312" w:hAnsi="仿宋" w:eastAsia="仿宋_GB2312" w:cs="宋体"/>
          <w:bCs/>
          <w:color w:val="auto"/>
          <w:spacing w:val="40"/>
          <w:kern w:val="0"/>
          <w:sz w:val="32"/>
          <w:szCs w:val="32"/>
          <w:highlight w:val="none"/>
        </w:rPr>
        <w:t>、</w:t>
      </w:r>
      <w:r>
        <w:rPr>
          <w:rFonts w:hint="eastAsia" w:ascii="仿宋_GB2312" w:hAnsi="仿宋" w:eastAsia="仿宋_GB2312" w:cs="宋体"/>
          <w:bCs/>
          <w:color w:val="auto"/>
          <w:spacing w:val="40"/>
          <w:kern w:val="0"/>
          <w:sz w:val="32"/>
          <w:szCs w:val="32"/>
          <w:highlight w:val="none"/>
        </w:rPr>
        <w:t>政府性基金预算财政拨款收入支出决算表</w:t>
      </w:r>
    </w:p>
    <w:p w14:paraId="3110DB66">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八</w:t>
      </w:r>
      <w:r>
        <w:rPr>
          <w:rFonts w:hint="eastAsia" w:ascii="仿宋_GB2312" w:hAnsi="仿宋" w:eastAsia="仿宋_GB2312" w:cs="宋体"/>
          <w:bCs/>
          <w:color w:val="auto"/>
          <w:spacing w:val="40"/>
          <w:kern w:val="0"/>
          <w:sz w:val="32"/>
          <w:szCs w:val="32"/>
          <w:highlight w:val="none"/>
        </w:rPr>
        <w:t>、</w:t>
      </w:r>
      <w:r>
        <w:rPr>
          <w:rFonts w:ascii="仿宋_GB2312" w:hAnsi="仿宋" w:eastAsia="仿宋_GB2312" w:cs="宋体"/>
          <w:bCs/>
          <w:color w:val="auto"/>
          <w:spacing w:val="40"/>
          <w:kern w:val="0"/>
          <w:sz w:val="32"/>
          <w:szCs w:val="32"/>
          <w:highlight w:val="none"/>
        </w:rPr>
        <w:t>政府性基金</w:t>
      </w:r>
      <w:r>
        <w:rPr>
          <w:rFonts w:hint="eastAsia" w:ascii="仿宋_GB2312" w:hAnsi="仿宋" w:eastAsia="仿宋_GB2312" w:cs="宋体"/>
          <w:bCs/>
          <w:color w:val="auto"/>
          <w:spacing w:val="40"/>
          <w:kern w:val="0"/>
          <w:sz w:val="32"/>
          <w:szCs w:val="32"/>
          <w:highlight w:val="none"/>
        </w:rPr>
        <w:t>预算</w:t>
      </w:r>
      <w:r>
        <w:rPr>
          <w:rFonts w:ascii="仿宋_GB2312" w:hAnsi="仿宋" w:eastAsia="仿宋_GB2312" w:cs="宋体"/>
          <w:bCs/>
          <w:color w:val="auto"/>
          <w:spacing w:val="40"/>
          <w:kern w:val="0"/>
          <w:sz w:val="32"/>
          <w:szCs w:val="32"/>
          <w:highlight w:val="none"/>
        </w:rPr>
        <w:t>财政拨款基本支出决算表</w:t>
      </w:r>
    </w:p>
    <w:p w14:paraId="63EADAF2">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九</w:t>
      </w:r>
      <w:r>
        <w:rPr>
          <w:rFonts w:hint="eastAsia" w:ascii="仿宋_GB2312" w:hAnsi="仿宋" w:eastAsia="仿宋_GB2312" w:cs="宋体"/>
          <w:bCs/>
          <w:color w:val="auto"/>
          <w:spacing w:val="40"/>
          <w:kern w:val="0"/>
          <w:sz w:val="32"/>
          <w:szCs w:val="32"/>
          <w:highlight w:val="none"/>
        </w:rPr>
        <w:t>、国有资本经营预算财政拨款支出决算表</w:t>
      </w:r>
    </w:p>
    <w:p w14:paraId="5B8ACB4C">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十、财政拨款“三公”经费支出决算表</w:t>
      </w:r>
    </w:p>
    <w:p w14:paraId="1E74B878">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十一、政府采购情况表</w:t>
      </w:r>
    </w:p>
    <w:p w14:paraId="2BEABE7F">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w:t>
      </w:r>
      <w:r>
        <w:rPr>
          <w:rFonts w:hint="eastAsia" w:ascii="仿宋_GB2312" w:hAnsi="仿宋" w:eastAsia="仿宋_GB2312" w:cs="宋体"/>
          <w:bCs/>
          <w:color w:val="auto"/>
          <w:spacing w:val="40"/>
          <w:kern w:val="0"/>
          <w:sz w:val="32"/>
          <w:szCs w:val="32"/>
          <w:highlight w:val="none"/>
          <w:lang w:eastAsia="zh-CN"/>
        </w:rPr>
        <w:t>二</w:t>
      </w:r>
      <w:r>
        <w:rPr>
          <w:rFonts w:hint="eastAsia" w:ascii="仿宋_GB2312" w:hAnsi="仿宋" w:eastAsia="仿宋_GB2312" w:cs="宋体"/>
          <w:bCs/>
          <w:color w:val="auto"/>
          <w:spacing w:val="40"/>
          <w:kern w:val="0"/>
          <w:sz w:val="32"/>
          <w:szCs w:val="32"/>
          <w:highlight w:val="none"/>
        </w:rPr>
        <w:t>、政府购买服务决算公开情况表</w:t>
      </w:r>
    </w:p>
    <w:p w14:paraId="27778FAC">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第二部分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年度部门决算说明</w:t>
      </w:r>
    </w:p>
    <w:p w14:paraId="5C640307">
      <w:pPr>
        <w:tabs>
          <w:tab w:val="center" w:pos="6979"/>
        </w:tabs>
        <w:spacing w:line="500" w:lineRule="exact"/>
        <w:ind w:firstLine="1600" w:firstLineChars="400"/>
        <w:jc w:val="left"/>
        <w:rPr>
          <w:rFonts w:hint="eastAsia" w:ascii="宋体" w:hAnsi="宋体" w:cs="宋体"/>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第三部分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w:t>
      </w:r>
      <w:r>
        <w:rPr>
          <w:rFonts w:hint="eastAsia" w:ascii="宋体" w:hAnsi="宋体" w:cs="宋体"/>
          <w:color w:val="auto"/>
          <w:spacing w:val="40"/>
          <w:kern w:val="0"/>
          <w:sz w:val="32"/>
          <w:szCs w:val="32"/>
          <w:highlight w:val="none"/>
        </w:rPr>
        <w:t>其他重要事项的情况说明</w:t>
      </w:r>
    </w:p>
    <w:p w14:paraId="27ED7471">
      <w:pPr>
        <w:tabs>
          <w:tab w:val="center" w:pos="6979"/>
        </w:tabs>
        <w:spacing w:line="500" w:lineRule="exact"/>
        <w:ind w:firstLine="1600" w:firstLineChars="400"/>
        <w:jc w:val="left"/>
        <w:rPr>
          <w:rFonts w:hint="eastAsia" w:ascii="宋体" w:hAnsi="宋体" w:cs="宋体"/>
          <w:color w:val="auto"/>
          <w:spacing w:val="40"/>
          <w:kern w:val="0"/>
          <w:sz w:val="36"/>
          <w:szCs w:val="32"/>
          <w:highlight w:val="none"/>
        </w:rPr>
      </w:pPr>
      <w:r>
        <w:rPr>
          <w:rFonts w:hint="eastAsia" w:ascii="宋体" w:hAnsi="宋体" w:cs="宋体"/>
          <w:color w:val="auto"/>
          <w:spacing w:val="40"/>
          <w:kern w:val="0"/>
          <w:sz w:val="32"/>
          <w:szCs w:val="32"/>
          <w:highlight w:val="none"/>
        </w:rPr>
        <w:t>第四部分 202</w:t>
      </w:r>
      <w:r>
        <w:rPr>
          <w:rFonts w:hint="eastAsia" w:ascii="宋体" w:hAnsi="宋体" w:cs="宋体"/>
          <w:color w:val="auto"/>
          <w:spacing w:val="40"/>
          <w:kern w:val="0"/>
          <w:sz w:val="32"/>
          <w:szCs w:val="32"/>
          <w:highlight w:val="none"/>
          <w:lang w:val="en-US" w:eastAsia="zh-CN"/>
        </w:rPr>
        <w:t>4</w:t>
      </w:r>
      <w:r>
        <w:rPr>
          <w:rFonts w:hint="eastAsia" w:ascii="宋体" w:hAnsi="宋体" w:cs="宋体"/>
          <w:color w:val="auto"/>
          <w:spacing w:val="40"/>
          <w:kern w:val="0"/>
          <w:sz w:val="32"/>
          <w:szCs w:val="32"/>
          <w:highlight w:val="none"/>
        </w:rPr>
        <w:t>年度部门绩效评价情况</w:t>
      </w:r>
    </w:p>
    <w:p w14:paraId="24832CAB">
      <w:pPr>
        <w:tabs>
          <w:tab w:val="center" w:pos="6979"/>
        </w:tabs>
        <w:spacing w:before="156" w:beforeLines="50" w:after="156" w:afterLines="50"/>
        <w:jc w:val="center"/>
        <w:rPr>
          <w:rFonts w:ascii="宋体" w:hAnsi="宋体" w:cs="宋体"/>
          <w:b/>
          <w:bCs/>
          <w:color w:val="auto"/>
          <w:spacing w:val="40"/>
          <w:kern w:val="0"/>
          <w:sz w:val="32"/>
          <w:szCs w:val="32"/>
          <w:highlight w:val="none"/>
        </w:rPr>
      </w:pPr>
    </w:p>
    <w:p w14:paraId="7CAE5578">
      <w:pPr>
        <w:tabs>
          <w:tab w:val="center" w:pos="6979"/>
        </w:tabs>
        <w:spacing w:before="156" w:beforeLines="50" w:after="156" w:afterLines="50"/>
        <w:jc w:val="center"/>
        <w:rPr>
          <w:rFonts w:ascii="宋体" w:hAnsi="宋体" w:cs="宋体"/>
          <w:b/>
          <w:bCs/>
          <w:color w:val="auto"/>
          <w:spacing w:val="40"/>
          <w:kern w:val="0"/>
          <w:sz w:val="32"/>
          <w:szCs w:val="32"/>
          <w:highlight w:val="none"/>
        </w:rPr>
      </w:pPr>
    </w:p>
    <w:p w14:paraId="14320967">
      <w:pPr>
        <w:tabs>
          <w:tab w:val="center" w:pos="6979"/>
        </w:tabs>
        <w:spacing w:before="156" w:beforeLines="50" w:after="156" w:afterLines="50"/>
        <w:jc w:val="center"/>
        <w:rPr>
          <w:rFonts w:ascii="宋体" w:hAnsi="宋体" w:cs="宋体"/>
          <w:b/>
          <w:bCs/>
          <w:color w:val="auto"/>
          <w:spacing w:val="40"/>
          <w:kern w:val="0"/>
          <w:sz w:val="32"/>
          <w:szCs w:val="32"/>
          <w:highlight w:val="none"/>
        </w:rPr>
      </w:pPr>
    </w:p>
    <w:p w14:paraId="5FBBBD80">
      <w:pPr>
        <w:tabs>
          <w:tab w:val="center" w:pos="6979"/>
        </w:tabs>
        <w:spacing w:before="156" w:beforeLines="50" w:after="156" w:afterLines="50"/>
        <w:jc w:val="center"/>
        <w:rPr>
          <w:rFonts w:ascii="宋体" w:hAnsi="宋体" w:cs="宋体"/>
          <w:b/>
          <w:bCs/>
          <w:color w:val="auto"/>
          <w:spacing w:val="40"/>
          <w:kern w:val="0"/>
          <w:sz w:val="32"/>
          <w:szCs w:val="32"/>
          <w:highlight w:val="none"/>
        </w:rPr>
      </w:pPr>
    </w:p>
    <w:p w14:paraId="3FCBEDEB">
      <w:pPr>
        <w:tabs>
          <w:tab w:val="center" w:pos="6979"/>
        </w:tabs>
        <w:spacing w:before="156" w:beforeLines="50" w:after="156" w:afterLines="50"/>
        <w:jc w:val="center"/>
        <w:rPr>
          <w:rFonts w:ascii="宋体" w:hAnsi="宋体" w:cs="宋体"/>
          <w:b/>
          <w:bCs/>
          <w:color w:val="auto"/>
          <w:spacing w:val="40"/>
          <w:kern w:val="0"/>
          <w:sz w:val="32"/>
          <w:szCs w:val="32"/>
          <w:highlight w:val="none"/>
        </w:rPr>
      </w:pPr>
    </w:p>
    <w:p w14:paraId="4A1AF5D4">
      <w:pPr>
        <w:tabs>
          <w:tab w:val="center" w:pos="6979"/>
        </w:tabs>
        <w:spacing w:before="156" w:beforeLines="50" w:after="156" w:afterLines="50"/>
        <w:jc w:val="center"/>
        <w:rPr>
          <w:rFonts w:ascii="宋体" w:hAnsi="宋体" w:cs="宋体"/>
          <w:b/>
          <w:bCs/>
          <w:color w:val="auto"/>
          <w:spacing w:val="40"/>
          <w:kern w:val="0"/>
          <w:sz w:val="32"/>
          <w:szCs w:val="32"/>
          <w:highlight w:val="none"/>
        </w:rPr>
      </w:pPr>
      <w:r>
        <w:rPr>
          <w:rFonts w:hint="eastAsia" w:ascii="宋体" w:hAnsi="宋体" w:cs="宋体"/>
          <w:b/>
          <w:bCs/>
          <w:color w:val="auto"/>
          <w:spacing w:val="40"/>
          <w:kern w:val="0"/>
          <w:sz w:val="44"/>
          <w:szCs w:val="44"/>
          <w:highlight w:val="none"/>
        </w:rPr>
        <w:t xml:space="preserve">第一部分 </w:t>
      </w:r>
      <w:r>
        <w:rPr>
          <w:rFonts w:hint="eastAsia" w:ascii="宋体" w:hAnsi="宋体" w:cs="宋体"/>
          <w:b/>
          <w:bCs/>
          <w:color w:val="auto"/>
          <w:spacing w:val="40"/>
          <w:kern w:val="0"/>
          <w:sz w:val="44"/>
          <w:szCs w:val="44"/>
          <w:highlight w:val="none"/>
          <w:lang w:eastAsia="zh-CN"/>
        </w:rPr>
        <w:t>2024</w:t>
      </w:r>
      <w:r>
        <w:rPr>
          <w:rFonts w:hint="eastAsia" w:ascii="宋体" w:hAnsi="宋体" w:cs="宋体"/>
          <w:b/>
          <w:bCs/>
          <w:color w:val="auto"/>
          <w:spacing w:val="40"/>
          <w:kern w:val="0"/>
          <w:sz w:val="44"/>
          <w:szCs w:val="44"/>
          <w:highlight w:val="none"/>
        </w:rPr>
        <w:t>年度部门决算报表</w:t>
      </w:r>
    </w:p>
    <w:p w14:paraId="656A81B3">
      <w:pPr>
        <w:pStyle w:val="2"/>
        <w:rPr>
          <w:b w:val="0"/>
          <w:bCs w:val="0"/>
          <w:color w:val="auto"/>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highlight w:val="none"/>
        </w:rPr>
        <w:t xml:space="preserve">   </w:t>
      </w:r>
      <w:r>
        <w:rPr>
          <w:rFonts w:hint="eastAsia" w:ascii="仿宋_GB2312" w:eastAsia="仿宋_GB2312"/>
          <w:b w:val="0"/>
          <w:bCs w:val="0"/>
          <w:color w:val="auto"/>
          <w:sz w:val="28"/>
          <w:szCs w:val="28"/>
          <w:highlight w:val="none"/>
        </w:rPr>
        <w:t>报表详见附件。</w:t>
      </w:r>
    </w:p>
    <w:p w14:paraId="53A6F3DF">
      <w:pPr>
        <w:tabs>
          <w:tab w:val="center" w:pos="6979"/>
        </w:tabs>
        <w:spacing w:before="156" w:beforeLines="50" w:after="156" w:afterLines="50"/>
        <w:jc w:val="center"/>
        <w:rPr>
          <w:rFonts w:hint="eastAsia" w:ascii="宋体" w:hAnsi="宋体"/>
          <w:b/>
          <w:color w:val="auto"/>
          <w:sz w:val="32"/>
          <w:szCs w:val="32"/>
          <w:highlight w:val="none"/>
        </w:rPr>
      </w:pPr>
      <w:r>
        <w:rPr>
          <w:rFonts w:hint="eastAsia" w:ascii="宋体" w:hAnsi="宋体" w:cs="宋体"/>
          <w:b/>
          <w:bCs/>
          <w:color w:val="auto"/>
          <w:spacing w:val="40"/>
          <w:kern w:val="0"/>
          <w:sz w:val="32"/>
          <w:szCs w:val="32"/>
          <w:highlight w:val="none"/>
        </w:rPr>
        <w:t xml:space="preserve">第二部分 </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年度部门决算说明</w:t>
      </w:r>
    </w:p>
    <w:p w14:paraId="5AEC5A30">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一、部门/单位基本情况</w:t>
      </w:r>
    </w:p>
    <w:p w14:paraId="643A35C7">
      <w:pPr>
        <w:tabs>
          <w:tab w:val="center" w:pos="6979"/>
        </w:tabs>
        <w:spacing w:line="580" w:lineRule="exact"/>
        <w:ind w:firstLine="560" w:firstLineChars="200"/>
        <w:rPr>
          <w:rFonts w:hint="eastAsia" w:ascii="黑体" w:eastAsia="黑体"/>
          <w:b/>
          <w:color w:val="auto"/>
          <w:sz w:val="28"/>
          <w:szCs w:val="28"/>
          <w:highlight w:val="none"/>
        </w:rPr>
      </w:pPr>
      <w:r>
        <w:rPr>
          <w:rFonts w:hint="eastAsia" w:ascii="仿宋_GB2312" w:eastAsia="仿宋_GB2312"/>
          <w:color w:val="auto"/>
          <w:sz w:val="28"/>
          <w:szCs w:val="28"/>
          <w:highlight w:val="none"/>
        </w:rPr>
        <w:t>北京市西城区什刹海小学是一所公办全日制小学,它的前身是西板桥小学和米粮库小学，2002年3月两校合并正式命名为什刹海小学。学校两址办学，占地面积近5000平方米，教育教学设备设施完善。</w:t>
      </w:r>
      <w:r>
        <w:rPr>
          <w:rFonts w:hint="eastAsia" w:ascii="仿宋_GB2312" w:eastAsia="仿宋_GB2312"/>
          <w:color w:val="auto"/>
          <w:sz w:val="28"/>
          <w:szCs w:val="28"/>
          <w:highlight w:val="none"/>
        </w:rPr>
        <w:br w:type="textWrapping"/>
      </w:r>
      <w:r>
        <w:rPr>
          <w:rFonts w:hint="eastAsia" w:ascii="仿宋_GB2312" w:eastAsia="仿宋_GB2312"/>
          <w:color w:val="auto"/>
          <w:sz w:val="28"/>
          <w:szCs w:val="28"/>
          <w:highlight w:val="none"/>
        </w:rPr>
        <w:t xml:space="preserve">    什刹海小学始终坚持“师生为本，和谐发展”的办学理念，并贯穿于学校全部工作之中。学校积极塑造"科学型、协作型、奉献型”三位一体的教师角色，通过创造“会学习、会合作、会创新”深度学习的场域，为学生搭建展现自我、实现自我、发展的舞台，让每个生命绽放光彩。学校着眼于教育的整体目标，追求学生在德、智、体、美、劳各方面的协调共进，注重营造和谐的师生关系、生生关系，构建积极向上的校园文化氛围，让师生在和谐的教育生态中不断成长。 </w:t>
      </w:r>
      <w:r>
        <w:rPr>
          <w:rFonts w:hint="eastAsia" w:ascii="仿宋_GB2312" w:eastAsia="仿宋_GB2312"/>
          <w:color w:val="auto"/>
          <w:sz w:val="28"/>
          <w:szCs w:val="28"/>
          <w:highlight w:val="none"/>
        </w:rPr>
        <w:br w:type="textWrapping"/>
      </w:r>
      <w:r>
        <w:rPr>
          <w:rFonts w:hint="eastAsia" w:ascii="仿宋_GB2312" w:eastAsiaTheme="minorEastAsia"/>
          <w:color w:val="auto"/>
          <w:sz w:val="28"/>
          <w:szCs w:val="28"/>
          <w:highlight w:val="none"/>
        </w:rPr>
        <w:t xml:space="preserve">    </w:t>
      </w:r>
      <w:r>
        <w:rPr>
          <w:rFonts w:hint="eastAsia" w:ascii="仿宋_GB2312" w:eastAsia="仿宋_GB2312"/>
          <w:color w:val="auto"/>
          <w:sz w:val="28"/>
          <w:szCs w:val="28"/>
          <w:highlight w:val="none"/>
        </w:rPr>
        <w:t>什刹海小学以“团结、勤奋、守纪、创新”为校训和学校文化核心，不断激励着师生奋发进取，勇于探索，在内涵发展的道路上，努力把学校打造为百姓身边优质小学。</w:t>
      </w:r>
      <w:r>
        <w:rPr>
          <w:rFonts w:hint="eastAsia" w:ascii="仿宋_GB2312" w:eastAsia="仿宋_GB2312"/>
          <w:color w:val="auto"/>
          <w:sz w:val="28"/>
          <w:szCs w:val="28"/>
          <w:highlight w:val="none"/>
        </w:rPr>
        <w:br w:type="textWrapping"/>
      </w:r>
      <w:r>
        <w:rPr>
          <w:rFonts w:hint="eastAsia" w:ascii="仿宋_GB2312" w:eastAsia="仿宋_GB2312"/>
          <w:color w:val="auto"/>
          <w:sz w:val="28"/>
          <w:szCs w:val="28"/>
          <w:highlight w:val="none"/>
        </w:rPr>
        <w:t xml:space="preserve">   </w:t>
      </w:r>
      <w:r>
        <w:rPr>
          <w:rFonts w:hint="eastAsia" w:ascii="仿宋_GB2312" w:eastAsia="仿宋_GB2312"/>
          <w:color w:val="auto"/>
          <w:sz w:val="28"/>
          <w:szCs w:val="28"/>
          <w:highlight w:val="none"/>
        </w:rPr>
        <w:br w:type="textWrapping"/>
      </w:r>
      <w:r>
        <w:rPr>
          <w:rFonts w:hint="eastAsia" w:ascii="仿宋_GB2312" w:eastAsia="仿宋_GB2312"/>
          <w:b/>
          <w:color w:val="auto"/>
          <w:sz w:val="32"/>
          <w:szCs w:val="32"/>
          <w:highlight w:val="none"/>
        </w:rPr>
        <w:t xml:space="preserve">   </w:t>
      </w:r>
      <w:r>
        <w:rPr>
          <w:rFonts w:hint="eastAsia" w:ascii="黑体" w:eastAsia="黑体"/>
          <w:b/>
          <w:color w:val="auto"/>
          <w:sz w:val="28"/>
          <w:szCs w:val="28"/>
          <w:highlight w:val="none"/>
        </w:rPr>
        <w:t>二、收入支出决算总体情况说明</w:t>
      </w:r>
    </w:p>
    <w:p w14:paraId="5C3A830B">
      <w:pPr>
        <w:tabs>
          <w:tab w:val="center" w:pos="6979"/>
        </w:tabs>
        <w:spacing w:line="580" w:lineRule="exact"/>
        <w:ind w:firstLine="570"/>
        <w:rPr>
          <w:rFonts w:ascii="仿宋_GB2312" w:eastAsia="仿宋_GB2312"/>
          <w:color w:val="auto"/>
          <w:sz w:val="28"/>
          <w:szCs w:val="28"/>
          <w:highlight w:val="none"/>
        </w:rPr>
      </w:pPr>
      <w:r>
        <w:rPr>
          <w:rFonts w:hint="eastAsia" w:ascii="仿宋_GB2312" w:eastAsia="仿宋_GB2312"/>
          <w:color w:val="auto"/>
          <w:sz w:val="28"/>
          <w:szCs w:val="28"/>
          <w:highlight w:val="none"/>
        </w:rPr>
        <w:t>2024年度收、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万元，上年收支总计2735.53万元，比上年增加209.22万元，增长7.65%。</w:t>
      </w:r>
    </w:p>
    <w:p w14:paraId="4BC21AE1">
      <w:pPr>
        <w:tabs>
          <w:tab w:val="center" w:pos="6979"/>
        </w:tabs>
        <w:spacing w:line="580" w:lineRule="exact"/>
        <w:ind w:firstLine="570"/>
        <w:rPr>
          <w:rFonts w:ascii="仿宋_GB2312" w:eastAsia="仿宋_GB2312"/>
          <w:color w:val="auto"/>
          <w:sz w:val="28"/>
          <w:szCs w:val="28"/>
          <w:highlight w:val="none"/>
        </w:rPr>
      </w:pPr>
      <w:r>
        <w:rPr>
          <w:rFonts w:hint="eastAsia" w:ascii="仿宋_GB2312" w:eastAsia="仿宋_GB2312"/>
          <w:color w:val="auto"/>
          <w:sz w:val="28"/>
          <w:szCs w:val="28"/>
          <w:highlight w:val="none"/>
        </w:rPr>
        <w:t>（一）收入决算说明</w:t>
      </w:r>
    </w:p>
    <w:p w14:paraId="708E1A6E">
      <w:pPr>
        <w:tabs>
          <w:tab w:val="center" w:pos="6979"/>
        </w:tabs>
        <w:spacing w:line="580" w:lineRule="exact"/>
        <w:ind w:firstLine="570"/>
        <w:rPr>
          <w:rFonts w:ascii="仿宋_GB2312" w:eastAsia="仿宋_GB2312"/>
          <w:color w:val="auto"/>
          <w:sz w:val="28"/>
          <w:szCs w:val="28"/>
          <w:highlight w:val="none"/>
        </w:rPr>
      </w:pPr>
      <w:r>
        <w:rPr>
          <w:rFonts w:hint="eastAsia" w:ascii="仿宋_GB2312" w:eastAsia="仿宋_GB2312"/>
          <w:color w:val="auto"/>
          <w:sz w:val="28"/>
          <w:szCs w:val="28"/>
          <w:highlight w:val="none"/>
        </w:rPr>
        <w:t>2024年度本年收入合计2944.75万元，上年收入2722.77万元，比上年增加221.98万元，增长8.15%。</w:t>
      </w:r>
    </w:p>
    <w:p w14:paraId="1698CEFF">
      <w:pPr>
        <w:tabs>
          <w:tab w:val="center" w:pos="6979"/>
        </w:tabs>
        <w:spacing w:line="580" w:lineRule="exact"/>
        <w:ind w:firstLine="560" w:firstLineChars="200"/>
        <w:rPr>
          <w:color w:val="auto"/>
          <w:highlight w:val="none"/>
        </w:rPr>
      </w:pPr>
      <w:r>
        <w:rPr>
          <w:rFonts w:hint="eastAsia" w:ascii="仿宋_GB2312" w:eastAsia="仿宋_GB2312"/>
          <w:color w:val="auto"/>
          <w:sz w:val="28"/>
          <w:szCs w:val="28"/>
          <w:highlight w:val="none"/>
        </w:rPr>
        <w:t>1.财政拨款收入</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万元，占收入合计的100%。其中：一般公共预算财政拨款收入</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万元，占收入合计的100%；政府性基金预算财政拨款收入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万元，占收入合计的0%；国有资本经营预算财政拨款收入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7F49C8CD">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2.上级补助收入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4CA95B34">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3.事业收入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181CC81D">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4.经营收入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2335BB6E">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5.附属单位上缴收入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5F643BF5">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6.其他收入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万元，占收入合计的0%。</w:t>
      </w:r>
    </w:p>
    <w:p w14:paraId="5066386D">
      <w:pPr>
        <w:pStyle w:val="2"/>
        <w:ind w:firstLine="0"/>
        <w:jc w:val="center"/>
        <w:rPr>
          <w:color w:val="auto"/>
          <w:highlight w:val="none"/>
        </w:rPr>
      </w:pPr>
      <w:r>
        <w:rPr>
          <w:rFonts w:hint="eastAsia" w:ascii="仿宋_GB2312" w:eastAsia="仿宋_GB2312"/>
          <w:color w:val="auto"/>
          <w:sz w:val="32"/>
          <w:szCs w:val="32"/>
          <w:highlight w:val="none"/>
          <w:lang w:val="en-US" w:eastAsia="zh-CN"/>
        </w:rPr>
        <w:t>图1：收入决算</w:t>
      </w:r>
    </w:p>
    <w:p w14:paraId="67569733">
      <w:pPr>
        <w:pStyle w:val="3"/>
        <w:ind w:firstLine="420"/>
        <w:jc w:val="center"/>
        <w:rPr>
          <w:color w:val="auto"/>
          <w:highlight w:val="none"/>
        </w:rPr>
      </w:pPr>
      <w:r>
        <w:rPr>
          <w:color w:val="auto"/>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BF0A05">
      <w:pPr>
        <w:tabs>
          <w:tab w:val="center" w:pos="6979"/>
        </w:tabs>
        <w:spacing w:line="580" w:lineRule="exact"/>
        <w:ind w:firstLine="570"/>
        <w:rPr>
          <w:rFonts w:hint="eastAsia" w:ascii="仿宋_GB2312" w:eastAsia="仿宋_GB2312"/>
          <w:color w:val="auto"/>
          <w:sz w:val="28"/>
          <w:szCs w:val="28"/>
          <w:highlight w:val="none"/>
        </w:rPr>
      </w:pPr>
    </w:p>
    <w:p w14:paraId="1821017B">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支出决算</w:t>
      </w:r>
      <w:r>
        <w:rPr>
          <w:rFonts w:ascii="仿宋_GB2312" w:eastAsia="仿宋_GB2312"/>
          <w:color w:val="auto"/>
          <w:sz w:val="28"/>
          <w:szCs w:val="28"/>
          <w:highlight w:val="none"/>
        </w:rPr>
        <w:t>说明</w:t>
      </w:r>
    </w:p>
    <w:p w14:paraId="40E95BD4">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2024年度本年支出合计</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万元，上年支出2722.77万元，比上年增加221.98万元，增长8.15%，其中：基本支出</w:t>
      </w:r>
      <w:r>
        <w:rPr>
          <w:rFonts w:ascii="仿宋_GB2312" w:eastAsia="仿宋_GB2312"/>
          <w:color w:val="auto"/>
          <w:sz w:val="28"/>
          <w:szCs w:val="28"/>
          <w:highlight w:val="none"/>
        </w:rPr>
        <w:t>2720.21</w:t>
      </w:r>
      <w:r>
        <w:rPr>
          <w:rFonts w:hint="eastAsia" w:ascii="仿宋_GB2312" w:eastAsia="仿宋_GB2312"/>
          <w:color w:val="auto"/>
          <w:sz w:val="28"/>
          <w:szCs w:val="28"/>
          <w:highlight w:val="none"/>
        </w:rPr>
        <w:t>万元，占支出合计的92.37%；项目支出</w:t>
      </w:r>
      <w:r>
        <w:rPr>
          <w:rFonts w:ascii="仿宋_GB2312" w:eastAsia="仿宋_GB2312"/>
          <w:color w:val="auto"/>
          <w:sz w:val="28"/>
          <w:szCs w:val="28"/>
          <w:highlight w:val="none"/>
        </w:rPr>
        <w:t>224.54</w:t>
      </w:r>
      <w:r>
        <w:rPr>
          <w:rFonts w:hint="eastAsia" w:ascii="仿宋_GB2312" w:eastAsia="仿宋_GB2312"/>
          <w:color w:val="auto"/>
          <w:sz w:val="28"/>
          <w:szCs w:val="28"/>
          <w:highlight w:val="none"/>
        </w:rPr>
        <w:t>万元，占支出合计的7.63%;上缴上级支出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万元，占支出合计的0%；经营支出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万元，占支出合计的0%；对附属单位补助支出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万元，占支出合计的0%。</w:t>
      </w:r>
    </w:p>
    <w:p w14:paraId="1587F33A">
      <w:pPr>
        <w:pStyle w:val="2"/>
        <w:ind w:firstLine="642"/>
        <w:jc w:val="center"/>
        <w:rPr>
          <w:rFonts w:ascii="仿宋_GB2312" w:eastAsia="仿宋_GB2312"/>
          <w:color w:val="auto"/>
          <w:sz w:val="32"/>
          <w:highlight w:val="none"/>
        </w:rPr>
      </w:pPr>
      <w:r>
        <w:rPr>
          <w:rFonts w:hint="eastAsia" w:ascii="仿宋_GB2312" w:eastAsia="仿宋_GB2312"/>
          <w:color w:val="auto"/>
          <w:sz w:val="32"/>
          <w:highlight w:val="none"/>
        </w:rPr>
        <w:t>图2：基本支出和项目支出情况</w:t>
      </w:r>
    </w:p>
    <w:p w14:paraId="30990C96">
      <w:pPr>
        <w:jc w:val="center"/>
        <w:rPr>
          <w:rFonts w:ascii="黑体" w:eastAsia="黑体"/>
          <w:b/>
          <w:color w:val="auto"/>
          <w:sz w:val="28"/>
          <w:szCs w:val="28"/>
          <w:highlight w:val="none"/>
        </w:rPr>
      </w:pPr>
      <w:r>
        <w:rPr>
          <w:color w:val="auto"/>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C29627">
      <w:pPr>
        <w:tabs>
          <w:tab w:val="center" w:pos="6979"/>
        </w:tabs>
        <w:spacing w:line="580" w:lineRule="exact"/>
        <w:ind w:firstLine="548" w:firstLineChars="196"/>
        <w:rPr>
          <w:rFonts w:hint="eastAsia" w:ascii="黑体" w:eastAsia="黑体"/>
          <w:b/>
          <w:color w:val="auto"/>
          <w:sz w:val="28"/>
          <w:szCs w:val="28"/>
          <w:highlight w:val="none"/>
        </w:rPr>
      </w:pPr>
    </w:p>
    <w:p w14:paraId="21563C40">
      <w:pPr>
        <w:tabs>
          <w:tab w:val="center" w:pos="6979"/>
        </w:tabs>
        <w:spacing w:line="580" w:lineRule="exact"/>
        <w:ind w:firstLine="548" w:firstLineChars="196"/>
        <w:rPr>
          <w:rFonts w:hint="eastAsia" w:ascii="黑体" w:eastAsia="黑体"/>
          <w:b/>
          <w:color w:val="auto"/>
          <w:sz w:val="28"/>
          <w:szCs w:val="28"/>
          <w:highlight w:val="none"/>
        </w:rPr>
      </w:pPr>
    </w:p>
    <w:p w14:paraId="077E8BA4">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三</w:t>
      </w:r>
      <w:r>
        <w:rPr>
          <w:rFonts w:ascii="黑体" w:eastAsia="黑体"/>
          <w:b/>
          <w:color w:val="auto"/>
          <w:sz w:val="28"/>
          <w:szCs w:val="28"/>
          <w:highlight w:val="none"/>
        </w:rPr>
        <w:t>、财政拨款</w:t>
      </w:r>
      <w:r>
        <w:rPr>
          <w:rFonts w:hint="eastAsia" w:ascii="黑体" w:eastAsia="黑体"/>
          <w:b/>
          <w:color w:val="auto"/>
          <w:sz w:val="28"/>
          <w:szCs w:val="28"/>
          <w:highlight w:val="none"/>
        </w:rPr>
        <w:t>收入支出决算</w:t>
      </w:r>
      <w:r>
        <w:rPr>
          <w:rFonts w:ascii="黑体" w:eastAsia="黑体"/>
          <w:b/>
          <w:color w:val="auto"/>
          <w:sz w:val="28"/>
          <w:szCs w:val="28"/>
          <w:highlight w:val="none"/>
        </w:rPr>
        <w:t>总体情况说明</w:t>
      </w:r>
    </w:p>
    <w:p w14:paraId="71A34171">
      <w:pPr>
        <w:snapToGrid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2024年度财政拨款收、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万元，上年财政拨款收支总计2722.77万元，比上年</w:t>
      </w:r>
      <w:r>
        <w:rPr>
          <w:rFonts w:ascii="仿宋_GB2312" w:eastAsia="仿宋_GB2312"/>
          <w:color w:val="auto"/>
          <w:sz w:val="28"/>
          <w:szCs w:val="28"/>
          <w:highlight w:val="none"/>
        </w:rPr>
        <w:t>增加</w:t>
      </w:r>
      <w:r>
        <w:rPr>
          <w:rFonts w:hint="eastAsia" w:ascii="仿宋_GB2312" w:eastAsia="仿宋_GB2312"/>
          <w:color w:val="auto"/>
          <w:sz w:val="28"/>
          <w:szCs w:val="28"/>
          <w:highlight w:val="none"/>
        </w:rPr>
        <w:t>221.98万元，增长8.15%。</w:t>
      </w:r>
    </w:p>
    <w:p w14:paraId="1F1276D3">
      <w:pPr>
        <w:snapToGrid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主要原因：</w:t>
      </w:r>
    </w:p>
    <w:p w14:paraId="22655059">
      <w:pPr>
        <w:snapToGrid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基本支出增加原因：因本年度在职人员调动、级别变动及学生人数增加，导致工资薪金、社保及公积金缴费增加；退休人员去世3人导致抚恤金增加；发放一次性退休补贴导致退休经费增加。</w:t>
      </w:r>
    </w:p>
    <w:p w14:paraId="23C83C0D">
      <w:pPr>
        <w:snapToGrid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项目支出增加原因：本年度学校进行小而美工程，导致新增其衍生相关小额项目；本年度在编人员不足，新增外聘人员经费；上级下拨导师团经费。</w:t>
      </w:r>
    </w:p>
    <w:p w14:paraId="5A744552">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四、一般公共预算财政拨款支出决算情况说明</w:t>
      </w:r>
    </w:p>
    <w:p w14:paraId="74EAED9E">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（一）一般公共预算财政拨款支出决算总体情况</w:t>
      </w:r>
    </w:p>
    <w:p w14:paraId="37942153">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2024年度一般公共预算财政拨款支出</w:t>
      </w:r>
      <w:r>
        <w:rPr>
          <w:rFonts w:ascii="仿宋_GB2312" w:eastAsia="仿宋_GB2312"/>
          <w:color w:val="auto"/>
          <w:sz w:val="28"/>
          <w:szCs w:val="28"/>
          <w:highlight w:val="none"/>
        </w:rPr>
        <w:t>2944.75</w:t>
      </w:r>
      <w:r>
        <w:rPr>
          <w:rFonts w:hint="eastAsia" w:ascii="仿宋_GB2312" w:eastAsia="仿宋_GB2312"/>
          <w:color w:val="auto"/>
          <w:sz w:val="28"/>
          <w:szCs w:val="28"/>
          <w:highlight w:val="none"/>
        </w:rPr>
        <w:t>万元，主要用于以下方面（按大类）：教育支出1974.11万元，占本年财政拨款支出67.04%；社会保障和就业支出418.49万元，占本年财政拨款支出14.21%；卫生健康支出185.48万元，占本年财政拨款支出6.3%；住房保障支出366.67万元，占本年财政拨款支出12.45%。</w:t>
      </w:r>
    </w:p>
    <w:p w14:paraId="7B281B7D">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（二）一般公共预算财政拨款支出决算具体情况</w:t>
      </w:r>
    </w:p>
    <w:p w14:paraId="2B342CF1">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1、“一般公共服务支出”（类）202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年度年初预算1902.62万元，202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年度决算1974.11万元，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103.76</w:t>
      </w:r>
      <w:r>
        <w:rPr>
          <w:rFonts w:hint="eastAsia" w:ascii="仿宋_GB2312" w:eastAsia="仿宋_GB2312"/>
          <w:color w:val="auto"/>
          <w:sz w:val="28"/>
          <w:szCs w:val="28"/>
          <w:highlight w:val="none"/>
        </w:rPr>
        <w:t>%。</w:t>
      </w:r>
    </w:p>
    <w:p w14:paraId="6DC85107">
      <w:pPr>
        <w:autoSpaceDE w:val="0"/>
        <w:autoSpaceDN w:val="0"/>
        <w:adjustRightInd w:val="0"/>
        <w:spacing w:line="58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其中：</w:t>
      </w:r>
    </w:p>
    <w:p w14:paraId="16CCDE3F">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其中：</w:t>
      </w:r>
    </w:p>
    <w:p w14:paraId="4C76E137">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“普通教育”（款，下同）202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1897.74</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1969.65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103.77</w:t>
      </w:r>
      <w:r>
        <w:rPr>
          <w:rFonts w:hint="eastAsia" w:ascii="仿宋_GB2312" w:eastAsia="仿宋_GB2312"/>
          <w:color w:val="auto"/>
          <w:sz w:val="28"/>
          <w:szCs w:val="28"/>
          <w:highlight w:val="none"/>
        </w:rPr>
        <w:t>%。主要原因：人员调动等原因导致人员经费</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；外聘人员经费及小而美衍生项目导致公用经费</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；技防</w:t>
      </w:r>
      <w:r>
        <w:rPr>
          <w:rFonts w:hint="eastAsia" w:ascii="仿宋_GB2312" w:eastAsia="仿宋_GB2312"/>
          <w:color w:val="auto"/>
          <w:sz w:val="28"/>
          <w:szCs w:val="28"/>
          <w:highlight w:val="none"/>
          <w:lang w:val="en-US" w:eastAsia="zh-CN"/>
        </w:rPr>
        <w:t>方面</w:t>
      </w:r>
      <w:r>
        <w:rPr>
          <w:rFonts w:hint="eastAsia" w:ascii="仿宋_GB2312" w:eastAsia="仿宋_GB2312"/>
          <w:color w:val="auto"/>
          <w:sz w:val="28"/>
          <w:szCs w:val="28"/>
          <w:highlight w:val="none"/>
        </w:rPr>
        <w:t>导致资本性支出</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；三免两补政策落实导致助学金经费增加。</w:t>
      </w:r>
    </w:p>
    <w:p w14:paraId="07AADC04">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“进修及培训”（款）202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4.88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4.87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99.7</w:t>
      </w:r>
      <w:r>
        <w:rPr>
          <w:rFonts w:hint="eastAsia" w:ascii="仿宋_GB2312" w:eastAsia="仿宋_GB2312"/>
          <w:color w:val="auto"/>
          <w:sz w:val="28"/>
          <w:szCs w:val="28"/>
          <w:highlight w:val="none"/>
        </w:rPr>
        <w:t>%。主要原因：培训费按实际支出。</w:t>
      </w:r>
    </w:p>
    <w:p w14:paraId="40C7418C">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2、“社会保障和就业支出”(类)202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387.93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418.49</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107.88</w:t>
      </w:r>
      <w:r>
        <w:rPr>
          <w:rFonts w:hint="eastAsia" w:ascii="仿宋_GB2312" w:eastAsia="仿宋_GB2312"/>
          <w:color w:val="auto"/>
          <w:sz w:val="28"/>
          <w:szCs w:val="28"/>
          <w:highlight w:val="none"/>
        </w:rPr>
        <w:t>%。其中：</w:t>
      </w:r>
    </w:p>
    <w:p w14:paraId="1E27E8AF">
      <w:pPr>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rPr>
        <w:t>“行政事业单位养老支出”（款）202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387.93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368.12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94.89</w:t>
      </w:r>
      <w:r>
        <w:rPr>
          <w:rFonts w:hint="eastAsia" w:ascii="仿宋_GB2312" w:eastAsia="仿宋_GB2312"/>
          <w:color w:val="auto"/>
          <w:sz w:val="28"/>
          <w:szCs w:val="28"/>
          <w:highlight w:val="none"/>
        </w:rPr>
        <w:t>%。主要原因：年初预算系统计算口径问题，导致机关养老保险及职业年金预算数据不准确；补发一次性退休补贴导致离退休费</w:t>
      </w:r>
      <w:r>
        <w:rPr>
          <w:rFonts w:hint="eastAsia" w:ascii="仿宋_GB2312" w:eastAsia="仿宋_GB2312"/>
          <w:color w:val="auto"/>
          <w:sz w:val="28"/>
          <w:szCs w:val="28"/>
          <w:highlight w:val="none"/>
          <w:lang w:val="en-US" w:eastAsia="zh-CN"/>
        </w:rPr>
        <w:t>导致经费增加。</w:t>
      </w:r>
    </w:p>
    <w:p w14:paraId="707B872A">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“抚恤”（款）2024年度202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50.37</w:t>
      </w:r>
      <w:r>
        <w:rPr>
          <w:rFonts w:hint="eastAsia" w:ascii="仿宋_GB2312" w:eastAsia="仿宋_GB2312"/>
          <w:color w:val="auto"/>
          <w:sz w:val="28"/>
          <w:szCs w:val="28"/>
          <w:highlight w:val="none"/>
        </w:rPr>
        <w:t>万元。主要原因：退休教师去世导致抚恤金</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w:t>
      </w:r>
    </w:p>
    <w:p w14:paraId="4DFD4F91">
      <w:pPr>
        <w:numPr>
          <w:ilvl w:val="0"/>
          <w:numId w:val="1"/>
        </w:num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“卫生健康支出”(类)202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175.93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185.48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105.43</w:t>
      </w:r>
      <w:r>
        <w:rPr>
          <w:rFonts w:hint="eastAsia" w:ascii="仿宋_GB2312" w:eastAsia="仿宋_GB2312"/>
          <w:color w:val="auto"/>
          <w:sz w:val="28"/>
          <w:szCs w:val="28"/>
          <w:highlight w:val="none"/>
        </w:rPr>
        <w:t>%。其中：</w:t>
      </w:r>
    </w:p>
    <w:p w14:paraId="09E24A84">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“行政事业单位医疗”（款）202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175.93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185.48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105.43</w:t>
      </w:r>
      <w:r>
        <w:rPr>
          <w:rFonts w:hint="eastAsia" w:ascii="仿宋_GB2312" w:eastAsia="仿宋_GB2312"/>
          <w:color w:val="auto"/>
          <w:sz w:val="28"/>
          <w:szCs w:val="28"/>
          <w:highlight w:val="none"/>
        </w:rPr>
        <w:t>%。主要原因：弥补人员缺口</w:t>
      </w:r>
      <w:r>
        <w:rPr>
          <w:rFonts w:hint="eastAsia" w:ascii="仿宋_GB2312" w:eastAsia="仿宋_GB2312"/>
          <w:color w:val="auto"/>
          <w:sz w:val="28"/>
          <w:szCs w:val="28"/>
          <w:highlight w:val="none"/>
          <w:lang w:val="en-US" w:eastAsia="zh-CN"/>
        </w:rPr>
        <w:t>导致经费增加</w:t>
      </w:r>
      <w:r>
        <w:rPr>
          <w:rFonts w:hint="eastAsia" w:ascii="仿宋_GB2312" w:eastAsia="仿宋_GB2312"/>
          <w:color w:val="auto"/>
          <w:sz w:val="28"/>
          <w:szCs w:val="28"/>
          <w:highlight w:val="none"/>
        </w:rPr>
        <w:t>。</w:t>
      </w:r>
    </w:p>
    <w:p w14:paraId="49515F74">
      <w:pPr>
        <w:numPr>
          <w:ilvl w:val="0"/>
          <w:numId w:val="1"/>
        </w:num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“住房保障支出”(类)202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357.55</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366.67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102.55</w:t>
      </w:r>
      <w:r>
        <w:rPr>
          <w:rFonts w:hint="eastAsia" w:ascii="仿宋_GB2312" w:eastAsia="仿宋_GB2312"/>
          <w:color w:val="auto"/>
          <w:sz w:val="28"/>
          <w:szCs w:val="28"/>
          <w:highlight w:val="none"/>
        </w:rPr>
        <w:t>%。其中：</w:t>
      </w:r>
    </w:p>
    <w:p w14:paraId="51C7B324">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“住房改革支出”（款）202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357.55</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366.67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102.55</w:t>
      </w:r>
      <w:r>
        <w:rPr>
          <w:rFonts w:hint="eastAsia" w:ascii="仿宋_GB2312" w:eastAsia="仿宋_GB2312"/>
          <w:color w:val="auto"/>
          <w:sz w:val="28"/>
          <w:szCs w:val="28"/>
          <w:highlight w:val="none"/>
        </w:rPr>
        <w:t>%。</w:t>
      </w:r>
    </w:p>
    <w:p w14:paraId="3601970B">
      <w:pPr>
        <w:spacing w:line="580" w:lineRule="exact"/>
        <w:ind w:firstLine="560" w:firstLineChars="200"/>
      </w:pP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主要用于支付在职</w:t>
      </w:r>
      <w:r>
        <w:rPr>
          <w:rFonts w:hint="eastAsia" w:ascii="仿宋_GB2312" w:eastAsia="仿宋_GB2312"/>
          <w:color w:val="auto"/>
          <w:sz w:val="28"/>
          <w:szCs w:val="28"/>
          <w:highlight w:val="none"/>
        </w:rPr>
        <w:t>人员提租补贴</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住房补贴</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住房公积金。</w:t>
      </w:r>
    </w:p>
    <w:p w14:paraId="17322B33">
      <w:pPr>
        <w:spacing w:line="580" w:lineRule="exact"/>
        <w:ind w:firstLine="560" w:firstLineChars="200"/>
        <w:rPr>
          <w:rFonts w:hint="eastAsia" w:ascii="仿宋_GB2312" w:eastAsia="仿宋_GB2312"/>
          <w:color w:val="auto"/>
          <w:sz w:val="28"/>
          <w:szCs w:val="28"/>
          <w:highlight w:val="none"/>
        </w:rPr>
      </w:pPr>
      <w:r>
        <w:rPr>
          <w:rFonts w:hint="eastAsia" w:ascii="黑体" w:eastAsia="黑体"/>
          <w:b/>
          <w:color w:val="auto"/>
          <w:sz w:val="28"/>
          <w:szCs w:val="28"/>
          <w:highlight w:val="none"/>
        </w:rPr>
        <w:t>五、政府性基金预算财政拨款支出决算情况说明</w:t>
      </w:r>
    </w:p>
    <w:p w14:paraId="200F8E8B">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（一）政府性基金预算财政拨款支出决算总体情况</w:t>
      </w:r>
    </w:p>
    <w:p w14:paraId="0FDC2A30">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2024年度政府性基金预算财政拨款支出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w:t>
      </w:r>
    </w:p>
    <w:p w14:paraId="0C4B360D">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（二）政府性基金预算财政拨款支出决算具体情况</w:t>
      </w:r>
    </w:p>
    <w:p w14:paraId="3C65568E">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本单位无政府性基金预算情况。</w:t>
      </w:r>
    </w:p>
    <w:p w14:paraId="778FC156">
      <w:pPr>
        <w:spacing w:line="580" w:lineRule="exact"/>
        <w:ind w:firstLine="560" w:firstLineChars="200"/>
        <w:rPr>
          <w:rFonts w:hint="eastAsia" w:ascii="黑体" w:eastAsia="黑体"/>
          <w:b/>
          <w:color w:val="auto"/>
          <w:sz w:val="28"/>
          <w:szCs w:val="28"/>
          <w:highlight w:val="none"/>
        </w:rPr>
      </w:pPr>
      <w:r>
        <w:rPr>
          <w:rFonts w:hint="eastAsia" w:ascii="黑体" w:eastAsia="黑体"/>
          <w:b/>
          <w:color w:val="auto"/>
          <w:sz w:val="28"/>
          <w:szCs w:val="28"/>
          <w:highlight w:val="none"/>
        </w:rPr>
        <w:t>六、国有资本经营预算财</w:t>
      </w:r>
      <w:r>
        <w:rPr>
          <w:rFonts w:ascii="黑体" w:eastAsia="黑体"/>
          <w:b/>
          <w:color w:val="auto"/>
          <w:sz w:val="28"/>
          <w:szCs w:val="28"/>
          <w:highlight w:val="none"/>
        </w:rPr>
        <w:t>政拨款</w:t>
      </w:r>
      <w:r>
        <w:rPr>
          <w:rFonts w:hint="eastAsia" w:ascii="黑体" w:eastAsia="黑体"/>
          <w:b/>
          <w:color w:val="auto"/>
          <w:sz w:val="28"/>
          <w:szCs w:val="28"/>
          <w:highlight w:val="none"/>
        </w:rPr>
        <w:t>收支情况</w:t>
      </w:r>
    </w:p>
    <w:p w14:paraId="322D8C11">
      <w:pPr>
        <w:ind w:firstLine="537" w:firstLineChars="192"/>
        <w:rPr>
          <w:rFonts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年度国有资本经营预算财政</w:t>
      </w:r>
      <w:r>
        <w:rPr>
          <w:rFonts w:ascii="仿宋_GB2312" w:eastAsia="仿宋_GB2312"/>
          <w:color w:val="auto"/>
          <w:sz w:val="28"/>
          <w:szCs w:val="28"/>
          <w:highlight w:val="none"/>
        </w:rPr>
        <w:t>拨款</w:t>
      </w:r>
      <w:r>
        <w:rPr>
          <w:rFonts w:hint="eastAsia" w:ascii="仿宋_GB2312" w:eastAsia="仿宋_GB2312"/>
          <w:color w:val="auto"/>
          <w:sz w:val="28"/>
          <w:szCs w:val="28"/>
          <w:highlight w:val="none"/>
        </w:rPr>
        <w:t>收入总</w:t>
      </w:r>
      <w:r>
        <w:rPr>
          <w:rFonts w:ascii="仿宋_GB2312" w:eastAsia="仿宋_GB2312"/>
          <w:color w:val="auto"/>
          <w:sz w:val="28"/>
          <w:szCs w:val="28"/>
          <w:highlight w:val="none"/>
        </w:rPr>
        <w:t>计0</w:t>
      </w:r>
      <w:r>
        <w:rPr>
          <w:rFonts w:hint="eastAsia" w:ascii="仿宋_GB2312" w:eastAsia="仿宋_GB2312"/>
          <w:color w:val="auto"/>
          <w:sz w:val="28"/>
          <w:szCs w:val="28"/>
          <w:highlight w:val="none"/>
        </w:rPr>
        <w:t>万元，国有资本经营预算财政</w:t>
      </w:r>
      <w:r>
        <w:rPr>
          <w:rFonts w:ascii="仿宋_GB2312" w:eastAsia="仿宋_GB2312"/>
          <w:color w:val="auto"/>
          <w:sz w:val="28"/>
          <w:szCs w:val="28"/>
          <w:highlight w:val="none"/>
        </w:rPr>
        <w:t>拨款</w:t>
      </w:r>
      <w:r>
        <w:rPr>
          <w:rFonts w:hint="eastAsia" w:ascii="仿宋_GB2312" w:eastAsia="仿宋_GB2312"/>
          <w:color w:val="auto"/>
          <w:sz w:val="28"/>
          <w:szCs w:val="28"/>
          <w:highlight w:val="none"/>
        </w:rPr>
        <w:t>支出总</w:t>
      </w:r>
      <w:r>
        <w:rPr>
          <w:rFonts w:ascii="仿宋_GB2312" w:eastAsia="仿宋_GB2312"/>
          <w:color w:val="auto"/>
          <w:sz w:val="28"/>
          <w:szCs w:val="28"/>
          <w:highlight w:val="none"/>
        </w:rPr>
        <w:t>计0</w:t>
      </w:r>
      <w:r>
        <w:rPr>
          <w:rFonts w:hint="eastAsia" w:ascii="仿宋_GB2312" w:eastAsia="仿宋_GB2312"/>
          <w:color w:val="auto"/>
          <w:sz w:val="28"/>
          <w:szCs w:val="28"/>
          <w:highlight w:val="none"/>
        </w:rPr>
        <w:t>万元。</w:t>
      </w:r>
    </w:p>
    <w:p w14:paraId="03583FAD">
      <w:pPr>
        <w:spacing w:line="580" w:lineRule="exact"/>
        <w:ind w:firstLine="548" w:firstLineChars="196"/>
        <w:rPr>
          <w:rFonts w:hint="eastAsia" w:ascii="黑体" w:eastAsia="黑体"/>
          <w:color w:val="auto"/>
          <w:sz w:val="28"/>
          <w:szCs w:val="28"/>
          <w:highlight w:val="none"/>
        </w:rPr>
      </w:pPr>
      <w:r>
        <w:rPr>
          <w:rFonts w:hint="eastAsia" w:ascii="黑体" w:eastAsia="黑体"/>
          <w:b/>
          <w:color w:val="auto"/>
          <w:sz w:val="28"/>
          <w:szCs w:val="28"/>
          <w:highlight w:val="none"/>
        </w:rPr>
        <w:t>七、财政拨款基本支出决算情况说明</w:t>
      </w:r>
    </w:p>
    <w:p w14:paraId="62921E75">
      <w:pPr>
        <w:tabs>
          <w:tab w:val="center" w:pos="6979"/>
        </w:tabs>
        <w:spacing w:line="580" w:lineRule="exact"/>
        <w:ind w:firstLine="548" w:firstLineChars="196"/>
        <w:rPr>
          <w:rFonts w:hint="eastAsia" w:ascii="黑体" w:eastAsia="黑体"/>
          <w:b/>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年度使用一般公共预算财政拨款安排基本支出</w:t>
      </w:r>
      <w:r>
        <w:rPr>
          <w:rFonts w:ascii="仿宋_GB2312" w:eastAsia="仿宋_GB2312"/>
          <w:color w:val="auto"/>
          <w:sz w:val="28"/>
          <w:szCs w:val="28"/>
          <w:highlight w:val="none"/>
        </w:rPr>
        <w:t>2720.21</w:t>
      </w:r>
      <w:r>
        <w:rPr>
          <w:rFonts w:hint="eastAsia" w:ascii="仿宋_GB2312" w:eastAsia="仿宋_GB2312"/>
          <w:color w:val="auto"/>
          <w:sz w:val="28"/>
          <w:szCs w:val="28"/>
          <w:highlight w:val="none"/>
        </w:rPr>
        <w:t>万元，使用政府性基金财政拨款安排基本支出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万元，（1）工资福利支出包括基本工资</w:t>
      </w:r>
      <w:r>
        <w:rPr>
          <w:rFonts w:ascii="仿宋_GB2312" w:eastAsia="仿宋_GB2312"/>
          <w:color w:val="auto"/>
          <w:sz w:val="28"/>
          <w:szCs w:val="28"/>
          <w:highlight w:val="none"/>
        </w:rPr>
        <w:t>、津贴补贴、奖金、伙食补助费、绩效工资、</w:t>
      </w:r>
      <w:r>
        <w:rPr>
          <w:rFonts w:hint="eastAsia" w:ascii="仿宋_GB2312" w:eastAsia="仿宋_GB2312"/>
          <w:color w:val="auto"/>
          <w:sz w:val="28"/>
          <w:szCs w:val="28"/>
          <w:highlight w:val="none"/>
        </w:rPr>
        <w:t>其他</w:t>
      </w:r>
      <w:r>
        <w:rPr>
          <w:rFonts w:ascii="仿宋_GB2312" w:eastAsia="仿宋_GB2312"/>
          <w:color w:val="auto"/>
          <w:sz w:val="28"/>
          <w:szCs w:val="28"/>
          <w:highlight w:val="none"/>
        </w:rPr>
        <w:t>社会保障缴费、其他工资福利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；（2）商品和服务支出包括</w:t>
      </w:r>
      <w:r>
        <w:rPr>
          <w:rFonts w:ascii="仿宋_GB2312" w:eastAsia="仿宋_GB2312"/>
          <w:color w:val="auto"/>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；（3）对个人和家庭补助支出包括</w:t>
      </w:r>
      <w:r>
        <w:rPr>
          <w:rFonts w:ascii="仿宋_GB2312" w:eastAsia="仿宋_GB2312"/>
          <w:color w:val="auto"/>
          <w:sz w:val="28"/>
          <w:szCs w:val="28"/>
          <w:highlight w:val="none"/>
        </w:rPr>
        <w:t>离休费、退休费、抚恤金、生活补助、</w:t>
      </w:r>
      <w:r>
        <w:rPr>
          <w:rFonts w:hint="eastAsia" w:ascii="仿宋_GB2312" w:eastAsia="仿宋_GB2312"/>
          <w:color w:val="auto"/>
          <w:sz w:val="28"/>
          <w:szCs w:val="28"/>
          <w:highlight w:val="none"/>
        </w:rPr>
        <w:t>救济费</w:t>
      </w:r>
      <w:r>
        <w:rPr>
          <w:rFonts w:ascii="仿宋_GB2312" w:eastAsia="仿宋_GB2312"/>
          <w:color w:val="auto"/>
          <w:sz w:val="28"/>
          <w:szCs w:val="28"/>
          <w:highlight w:val="none"/>
        </w:rPr>
        <w:t>、医疗费</w:t>
      </w:r>
      <w:r>
        <w:rPr>
          <w:rFonts w:hint="eastAsia" w:ascii="仿宋_GB2312" w:eastAsia="仿宋_GB2312"/>
          <w:color w:val="auto"/>
          <w:sz w:val="28"/>
          <w:szCs w:val="28"/>
          <w:highlight w:val="none"/>
        </w:rPr>
        <w:t>补助</w:t>
      </w:r>
      <w:r>
        <w:rPr>
          <w:rFonts w:ascii="仿宋_GB2312" w:eastAsia="仿宋_GB2312"/>
          <w:color w:val="auto"/>
          <w:sz w:val="28"/>
          <w:szCs w:val="28"/>
          <w:highlight w:val="none"/>
        </w:rPr>
        <w:t>、助学金、奖励金</w:t>
      </w:r>
      <w:r>
        <w:rPr>
          <w:rFonts w:hint="eastAsia" w:ascii="仿宋_GB2312" w:eastAsia="仿宋_GB2312"/>
          <w:color w:val="auto"/>
          <w:sz w:val="28"/>
          <w:szCs w:val="28"/>
          <w:highlight w:val="none"/>
        </w:rPr>
        <w:t>、</w:t>
      </w:r>
      <w:r>
        <w:rPr>
          <w:rFonts w:ascii="仿宋_GB2312" w:eastAsia="仿宋_GB2312"/>
          <w:color w:val="auto"/>
          <w:sz w:val="28"/>
          <w:szCs w:val="28"/>
          <w:highlight w:val="none"/>
        </w:rPr>
        <w:t>其他对个人和家庭的补助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。（4）其他资本性支出包括</w:t>
      </w:r>
      <w:r>
        <w:rPr>
          <w:rFonts w:ascii="仿宋_GB2312" w:eastAsia="仿宋_GB2312"/>
          <w:color w:val="auto"/>
          <w:sz w:val="28"/>
          <w:szCs w:val="28"/>
          <w:highlight w:val="none"/>
        </w:rPr>
        <w:t>办公设备购置、专用设备购置</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w:t>
      </w:r>
    </w:p>
    <w:p w14:paraId="3449911E">
      <w:pPr>
        <w:autoSpaceDE w:val="0"/>
        <w:autoSpaceDN w:val="0"/>
        <w:adjustRightInd w:val="0"/>
        <w:spacing w:line="580" w:lineRule="exact"/>
        <w:jc w:val="both"/>
        <w:rPr>
          <w:rFonts w:hint="eastAsia" w:ascii="宋体" w:hAnsi="宋体"/>
          <w:b/>
          <w:color w:val="auto"/>
          <w:spacing w:val="40"/>
          <w:sz w:val="32"/>
          <w:szCs w:val="32"/>
          <w:highlight w:val="none"/>
        </w:rPr>
      </w:pPr>
      <w:r>
        <w:rPr>
          <w:rFonts w:ascii="仿宋_GB2312" w:eastAsia="仿宋_GB2312"/>
          <w:b/>
          <w:color w:val="auto"/>
          <w:sz w:val="32"/>
          <w:szCs w:val="32"/>
          <w:highlight w:val="none"/>
        </w:rPr>
        <w:tab/>
      </w:r>
    </w:p>
    <w:p w14:paraId="04BFDFC2">
      <w:pPr>
        <w:tabs>
          <w:tab w:val="center" w:pos="6979"/>
        </w:tabs>
        <w:jc w:val="center"/>
        <w:rPr>
          <w:rFonts w:hint="eastAsia" w:ascii="宋体" w:hAnsi="宋体" w:cs="宋体"/>
          <w:b/>
          <w:color w:val="auto"/>
          <w:spacing w:val="40"/>
          <w:kern w:val="0"/>
          <w:sz w:val="32"/>
          <w:szCs w:val="32"/>
          <w:highlight w:val="none"/>
        </w:rPr>
      </w:pPr>
      <w:r>
        <w:rPr>
          <w:rFonts w:hint="eastAsia" w:ascii="宋体" w:hAnsi="宋体" w:cs="宋体"/>
          <w:b/>
          <w:bCs/>
          <w:color w:val="auto"/>
          <w:spacing w:val="40"/>
          <w:kern w:val="0"/>
          <w:sz w:val="32"/>
          <w:szCs w:val="32"/>
          <w:highlight w:val="none"/>
        </w:rPr>
        <w:t>第三部分</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w:t>
      </w:r>
      <w:r>
        <w:rPr>
          <w:rFonts w:hint="eastAsia" w:ascii="宋体" w:hAnsi="宋体" w:cs="宋体"/>
          <w:b/>
          <w:color w:val="auto"/>
          <w:spacing w:val="40"/>
          <w:kern w:val="0"/>
          <w:sz w:val="32"/>
          <w:szCs w:val="32"/>
          <w:highlight w:val="none"/>
        </w:rPr>
        <w:t>其他重要事项的情况说明</w:t>
      </w:r>
    </w:p>
    <w:p w14:paraId="351642CF">
      <w:pPr>
        <w:spacing w:line="560" w:lineRule="exact"/>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一、“三公”经费财政拨款决算情况</w:t>
      </w:r>
    </w:p>
    <w:p w14:paraId="5540DCF6">
      <w:pPr>
        <w:spacing w:line="560" w:lineRule="exact"/>
        <w:ind w:firstLine="600"/>
        <w:rPr>
          <w:rFonts w:ascii="仿宋_GB2312" w:eastAsia="仿宋_GB2312"/>
          <w:color w:val="auto"/>
          <w:sz w:val="28"/>
          <w:szCs w:val="28"/>
          <w:highlight w:val="none"/>
        </w:rPr>
      </w:pPr>
      <w:r>
        <w:rPr>
          <w:rFonts w:hint="eastAsia" w:ascii="仿宋_GB2312" w:eastAsia="仿宋_GB2312"/>
          <w:color w:val="auto"/>
          <w:sz w:val="28"/>
          <w:szCs w:val="28"/>
          <w:highlight w:val="none"/>
        </w:rPr>
        <w:t>“三公”经费包括本单位所属</w:t>
      </w:r>
      <w:r>
        <w:rPr>
          <w:rFonts w:hint="eastAsia" w:ascii="仿宋_GB2312" w:eastAsia="仿宋_GB2312"/>
          <w:bCs/>
          <w:color w:val="auto"/>
          <w:sz w:val="28"/>
          <w:szCs w:val="28"/>
          <w:highlight w:val="none"/>
        </w:rPr>
        <w:t>1个</w:t>
      </w:r>
      <w:r>
        <w:rPr>
          <w:rFonts w:hint="eastAsia" w:ascii="仿宋_GB2312" w:eastAsia="仿宋_GB2312"/>
          <w:color w:val="auto"/>
          <w:sz w:val="28"/>
          <w:szCs w:val="28"/>
          <w:highlight w:val="none"/>
        </w:rPr>
        <w:t>事业单位。2024年度“三公”经费财政拨款决算数</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万元，比2024年度“三公”经费财政拨款年初预算</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万元。其中：</w:t>
      </w:r>
    </w:p>
    <w:p w14:paraId="35986803">
      <w:pPr>
        <w:spacing w:line="560" w:lineRule="exact"/>
        <w:ind w:firstLine="600"/>
        <w:rPr>
          <w:rFonts w:ascii="仿宋_GB2312" w:eastAsiaTheme="minorEastAsia"/>
          <w:color w:val="auto"/>
          <w:sz w:val="28"/>
          <w:szCs w:val="28"/>
          <w:highlight w:val="none"/>
        </w:rPr>
      </w:pPr>
      <w:r>
        <w:rPr>
          <w:rFonts w:hint="eastAsia" w:ascii="仿宋_GB2312" w:eastAsia="仿宋_GB2312"/>
          <w:color w:val="auto"/>
          <w:sz w:val="28"/>
          <w:szCs w:val="28"/>
          <w:highlight w:val="none"/>
        </w:rPr>
        <w:t>1.因公出国（境）费用。本单位无此项经费。</w:t>
      </w:r>
    </w:p>
    <w:p w14:paraId="04062DCE">
      <w:pPr>
        <w:spacing w:line="560" w:lineRule="exact"/>
        <w:ind w:firstLine="600"/>
        <w:rPr>
          <w:rFonts w:ascii="仿宋_GB2312" w:eastAsiaTheme="minorEastAsia"/>
          <w:color w:val="auto"/>
          <w:sz w:val="28"/>
          <w:szCs w:val="28"/>
          <w:highlight w:val="none"/>
        </w:rPr>
      </w:pPr>
      <w:r>
        <w:rPr>
          <w:rFonts w:hint="eastAsia" w:ascii="仿宋_GB2312" w:eastAsia="仿宋_GB2312"/>
          <w:color w:val="auto"/>
          <w:sz w:val="28"/>
          <w:szCs w:val="28"/>
          <w:highlight w:val="none"/>
        </w:rPr>
        <w:t>2.公务接待费。本单位无此项经费。</w:t>
      </w:r>
    </w:p>
    <w:p w14:paraId="0D6D3E8D">
      <w:pPr>
        <w:spacing w:line="560" w:lineRule="exact"/>
        <w:ind w:firstLine="600"/>
        <w:rPr>
          <w:rFonts w:ascii="仿宋_GB2312" w:eastAsia="仿宋_GB2312"/>
          <w:color w:val="auto"/>
          <w:sz w:val="28"/>
          <w:szCs w:val="28"/>
          <w:highlight w:val="none"/>
        </w:rPr>
      </w:pPr>
      <w:r>
        <w:rPr>
          <w:rFonts w:hint="eastAsia" w:ascii="仿宋_GB2312" w:eastAsia="仿宋_GB2312"/>
          <w:color w:val="auto"/>
          <w:sz w:val="28"/>
          <w:szCs w:val="28"/>
          <w:highlight w:val="none"/>
        </w:rPr>
        <w:t>3.公务用车购置及运行维护费。本单位无此项经费。</w:t>
      </w:r>
    </w:p>
    <w:p w14:paraId="6B9D9387">
      <w:pPr>
        <w:spacing w:line="560" w:lineRule="exact"/>
        <w:ind w:firstLine="560" w:firstLineChars="200"/>
        <w:rPr>
          <w:rFonts w:hint="eastAsia" w:ascii="仿宋_GB2312" w:eastAsia="仿宋_GB2312"/>
          <w:color w:val="auto"/>
          <w:sz w:val="28"/>
          <w:szCs w:val="28"/>
          <w:highlight w:val="none"/>
        </w:rPr>
      </w:pPr>
    </w:p>
    <w:p w14:paraId="180865BD">
      <w:pPr>
        <w:tabs>
          <w:tab w:val="center" w:pos="6979"/>
        </w:tabs>
        <w:ind w:firstLine="554" w:firstLineChars="198"/>
        <w:rPr>
          <w:rFonts w:hint="eastAsia" w:ascii="黑体" w:eastAsia="黑体"/>
          <w:color w:val="auto"/>
          <w:sz w:val="28"/>
          <w:szCs w:val="28"/>
          <w:highlight w:val="none"/>
        </w:rPr>
      </w:pPr>
      <w:r>
        <w:rPr>
          <w:rFonts w:hint="eastAsia" w:ascii="黑体" w:eastAsia="黑体"/>
          <w:color w:val="auto"/>
          <w:sz w:val="28"/>
          <w:szCs w:val="28"/>
          <w:highlight w:val="none"/>
        </w:rPr>
        <w:t>二、机关运行经费支出情况</w:t>
      </w:r>
    </w:p>
    <w:p w14:paraId="6908E901">
      <w:pPr>
        <w:ind w:left="540"/>
        <w:rPr>
          <w:rFonts w:ascii="仿宋_GB2312" w:eastAsia="仿宋_GB2312"/>
          <w:color w:val="auto"/>
          <w:sz w:val="28"/>
          <w:szCs w:val="28"/>
          <w:highlight w:val="none"/>
        </w:rPr>
      </w:pPr>
      <w:r>
        <w:rPr>
          <w:rFonts w:hint="eastAsia" w:ascii="仿宋_GB2312" w:eastAsia="仿宋_GB2312"/>
          <w:color w:val="auto"/>
          <w:sz w:val="28"/>
          <w:szCs w:val="28"/>
          <w:highlight w:val="none"/>
        </w:rPr>
        <w:t>我单位不在机关运行经费统计范围之内。</w:t>
      </w:r>
    </w:p>
    <w:p w14:paraId="772ACE8D">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14:paraId="15228DDF">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2024年度政府采购支出总额</w:t>
      </w:r>
      <w:r>
        <w:rPr>
          <w:rFonts w:ascii="仿宋_GB2312" w:eastAsia="仿宋_GB2312"/>
          <w:color w:val="auto"/>
          <w:sz w:val="28"/>
          <w:szCs w:val="28"/>
          <w:highlight w:val="none"/>
        </w:rPr>
        <w:t>13.67</w:t>
      </w:r>
      <w:r>
        <w:rPr>
          <w:rFonts w:hint="eastAsia" w:ascii="仿宋_GB2312" w:eastAsia="仿宋_GB2312"/>
          <w:color w:val="auto"/>
          <w:sz w:val="28"/>
          <w:szCs w:val="28"/>
          <w:highlight w:val="none"/>
        </w:rPr>
        <w:t>万元，其中：政府采购货物支出</w:t>
      </w:r>
      <w:r>
        <w:rPr>
          <w:rFonts w:ascii="仿宋_GB2312" w:eastAsia="仿宋_GB2312"/>
          <w:color w:val="auto"/>
          <w:sz w:val="28"/>
          <w:szCs w:val="28"/>
          <w:highlight w:val="none"/>
        </w:rPr>
        <w:t>0.47</w:t>
      </w:r>
      <w:r>
        <w:rPr>
          <w:rFonts w:hint="eastAsia" w:ascii="仿宋_GB2312" w:eastAsia="仿宋_GB2312"/>
          <w:color w:val="auto"/>
          <w:sz w:val="28"/>
          <w:szCs w:val="28"/>
          <w:highlight w:val="none"/>
        </w:rPr>
        <w:t>万元，政府采购工程支出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万元，政府采购服务支出</w:t>
      </w:r>
      <w:r>
        <w:rPr>
          <w:rFonts w:ascii="仿宋_GB2312" w:eastAsia="仿宋_GB2312"/>
          <w:color w:val="auto"/>
          <w:sz w:val="28"/>
          <w:szCs w:val="28"/>
          <w:highlight w:val="none"/>
        </w:rPr>
        <w:t>13.2</w:t>
      </w:r>
      <w:r>
        <w:rPr>
          <w:rFonts w:hint="eastAsia" w:ascii="仿宋_GB2312" w:eastAsia="仿宋_GB2312"/>
          <w:color w:val="auto"/>
          <w:sz w:val="28"/>
          <w:szCs w:val="28"/>
          <w:highlight w:val="none"/>
        </w:rPr>
        <w:t>万元。授予中小企业合同金额</w:t>
      </w:r>
      <w:r>
        <w:rPr>
          <w:rFonts w:ascii="仿宋_GB2312" w:eastAsia="仿宋_GB2312"/>
          <w:color w:val="auto"/>
          <w:sz w:val="28"/>
          <w:szCs w:val="28"/>
          <w:highlight w:val="none"/>
        </w:rPr>
        <w:t>13.67</w:t>
      </w:r>
      <w:r>
        <w:rPr>
          <w:rFonts w:hint="eastAsia" w:ascii="仿宋_GB2312" w:eastAsia="仿宋_GB2312"/>
          <w:color w:val="auto"/>
          <w:sz w:val="28"/>
          <w:szCs w:val="28"/>
          <w:highlight w:val="none"/>
        </w:rPr>
        <w:t>万元，占政府采购支出总额的100%，其中：授予小微企业合同金额13.67万元，占政府采购支出总额的</w:t>
      </w:r>
      <w:r>
        <w:rPr>
          <w:rFonts w:ascii="仿宋_GB2312" w:eastAsia="仿宋_GB2312"/>
          <w:color w:val="auto"/>
          <w:sz w:val="28"/>
          <w:szCs w:val="28"/>
          <w:highlight w:val="none"/>
        </w:rPr>
        <w:t>100</w:t>
      </w:r>
      <w:r>
        <w:rPr>
          <w:rFonts w:hint="eastAsia" w:ascii="仿宋_GB2312" w:eastAsia="仿宋_GB2312"/>
          <w:color w:val="auto"/>
          <w:sz w:val="28"/>
          <w:szCs w:val="28"/>
          <w:highlight w:val="none"/>
        </w:rPr>
        <w:t>%。</w:t>
      </w:r>
    </w:p>
    <w:p w14:paraId="5C8B146D">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四、国有资产占用情况</w:t>
      </w:r>
    </w:p>
    <w:p w14:paraId="139CD601">
      <w:pPr>
        <w:ind w:firstLine="560" w:firstLineChars="200"/>
        <w:rPr>
          <w:rFonts w:ascii="仿宋_GB2312" w:eastAsia="仿宋_GB2312"/>
          <w:color w:val="auto"/>
          <w:sz w:val="32"/>
          <w:szCs w:val="32"/>
          <w:highlight w:val="none"/>
        </w:rPr>
      </w:pPr>
      <w:r>
        <w:rPr>
          <w:rFonts w:hint="eastAsia" w:ascii="仿宋_GB2312" w:eastAsia="仿宋_GB2312"/>
          <w:color w:val="auto"/>
          <w:sz w:val="28"/>
          <w:szCs w:val="28"/>
          <w:highlight w:val="none"/>
        </w:rPr>
        <w:t>2024年度新购置车辆0台，共计0万元；新购置单位价值100万元（含）以上的设备0台（套），共计0万元。截至12月31日，北京市西城区什刹海小学共有车辆0台，共计0万元；单位价值100万元（含）以上的设备0台（套），共计0万元。</w:t>
      </w:r>
    </w:p>
    <w:p w14:paraId="353D0F31">
      <w:pPr>
        <w:ind w:firstLine="537" w:firstLineChars="192"/>
        <w:rPr>
          <w:rFonts w:ascii="黑体" w:eastAsia="黑体"/>
          <w:color w:val="auto"/>
          <w:sz w:val="28"/>
          <w:szCs w:val="28"/>
          <w:highlight w:val="none"/>
        </w:rPr>
      </w:pPr>
      <w:r>
        <w:rPr>
          <w:rFonts w:hint="eastAsia" w:ascii="黑体" w:eastAsia="黑体"/>
          <w:color w:val="auto"/>
          <w:sz w:val="28"/>
          <w:szCs w:val="28"/>
          <w:highlight w:val="none"/>
        </w:rPr>
        <w:t>五</w:t>
      </w:r>
      <w:r>
        <w:rPr>
          <w:rFonts w:ascii="黑体" w:eastAsia="黑体"/>
          <w:color w:val="auto"/>
          <w:sz w:val="28"/>
          <w:szCs w:val="28"/>
          <w:highlight w:val="none"/>
        </w:rPr>
        <w:t>、政府购买服务</w:t>
      </w:r>
      <w:r>
        <w:rPr>
          <w:rFonts w:hint="eastAsia" w:ascii="黑体" w:eastAsia="黑体"/>
          <w:color w:val="auto"/>
          <w:sz w:val="28"/>
          <w:szCs w:val="28"/>
          <w:highlight w:val="none"/>
        </w:rPr>
        <w:t>支出</w:t>
      </w:r>
      <w:r>
        <w:rPr>
          <w:rFonts w:ascii="黑体" w:eastAsia="黑体"/>
          <w:color w:val="auto"/>
          <w:sz w:val="28"/>
          <w:szCs w:val="28"/>
          <w:highlight w:val="none"/>
        </w:rPr>
        <w:t>说明</w:t>
      </w:r>
    </w:p>
    <w:p w14:paraId="5EAA1F90">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ascii="仿宋_GB2312" w:eastAsia="仿宋_GB2312"/>
          <w:color w:val="auto"/>
          <w:sz w:val="28"/>
          <w:szCs w:val="28"/>
          <w:highlight w:val="none"/>
        </w:rPr>
        <w:t>政府购买服务决算0</w:t>
      </w:r>
      <w:r>
        <w:rPr>
          <w:rFonts w:hint="eastAsia" w:ascii="仿宋_GB2312" w:eastAsia="仿宋_GB2312"/>
          <w:color w:val="auto"/>
          <w:sz w:val="28"/>
          <w:szCs w:val="28"/>
          <w:highlight w:val="none"/>
        </w:rPr>
        <w:t>万元。</w:t>
      </w:r>
    </w:p>
    <w:p w14:paraId="79CEF73E">
      <w:pPr>
        <w:ind w:firstLine="560" w:firstLineChars="200"/>
        <w:jc w:val="left"/>
        <w:rPr>
          <w:rFonts w:hint="eastAsia" w:ascii="仿宋_GB2312" w:eastAsia="仿宋_GB2312"/>
          <w:color w:val="auto"/>
          <w:sz w:val="32"/>
          <w:szCs w:val="32"/>
          <w:highlight w:val="none"/>
        </w:rPr>
      </w:pPr>
      <w:r>
        <w:rPr>
          <w:rFonts w:hint="eastAsia" w:ascii="黑体" w:eastAsia="黑体"/>
          <w:color w:val="auto"/>
          <w:sz w:val="28"/>
          <w:szCs w:val="28"/>
          <w:highlight w:val="none"/>
        </w:rPr>
        <w:t>六、</w:t>
      </w:r>
      <w:r>
        <w:rPr>
          <w:rFonts w:ascii="黑体" w:eastAsia="黑体"/>
          <w:color w:val="auto"/>
          <w:sz w:val="28"/>
          <w:szCs w:val="28"/>
          <w:highlight w:val="none"/>
        </w:rPr>
        <w:t>专业名词解释</w:t>
      </w:r>
    </w:p>
    <w:p w14:paraId="6A9938F9">
      <w:pPr>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1.基本支出：指为保障机构正常运转、完成日常工作任务而发生的人员支出和公用支出。</w:t>
      </w:r>
    </w:p>
    <w:p w14:paraId="132B890B">
      <w:pPr>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2.项目支出：指在基本支出之外为完成特定行政任务或事业发展目标所发生的支出。</w:t>
      </w:r>
    </w:p>
    <w:p w14:paraId="083523A5">
      <w:pPr>
        <w:ind w:firstLine="560" w:firstLineChars="200"/>
        <w:rPr>
          <w:rFonts w:ascii="仿宋_GB2312" w:hAnsi="宋体" w:eastAsia="仿宋_GB2312"/>
          <w:color w:val="auto"/>
          <w:sz w:val="28"/>
          <w:szCs w:val="28"/>
          <w:highlight w:val="none"/>
        </w:rPr>
      </w:pPr>
      <w:r>
        <w:rPr>
          <w:rFonts w:hint="eastAsia" w:ascii="仿宋_GB2312" w:eastAsia="仿宋_GB2312"/>
          <w:color w:val="auto"/>
          <w:sz w:val="28"/>
          <w:szCs w:val="28"/>
          <w:highlight w:val="none"/>
        </w:rPr>
        <w:t>3.“三公”经费：</w:t>
      </w:r>
      <w:r>
        <w:rPr>
          <w:rFonts w:hint="eastAsia" w:ascii="仿宋_GB2312" w:hAnsi="宋体" w:eastAsia="仿宋_GB2312"/>
          <w:color w:val="auto"/>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9A530B4">
      <w:pPr>
        <w:ind w:firstLine="560" w:firstLineChars="200"/>
        <w:rPr>
          <w:rFonts w:ascii="仿宋_GB2312" w:hAnsi="宋体" w:eastAsia="仿宋_GB2312"/>
          <w:color w:val="auto"/>
          <w:sz w:val="28"/>
          <w:szCs w:val="28"/>
          <w:highlight w:val="none"/>
        </w:rPr>
      </w:pPr>
      <w:r>
        <w:rPr>
          <w:rFonts w:hint="eastAsia" w:ascii="仿宋_GB2312" w:eastAsia="仿宋_GB2312"/>
          <w:color w:val="auto"/>
          <w:sz w:val="28"/>
          <w:szCs w:val="28"/>
          <w:highlight w:val="none"/>
        </w:rPr>
        <w:t>4</w:t>
      </w:r>
      <w:r>
        <w:rPr>
          <w:rFonts w:ascii="仿宋_GB2312" w:eastAsia="仿宋_GB2312"/>
          <w:color w:val="auto"/>
          <w:sz w:val="28"/>
          <w:szCs w:val="28"/>
          <w:highlight w:val="none"/>
        </w:rPr>
        <w:t>.</w:t>
      </w:r>
      <w:r>
        <w:rPr>
          <w:rFonts w:hint="eastAsia" w:ascii="仿宋_GB2312" w:eastAsia="仿宋_GB2312"/>
          <w:color w:val="auto"/>
          <w:sz w:val="28"/>
          <w:szCs w:val="28"/>
          <w:highlight w:val="none"/>
        </w:rPr>
        <w:t>机关运行经费：</w:t>
      </w:r>
      <w:r>
        <w:rPr>
          <w:rFonts w:hint="eastAsia" w:ascii="仿宋_GB2312" w:hAnsi="宋体" w:eastAsia="仿宋_GB2312"/>
          <w:color w:val="auto"/>
          <w:sz w:val="28"/>
          <w:szCs w:val="28"/>
          <w:highlight w:val="none"/>
        </w:rPr>
        <w:t>指为</w:t>
      </w:r>
      <w:r>
        <w:rPr>
          <w:rFonts w:ascii="仿宋_GB2312" w:hAnsi="宋体" w:eastAsia="仿宋_GB2312"/>
          <w:color w:val="auto"/>
          <w:sz w:val="28"/>
          <w:szCs w:val="28"/>
          <w:highlight w:val="none"/>
        </w:rPr>
        <w:t>保障</w:t>
      </w:r>
      <w:r>
        <w:rPr>
          <w:rFonts w:hint="eastAsia" w:ascii="仿宋_GB2312" w:hAnsi="宋体" w:eastAsia="仿宋_GB2312"/>
          <w:color w:val="auto"/>
          <w:sz w:val="28"/>
          <w:szCs w:val="28"/>
          <w:highlight w:val="none"/>
        </w:rPr>
        <w:t>行政单位（含参照公务员法管理事业单位）运行用于</w:t>
      </w:r>
      <w:r>
        <w:rPr>
          <w:rFonts w:ascii="仿宋_GB2312" w:hAnsi="宋体" w:eastAsia="仿宋_GB2312"/>
          <w:color w:val="auto"/>
          <w:sz w:val="28"/>
          <w:szCs w:val="28"/>
          <w:highlight w:val="none"/>
        </w:rPr>
        <w:t>购买货物和服务的各项资金</w:t>
      </w:r>
      <w:r>
        <w:rPr>
          <w:rFonts w:hint="eastAsia" w:ascii="仿宋_GB2312" w:hAnsi="宋体" w:eastAsia="仿宋_GB2312"/>
          <w:color w:val="auto"/>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14:paraId="514A5955">
      <w:pPr>
        <w:ind w:firstLine="420" w:firstLineChars="150"/>
        <w:rPr>
          <w:rFonts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政府采购</w:t>
      </w:r>
      <w:r>
        <w:rPr>
          <w:rFonts w:ascii="仿宋_GB2312" w:eastAsia="仿宋_GB2312"/>
          <w:color w:val="auto"/>
          <w:sz w:val="28"/>
          <w:szCs w:val="28"/>
          <w:highlight w:val="none"/>
        </w:rPr>
        <w:t>：</w:t>
      </w:r>
      <w:r>
        <w:rPr>
          <w:rFonts w:hint="eastAsia" w:ascii="仿宋_GB2312" w:eastAsia="仿宋_GB2312"/>
          <w:color w:val="auto"/>
          <w:sz w:val="28"/>
          <w:szCs w:val="28"/>
          <w:highlight w:val="none"/>
        </w:rPr>
        <w:t>指</w:t>
      </w:r>
      <w:r>
        <w:rPr>
          <w:rFonts w:ascii="仿宋_GB2312" w:eastAsia="仿宋_GB2312"/>
          <w:color w:val="auto"/>
          <w:sz w:val="28"/>
          <w:szCs w:val="28"/>
          <w:highlight w:val="none"/>
        </w:rPr>
        <w:t>各级国家机关、事业单位和团体组织，使用</w:t>
      </w:r>
      <w:r>
        <w:rPr>
          <w:rFonts w:hint="eastAsia" w:ascii="仿宋_GB2312" w:eastAsia="仿宋_GB2312"/>
          <w:color w:val="auto"/>
          <w:sz w:val="28"/>
          <w:szCs w:val="28"/>
          <w:highlight w:val="none"/>
        </w:rPr>
        <w:t>财政性</w:t>
      </w:r>
      <w:r>
        <w:rPr>
          <w:rFonts w:ascii="仿宋_GB2312" w:eastAsia="仿宋_GB2312"/>
          <w:color w:val="auto"/>
          <w:sz w:val="28"/>
          <w:szCs w:val="28"/>
          <w:highlight w:val="none"/>
        </w:rPr>
        <w:t>资金采购依法制定的集中目录以内的或者采购限额标准以上的货物、工程和服务的行为</w:t>
      </w:r>
      <w:r>
        <w:rPr>
          <w:rFonts w:hint="eastAsia" w:ascii="仿宋_GB2312" w:eastAsia="仿宋_GB2312"/>
          <w:color w:val="auto"/>
          <w:sz w:val="28"/>
          <w:szCs w:val="28"/>
          <w:highlight w:val="none"/>
        </w:rPr>
        <w:t>，</w:t>
      </w:r>
      <w:r>
        <w:rPr>
          <w:rFonts w:ascii="仿宋_GB2312" w:eastAsia="仿宋_GB2312"/>
          <w:color w:val="auto"/>
          <w:sz w:val="28"/>
          <w:szCs w:val="28"/>
          <w:highlight w:val="none"/>
        </w:rPr>
        <w:t>是规范财政支出管理和强化预算约束的有效措施。</w:t>
      </w:r>
    </w:p>
    <w:p w14:paraId="2C51FA1B">
      <w:pPr>
        <w:ind w:firstLine="420" w:firstLineChars="150"/>
        <w:rPr>
          <w:rFonts w:ascii="仿宋_GB2312" w:eastAsia="仿宋_GB2312"/>
          <w:color w:val="auto"/>
          <w:sz w:val="28"/>
          <w:szCs w:val="28"/>
          <w:highlight w:val="none"/>
        </w:rPr>
      </w:pPr>
      <w:r>
        <w:rPr>
          <w:rFonts w:hint="eastAsia" w:ascii="仿宋_GB2312" w:eastAsia="仿宋_GB2312"/>
          <w:color w:val="auto"/>
          <w:sz w:val="28"/>
          <w:szCs w:val="28"/>
          <w:highlight w:val="none"/>
        </w:rPr>
        <w:t>6</w:t>
      </w:r>
      <w:r>
        <w:rPr>
          <w:rFonts w:ascii="仿宋_GB2312" w:eastAsia="仿宋_GB2312"/>
          <w:color w:val="auto"/>
          <w:sz w:val="28"/>
          <w:szCs w:val="28"/>
          <w:highlight w:val="none"/>
        </w:rPr>
        <w:t>.政府购买服务：</w:t>
      </w:r>
      <w:r>
        <w:rPr>
          <w:rFonts w:hint="eastAsia" w:ascii="仿宋_GB2312" w:eastAsia="仿宋_GB2312"/>
          <w:color w:val="auto"/>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14:paraId="5FF4AAAF">
      <w:pPr>
        <w:ind w:firstLine="632" w:firstLineChars="200"/>
        <w:rPr>
          <w:rFonts w:ascii="仿宋_GB2312" w:eastAsia="仿宋_GB2312"/>
          <w:b/>
          <w:color w:val="auto"/>
          <w:spacing w:val="-2"/>
          <w:sz w:val="32"/>
          <w:szCs w:val="32"/>
          <w:highlight w:val="none"/>
        </w:rPr>
      </w:pPr>
      <w:r>
        <w:rPr>
          <w:rFonts w:hint="eastAsia" w:ascii="仿宋_GB2312" w:eastAsia="仿宋_GB2312"/>
          <w:b/>
          <w:color w:val="auto"/>
          <w:spacing w:val="-2"/>
          <w:sz w:val="32"/>
          <w:szCs w:val="32"/>
          <w:highlight w:val="none"/>
        </w:rPr>
        <w:t>7.各单位需根据自身业务职能，补充当年使用的所有支出功能分类项级科目名词解释，例如：</w:t>
      </w:r>
    </w:p>
    <w:p w14:paraId="4844E35A">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教育支出（类）普通教育（款）小学教育（项）：反映各部门举办的小学教育支出。政府各部门对社会组织等举办的小学的资助，如捐赠、补贴等，也在本科目中反映。</w:t>
      </w:r>
    </w:p>
    <w:p w14:paraId="15D2BD21">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教育支出（类）进修及培训（款）培训支出（项）：反映各部门安排的用于培训的支出。</w:t>
      </w:r>
    </w:p>
    <w:p w14:paraId="50AE4EC3">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社会保障和就业支出</w:t>
      </w:r>
      <w:r>
        <w:rPr>
          <w:rFonts w:hint="eastAsia" w:ascii="仿宋_GB2312" w:eastAsia="仿宋_GB2312"/>
          <w:color w:val="auto"/>
          <w:sz w:val="28"/>
          <w:szCs w:val="28"/>
          <w:highlight w:val="none"/>
        </w:rPr>
        <w:t>（类）行政事业单位养老支出（款）事业单位离退休（项）：反映事业单位开支的离退休经费。</w:t>
      </w:r>
    </w:p>
    <w:p w14:paraId="4A107C62">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社会保障和就业支出</w:t>
      </w:r>
      <w:r>
        <w:rPr>
          <w:rFonts w:hint="eastAsia" w:ascii="仿宋_GB2312" w:eastAsia="仿宋_GB2312"/>
          <w:color w:val="auto"/>
          <w:sz w:val="28"/>
          <w:szCs w:val="28"/>
          <w:highlight w:val="none"/>
        </w:rPr>
        <w:t>（类）行政事业单位养老支出（款）</w:t>
      </w:r>
      <w:r>
        <w:rPr>
          <w:rFonts w:ascii="仿宋_GB2312" w:eastAsia="仿宋_GB2312"/>
          <w:color w:val="auto"/>
          <w:sz w:val="28"/>
          <w:szCs w:val="28"/>
          <w:highlight w:val="none"/>
        </w:rPr>
        <w:t>机关事业单位基本养老保险缴费支出</w:t>
      </w:r>
      <w:r>
        <w:rPr>
          <w:rFonts w:hint="eastAsia" w:ascii="仿宋_GB2312" w:eastAsia="仿宋_GB2312"/>
          <w:color w:val="auto"/>
          <w:sz w:val="28"/>
          <w:szCs w:val="28"/>
          <w:highlight w:val="none"/>
        </w:rPr>
        <w:t>（项）：反映事业单位实施养老保险制度由单位缴纳的基本养老保险费支出。</w:t>
      </w:r>
    </w:p>
    <w:p w14:paraId="7580AADE">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社会保障和就业支出</w:t>
      </w:r>
      <w:r>
        <w:rPr>
          <w:rFonts w:hint="eastAsia" w:ascii="仿宋_GB2312" w:eastAsia="仿宋_GB2312"/>
          <w:color w:val="auto"/>
          <w:sz w:val="28"/>
          <w:szCs w:val="28"/>
          <w:highlight w:val="none"/>
        </w:rPr>
        <w:t>（类）行政事业单位养老支出（款）</w:t>
      </w:r>
      <w:r>
        <w:rPr>
          <w:rFonts w:ascii="仿宋_GB2312" w:eastAsia="仿宋_GB2312"/>
          <w:color w:val="auto"/>
          <w:sz w:val="28"/>
          <w:szCs w:val="28"/>
          <w:highlight w:val="none"/>
        </w:rPr>
        <w:t>机关事业单位职业年金缴费支出</w:t>
      </w:r>
      <w:r>
        <w:rPr>
          <w:rFonts w:hint="eastAsia" w:ascii="仿宋_GB2312" w:eastAsia="仿宋_GB2312"/>
          <w:color w:val="auto"/>
          <w:sz w:val="28"/>
          <w:szCs w:val="28"/>
          <w:highlight w:val="none"/>
        </w:rPr>
        <w:t>（项）：反映事业单位实施养老保险制度有单位实际缴纳的职业年金支出（含职业年金补记支出）。</w:t>
      </w:r>
    </w:p>
    <w:p w14:paraId="6427FCBC">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社会保障和就业支出</w:t>
      </w:r>
      <w:r>
        <w:rPr>
          <w:rFonts w:hint="eastAsia" w:ascii="仿宋_GB2312" w:eastAsia="仿宋_GB2312"/>
          <w:color w:val="auto"/>
          <w:sz w:val="28"/>
          <w:szCs w:val="28"/>
          <w:highlight w:val="none"/>
        </w:rPr>
        <w:t>（类）</w:t>
      </w:r>
      <w:r>
        <w:rPr>
          <w:rFonts w:ascii="仿宋_GB2312" w:eastAsia="仿宋_GB2312"/>
          <w:color w:val="auto"/>
          <w:sz w:val="28"/>
          <w:szCs w:val="28"/>
          <w:highlight w:val="none"/>
        </w:rPr>
        <w:t>抚恤</w:t>
      </w:r>
      <w:r>
        <w:rPr>
          <w:rFonts w:hint="eastAsia" w:ascii="仿宋_GB2312" w:eastAsia="仿宋_GB2312"/>
          <w:color w:val="auto"/>
          <w:sz w:val="28"/>
          <w:szCs w:val="28"/>
          <w:highlight w:val="none"/>
        </w:rPr>
        <w:t>（款）死亡抚恤（项）：反映按照规定用于烈士和牺牲、病故人员家属的一次性和定期抚恤金、丧葬补助费以及烈士褒扬金。</w:t>
      </w:r>
    </w:p>
    <w:p w14:paraId="6D179C53">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卫生健康支出</w:t>
      </w:r>
      <w:r>
        <w:rPr>
          <w:rFonts w:hint="eastAsia" w:ascii="仿宋_GB2312" w:eastAsia="仿宋_GB2312"/>
          <w:color w:val="auto"/>
          <w:sz w:val="28"/>
          <w:szCs w:val="28"/>
          <w:highlight w:val="none"/>
        </w:rPr>
        <w:t>（类）行政事业单位医疗（款）事业单位医疗（项）：反映财政部门安排的事业单位基本医疗保险缴费经费，未参加医疗保险的事业单位的公费医疗经费，按国家规定享受离退休人员待遇的医疗经费。</w:t>
      </w:r>
    </w:p>
    <w:p w14:paraId="3DD508CD">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住房保障支出</w:t>
      </w:r>
      <w:r>
        <w:rPr>
          <w:rFonts w:hint="eastAsia" w:ascii="仿宋_GB2312" w:eastAsia="仿宋_GB2312"/>
          <w:color w:val="auto"/>
          <w:sz w:val="28"/>
          <w:szCs w:val="28"/>
          <w:highlight w:val="none"/>
        </w:rPr>
        <w:t>（类）住房改革支出（款）住房公积金(项）：反映行政事业单位按人力资源和社会保障部、财政部规定的基本工资和津贴补贴以及规定比例为职工缴纳的住房公积金。</w:t>
      </w:r>
    </w:p>
    <w:p w14:paraId="30BF62A3">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t>住房保障支出</w:t>
      </w:r>
      <w:r>
        <w:rPr>
          <w:rFonts w:hint="eastAsia" w:ascii="仿宋_GB2312" w:eastAsia="仿宋_GB2312"/>
          <w:color w:val="auto"/>
          <w:sz w:val="28"/>
          <w:szCs w:val="28"/>
          <w:highlight w:val="none"/>
        </w:rPr>
        <w:t>（类）住房改革支出（款）提租补贴（项）：反映按房改政策规定的标准，行政事业单位向职工（含离退休人员）发放的租金补贴。</w:t>
      </w:r>
    </w:p>
    <w:p w14:paraId="6A0C7366">
      <w:pPr>
        <w:ind w:firstLine="560" w:firstLineChars="200"/>
        <w:rPr>
          <w:rFonts w:hint="eastAsia" w:ascii="仿宋_GB2312" w:eastAsia="仿宋_GB2312"/>
          <w:color w:val="auto"/>
          <w:sz w:val="28"/>
          <w:szCs w:val="28"/>
          <w:highlight w:val="none"/>
        </w:rPr>
      </w:pPr>
      <w:r>
        <w:rPr>
          <w:rFonts w:ascii="仿宋_GB2312" w:eastAsia="仿宋_GB2312"/>
          <w:color w:val="auto"/>
          <w:sz w:val="28"/>
          <w:szCs w:val="28"/>
          <w:highlight w:val="none"/>
        </w:rPr>
        <w:t>住房保障支出</w:t>
      </w:r>
      <w:r>
        <w:rPr>
          <w:rFonts w:hint="eastAsia" w:ascii="仿宋_GB2312" w:eastAsia="仿宋_GB2312"/>
          <w:color w:val="auto"/>
          <w:sz w:val="28"/>
          <w:szCs w:val="28"/>
          <w:highlight w:val="none"/>
        </w:rPr>
        <w:t>（类）住房改革支出（款）购房补贴（项）：反映按房改政策规定，行政事业单位向符合条件职工（含离退休人员）、军队（含武警），向转役复原离退休人员发放的用于购买住房的补贴。</w:t>
      </w:r>
    </w:p>
    <w:p w14:paraId="6EF28609">
      <w:pPr>
        <w:pStyle w:val="2"/>
        <w:rPr>
          <w:rFonts w:hint="eastAsia"/>
          <w:lang w:val="en-US" w:eastAsia="zh-CN"/>
        </w:rPr>
      </w:pPr>
    </w:p>
    <w:p w14:paraId="68F89514">
      <w:pPr>
        <w:tabs>
          <w:tab w:val="center" w:pos="6979"/>
        </w:tabs>
        <w:spacing w:line="380" w:lineRule="exact"/>
        <w:jc w:val="both"/>
        <w:rPr>
          <w:rFonts w:ascii="宋体" w:hAnsi="宋体" w:cs="宋体"/>
          <w:b/>
          <w:bCs/>
          <w:color w:val="auto"/>
          <w:kern w:val="0"/>
          <w:sz w:val="28"/>
          <w:szCs w:val="28"/>
          <w:highlight w:val="none"/>
        </w:rPr>
      </w:pPr>
      <w:bookmarkStart w:id="0" w:name="_GoBack"/>
      <w:bookmarkEnd w:id="0"/>
    </w:p>
    <w:p w14:paraId="2A6A4841">
      <w:pPr>
        <w:tabs>
          <w:tab w:val="center" w:pos="6979"/>
        </w:tabs>
        <w:spacing w:line="380" w:lineRule="exact"/>
        <w:jc w:val="center"/>
        <w:rPr>
          <w:rFonts w:ascii="宋体" w:hAnsi="宋体" w:cs="宋体"/>
          <w:b/>
          <w:bCs/>
          <w:color w:val="auto"/>
          <w:kern w:val="0"/>
          <w:sz w:val="28"/>
          <w:szCs w:val="28"/>
          <w:highlight w:val="none"/>
        </w:rPr>
      </w:pPr>
    </w:p>
    <w:p w14:paraId="2AC2BE94">
      <w:pPr>
        <w:jc w:val="both"/>
        <w:rPr>
          <w:rFonts w:hint="eastAsia" w:ascii="黑体" w:eastAsia="黑体"/>
          <w:color w:val="auto"/>
          <w:sz w:val="32"/>
          <w:szCs w:val="32"/>
          <w:highlight w:val="none"/>
        </w:rPr>
      </w:pPr>
    </w:p>
    <w:p w14:paraId="609C596C">
      <w:pPr>
        <w:ind w:firstLine="640" w:firstLineChars="200"/>
        <w:jc w:val="center"/>
        <w:rPr>
          <w:rFonts w:hint="eastAsia" w:ascii="黑体" w:eastAsia="黑体"/>
          <w:color w:val="auto"/>
          <w:sz w:val="32"/>
          <w:szCs w:val="32"/>
          <w:highlight w:val="none"/>
        </w:rPr>
      </w:pPr>
    </w:p>
    <w:p w14:paraId="63F3F5E0">
      <w:pPr>
        <w:ind w:firstLine="640" w:firstLineChars="200"/>
        <w:jc w:val="center"/>
        <w:rPr>
          <w:rFonts w:hint="eastAsia" w:ascii="黑体" w:eastAsia="黑体"/>
          <w:color w:val="auto"/>
          <w:sz w:val="32"/>
          <w:szCs w:val="32"/>
          <w:highlight w:val="none"/>
        </w:rPr>
      </w:pPr>
      <w:r>
        <w:rPr>
          <w:rFonts w:hint="eastAsia" w:ascii="黑体" w:eastAsia="黑体"/>
          <w:color w:val="auto"/>
          <w:sz w:val="32"/>
          <w:szCs w:val="32"/>
          <w:highlight w:val="none"/>
        </w:rPr>
        <w:t>第四部分  202</w:t>
      </w:r>
      <w:r>
        <w:rPr>
          <w:rFonts w:hint="eastAsia" w:ascii="黑体" w:eastAsia="黑体"/>
          <w:color w:val="auto"/>
          <w:sz w:val="32"/>
          <w:szCs w:val="32"/>
          <w:highlight w:val="none"/>
          <w:lang w:val="en-US" w:eastAsia="zh-CN"/>
        </w:rPr>
        <w:t>4</w:t>
      </w:r>
      <w:r>
        <w:rPr>
          <w:rFonts w:hint="eastAsia" w:ascii="黑体" w:eastAsia="黑体"/>
          <w:color w:val="auto"/>
          <w:sz w:val="32"/>
          <w:szCs w:val="32"/>
          <w:highlight w:val="none"/>
        </w:rPr>
        <w:t>年度部门绩效评价情况</w:t>
      </w:r>
    </w:p>
    <w:p w14:paraId="63040AA7">
      <w:pPr>
        <w:ind w:firstLine="560" w:firstLineChars="200"/>
        <w:rPr>
          <w:rFonts w:hint="eastAsia" w:ascii="黑体" w:eastAsia="黑体"/>
          <w:color w:val="auto"/>
          <w:sz w:val="28"/>
          <w:szCs w:val="28"/>
          <w:highlight w:val="none"/>
        </w:rPr>
      </w:pPr>
    </w:p>
    <w:p w14:paraId="0954E4C0">
      <w:pPr>
        <w:numPr>
          <w:ilvl w:val="0"/>
          <w:numId w:val="2"/>
        </w:numPr>
        <w:ind w:firstLine="560" w:firstLineChars="200"/>
        <w:rPr>
          <w:rFonts w:hint="eastAsia" w:ascii="黑体" w:eastAsia="黑体"/>
          <w:color w:val="auto"/>
          <w:sz w:val="28"/>
          <w:szCs w:val="28"/>
          <w:highlight w:val="none"/>
          <w:lang w:eastAsia="zh-CN"/>
        </w:rPr>
      </w:pPr>
      <w:r>
        <w:rPr>
          <w:rFonts w:hint="eastAsia" w:ascii="黑体" w:eastAsia="黑体"/>
          <w:color w:val="auto"/>
          <w:sz w:val="28"/>
          <w:szCs w:val="28"/>
          <w:highlight w:val="none"/>
        </w:rPr>
        <w:t>部门整体绩效评价报告</w:t>
      </w:r>
      <w:r>
        <w:rPr>
          <w:rFonts w:hint="eastAsia" w:ascii="黑体" w:eastAsia="黑体"/>
          <w:color w:val="auto"/>
          <w:sz w:val="28"/>
          <w:szCs w:val="28"/>
          <w:highlight w:val="none"/>
          <w:lang w:eastAsia="zh-CN"/>
        </w:rPr>
        <w:t>（参考模板详见附件）</w:t>
      </w:r>
    </w:p>
    <w:p w14:paraId="21CD6B2D">
      <w:pPr>
        <w:numPr>
          <w:ilvl w:val="0"/>
          <w:numId w:val="2"/>
        </w:numPr>
        <w:ind w:firstLine="560" w:firstLineChars="200"/>
        <w:rPr>
          <w:rFonts w:hint="eastAsia" w:ascii="黑体" w:eastAsia="黑体"/>
          <w:color w:val="auto"/>
          <w:sz w:val="28"/>
          <w:szCs w:val="28"/>
          <w:highlight w:val="none"/>
          <w:lang w:eastAsia="zh-CN"/>
        </w:rPr>
      </w:pPr>
      <w:r>
        <w:rPr>
          <w:rFonts w:hint="eastAsia" w:ascii="黑体" w:eastAsia="黑体"/>
          <w:color w:val="auto"/>
          <w:sz w:val="28"/>
          <w:szCs w:val="28"/>
          <w:highlight w:val="none"/>
        </w:rPr>
        <w:t>项目支出绩效评价报告</w:t>
      </w:r>
      <w:r>
        <w:rPr>
          <w:rFonts w:hint="eastAsia" w:ascii="黑体" w:eastAsia="黑体"/>
          <w:color w:val="auto"/>
          <w:sz w:val="28"/>
          <w:szCs w:val="28"/>
          <w:highlight w:val="none"/>
          <w:lang w:eastAsia="zh-CN"/>
        </w:rPr>
        <w:t>（参考模板详见附件）</w:t>
      </w:r>
    </w:p>
    <w:p w14:paraId="257D2E15">
      <w:pPr>
        <w:numPr>
          <w:ilvl w:val="0"/>
          <w:numId w:val="2"/>
        </w:numPr>
        <w:ind w:firstLine="560" w:firstLineChars="200"/>
        <w:rPr>
          <w:rFonts w:ascii="黑体" w:eastAsia="黑体"/>
          <w:color w:val="auto"/>
          <w:sz w:val="28"/>
          <w:szCs w:val="28"/>
          <w:highlight w:val="none"/>
        </w:rPr>
      </w:pPr>
      <w:r>
        <w:rPr>
          <w:rFonts w:hint="eastAsia" w:ascii="黑体" w:eastAsia="黑体"/>
          <w:color w:val="auto"/>
          <w:sz w:val="28"/>
          <w:szCs w:val="28"/>
          <w:highlight w:val="none"/>
        </w:rPr>
        <w:t>项目</w:t>
      </w:r>
      <w:r>
        <w:rPr>
          <w:rFonts w:ascii="黑体" w:eastAsia="黑体"/>
          <w:color w:val="auto"/>
          <w:sz w:val="28"/>
          <w:szCs w:val="28"/>
          <w:highlight w:val="none"/>
        </w:rPr>
        <w:t>支出绩效自评表</w:t>
      </w:r>
      <w:r>
        <w:rPr>
          <w:rFonts w:hint="eastAsia" w:ascii="黑体" w:eastAsia="黑体"/>
          <w:color w:val="auto"/>
          <w:sz w:val="28"/>
          <w:szCs w:val="28"/>
          <w:highlight w:val="none"/>
          <w:lang w:eastAsia="zh-CN"/>
        </w:rPr>
        <w:t>（格式详见附件）</w:t>
      </w:r>
    </w:p>
    <w:p w14:paraId="2E82DD60">
      <w:pPr>
        <w:numPr>
          <w:ilvl w:val="0"/>
          <w:numId w:val="2"/>
        </w:numPr>
        <w:ind w:firstLine="560" w:firstLineChars="200"/>
        <w:rPr>
          <w:rFonts w:hint="eastAsia" w:ascii="黑体" w:eastAsia="黑体"/>
          <w:color w:val="auto"/>
          <w:sz w:val="28"/>
          <w:szCs w:val="28"/>
          <w:highlight w:val="none"/>
          <w:lang w:eastAsia="zh-CN"/>
        </w:rPr>
      </w:pPr>
      <w:r>
        <w:rPr>
          <w:rFonts w:hint="eastAsia" w:ascii="黑体" w:hAnsi="Times New Roman" w:eastAsia="黑体" w:cs="Times New Roman"/>
          <w:color w:val="auto"/>
          <w:sz w:val="28"/>
          <w:szCs w:val="28"/>
          <w:highlight w:val="none"/>
          <w:lang w:val="en-US" w:eastAsia="zh-CN"/>
        </w:rPr>
        <w:t>中央对北京XX转移支付预算执行情况绩效自评报告</w:t>
      </w:r>
      <w:r>
        <w:rPr>
          <w:rFonts w:hint="eastAsia" w:ascii="黑体" w:eastAsia="黑体"/>
          <w:color w:val="auto"/>
          <w:sz w:val="28"/>
          <w:szCs w:val="28"/>
          <w:highlight w:val="none"/>
          <w:lang w:eastAsia="zh-CN"/>
        </w:rPr>
        <w:t>（参考提纲详见附件）</w:t>
      </w:r>
    </w:p>
    <w:p w14:paraId="1DF38ABB">
      <w:pPr>
        <w:spacing w:line="480" w:lineRule="exact"/>
        <w:ind w:firstLine="420" w:firstLineChars="0"/>
        <w:rPr>
          <w:rFonts w:hint="eastAsia" w:ascii="黑体" w:eastAsia="黑体"/>
          <w:color w:val="auto"/>
          <w:sz w:val="28"/>
          <w:szCs w:val="28"/>
          <w:highlight w:val="none"/>
        </w:rPr>
      </w:pPr>
      <w:r>
        <w:rPr>
          <w:rFonts w:hint="eastAsia" w:ascii="黑体" w:eastAsia="黑体"/>
          <w:color w:val="auto"/>
          <w:sz w:val="28"/>
          <w:szCs w:val="28"/>
          <w:highlight w:val="none"/>
        </w:rPr>
        <w:t xml:space="preserve"> （注：有中央转移支付的一级预算部门，公开“一、二、三、四”；没有中央转移支付的一级预算部门，公开“一、二、三”；二级预算单位仅公开“三”</w:t>
      </w:r>
      <w:r>
        <w:rPr>
          <w:rFonts w:hint="eastAsia" w:ascii="黑体" w:eastAsia="黑体"/>
          <w:color w:val="auto"/>
          <w:sz w:val="28"/>
          <w:szCs w:val="28"/>
          <w:highlight w:val="none"/>
          <w:lang w:eastAsia="zh-CN"/>
        </w:rPr>
        <w:t>。</w:t>
      </w:r>
      <w:r>
        <w:rPr>
          <w:rFonts w:hint="eastAsia" w:ascii="黑体" w:eastAsia="黑体"/>
          <w:color w:val="auto"/>
          <w:sz w:val="28"/>
          <w:szCs w:val="28"/>
          <w:highlight w:val="none"/>
        </w:rPr>
        <w:t>）</w:t>
      </w:r>
    </w:p>
    <w:p w14:paraId="3B6E66DC">
      <w:pPr>
        <w:spacing w:line="480" w:lineRule="exact"/>
        <w:rPr>
          <w:rFonts w:hint="eastAsia" w:ascii="仿宋_GB2312" w:hAnsi="仿宋_GB2312" w:eastAsia="仿宋_GB2312" w:cs="仿宋_GB2312"/>
          <w:color w:val="auto"/>
          <w:sz w:val="32"/>
          <w:szCs w:val="32"/>
          <w:highlight w:val="none"/>
        </w:rPr>
      </w:pPr>
    </w:p>
    <w:p w14:paraId="4E937820">
      <w:pPr>
        <w:spacing w:line="480" w:lineRule="exact"/>
        <w:rPr>
          <w:color w:val="auto"/>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A987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4566BB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FEB1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69C212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7D8E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0FCF64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95E1BDE0"/>
    <w:multiLevelType w:val="singleLevel"/>
    <w:tmpl w:val="95E1BDE0"/>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6CB5B3D"/>
    <w:rsid w:val="18581C69"/>
    <w:rsid w:val="1AEC0734"/>
    <w:rsid w:val="1DEF20B0"/>
    <w:rsid w:val="214243FA"/>
    <w:rsid w:val="21AD613C"/>
    <w:rsid w:val="22467189"/>
    <w:rsid w:val="24777A0E"/>
    <w:rsid w:val="257A14F5"/>
    <w:rsid w:val="27196C26"/>
    <w:rsid w:val="29EF086F"/>
    <w:rsid w:val="2EFFE297"/>
    <w:rsid w:val="301437CA"/>
    <w:rsid w:val="349D1F0A"/>
    <w:rsid w:val="34DD0473"/>
    <w:rsid w:val="3C684897"/>
    <w:rsid w:val="3DEE6A01"/>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1F2DB0"/>
    <w:rsid w:val="60A54109"/>
    <w:rsid w:val="61D01CDF"/>
    <w:rsid w:val="64C0607C"/>
    <w:rsid w:val="65756C86"/>
    <w:rsid w:val="674D385B"/>
    <w:rsid w:val="676F09E1"/>
    <w:rsid w:val="71793A80"/>
    <w:rsid w:val="7357290B"/>
    <w:rsid w:val="798524E4"/>
    <w:rsid w:val="7A7F1C49"/>
    <w:rsid w:val="7B5B7AE6"/>
    <w:rsid w:val="7B7B6628"/>
    <w:rsid w:val="7B8241C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2944.75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4164736-9339-4e3d-a58a-e17786819ea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2720.21</c:v>
                </c:pt>
                <c:pt idx="1">
                  <c:v>224.54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2b18640-4f43-44bd-a07b-ff5c1540671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4649</Words>
  <Characters>5164</Characters>
  <Lines>44</Lines>
  <Paragraphs>12</Paragraphs>
  <TotalTime>3</TotalTime>
  <ScaleCrop>false</ScaleCrop>
  <LinksUpToDate>false</LinksUpToDate>
  <CharactersWithSpaces>5201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董婧</cp:lastModifiedBy>
  <cp:lastPrinted>2020-08-07T11:39:00Z</cp:lastPrinted>
  <dcterms:modified xsi:type="dcterms:W3CDTF">2025-08-27T08:27:03Z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eyJoZGlkIjoiMjk3ZTljY2VjMTRlY2NlMmQ5MTVjNzg2ODlkYWY5MTciLCJ1c2VySWQiOiIxNjg4MzQ3MjcyIn0=</vt:lpwstr>
  </property>
</Properties>
</file>