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0EC6E">
      <w:pPr>
        <w:jc w:val="center"/>
        <w:rPr>
          <w:rFonts w:ascii="仿宋_GB2312" w:eastAsia="仿宋_GB2312"/>
          <w:b/>
          <w:sz w:val="32"/>
          <w:szCs w:val="32"/>
        </w:rPr>
      </w:pPr>
    </w:p>
    <w:p w14:paraId="2D3FDA19">
      <w:pPr>
        <w:jc w:val="center"/>
        <w:rPr>
          <w:rFonts w:ascii="黑体" w:eastAsia="黑体"/>
          <w:sz w:val="72"/>
          <w:szCs w:val="72"/>
        </w:rPr>
      </w:pPr>
    </w:p>
    <w:p w14:paraId="58643FDF">
      <w:pPr>
        <w:jc w:val="center"/>
        <w:rPr>
          <w:rFonts w:ascii="黑体" w:eastAsia="黑体"/>
          <w:sz w:val="72"/>
          <w:szCs w:val="72"/>
        </w:rPr>
      </w:pPr>
    </w:p>
    <w:p w14:paraId="134D3FAF">
      <w:pPr>
        <w:jc w:val="center"/>
        <w:rPr>
          <w:rFonts w:ascii="黑体" w:eastAsia="黑体"/>
          <w:sz w:val="72"/>
          <w:szCs w:val="72"/>
        </w:rPr>
      </w:pPr>
    </w:p>
    <w:p w14:paraId="180AEC0E">
      <w:pPr>
        <w:jc w:val="center"/>
        <w:rPr>
          <w:rFonts w:ascii="黑体" w:eastAsia="黑体"/>
          <w:sz w:val="72"/>
          <w:szCs w:val="72"/>
        </w:rPr>
      </w:pPr>
    </w:p>
    <w:p w14:paraId="57D8E6CA">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6EA200D">
      <w:pPr>
        <w:jc w:val="center"/>
        <w:rPr>
          <w:rFonts w:ascii="黑体" w:eastAsia="黑体"/>
          <w:sz w:val="52"/>
          <w:szCs w:val="52"/>
        </w:rPr>
      </w:pPr>
    </w:p>
    <w:p w14:paraId="05DAB0A4">
      <w:pPr>
        <w:jc w:val="center"/>
        <w:rPr>
          <w:rFonts w:ascii="黑体" w:eastAsia="黑体"/>
          <w:sz w:val="52"/>
          <w:szCs w:val="52"/>
        </w:rPr>
      </w:pPr>
    </w:p>
    <w:p w14:paraId="4AAA13AF">
      <w:pPr>
        <w:jc w:val="center"/>
        <w:rPr>
          <w:rFonts w:ascii="黑体" w:eastAsia="黑体"/>
          <w:sz w:val="52"/>
          <w:szCs w:val="52"/>
        </w:rPr>
      </w:pPr>
    </w:p>
    <w:p w14:paraId="6EA08F6D">
      <w:pPr>
        <w:jc w:val="center"/>
        <w:rPr>
          <w:rFonts w:ascii="黑体" w:eastAsia="黑体"/>
          <w:sz w:val="52"/>
          <w:szCs w:val="52"/>
        </w:rPr>
      </w:pPr>
    </w:p>
    <w:p w14:paraId="1E73E6C7">
      <w:pPr>
        <w:jc w:val="center"/>
        <w:rPr>
          <w:rFonts w:ascii="黑体" w:eastAsia="黑体"/>
          <w:sz w:val="32"/>
          <w:szCs w:val="32"/>
        </w:rPr>
      </w:pPr>
    </w:p>
    <w:p w14:paraId="39CC61B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4CEE34A">
      <w:pPr>
        <w:spacing w:line="500" w:lineRule="exact"/>
        <w:ind w:firstLine="645"/>
        <w:jc w:val="center"/>
        <w:rPr>
          <w:rFonts w:hint="eastAsia" w:ascii="宋体" w:hAnsi="宋体" w:cs="宋体"/>
          <w:b/>
          <w:bCs/>
          <w:kern w:val="0"/>
          <w:sz w:val="36"/>
          <w:szCs w:val="36"/>
        </w:rPr>
      </w:pPr>
    </w:p>
    <w:p w14:paraId="5C1359C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E9AA20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E1F22F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177EA8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E11C6A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3B8513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D9FD34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E713CC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4CD7C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2107E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60E178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EF088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513219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D90910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EAC673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0FB45D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5029706">
      <w:pPr>
        <w:tabs>
          <w:tab w:val="center" w:pos="6979"/>
        </w:tabs>
        <w:spacing w:before="156" w:beforeLines="50" w:after="156" w:afterLines="50"/>
        <w:jc w:val="center"/>
        <w:rPr>
          <w:rFonts w:ascii="宋体" w:hAnsi="宋体" w:cs="宋体"/>
          <w:b/>
          <w:bCs/>
          <w:spacing w:val="40"/>
          <w:kern w:val="0"/>
          <w:sz w:val="32"/>
          <w:szCs w:val="32"/>
        </w:rPr>
      </w:pPr>
    </w:p>
    <w:p w14:paraId="7D64C437">
      <w:pPr>
        <w:tabs>
          <w:tab w:val="center" w:pos="6979"/>
        </w:tabs>
        <w:spacing w:before="156" w:beforeLines="50" w:after="156" w:afterLines="50"/>
        <w:jc w:val="center"/>
        <w:rPr>
          <w:rFonts w:ascii="宋体" w:hAnsi="宋体" w:cs="宋体"/>
          <w:b/>
          <w:bCs/>
          <w:spacing w:val="40"/>
          <w:kern w:val="0"/>
          <w:sz w:val="32"/>
          <w:szCs w:val="32"/>
        </w:rPr>
      </w:pPr>
    </w:p>
    <w:p w14:paraId="6B403E6D">
      <w:pPr>
        <w:tabs>
          <w:tab w:val="center" w:pos="6979"/>
        </w:tabs>
        <w:spacing w:before="156" w:beforeLines="50" w:after="156" w:afterLines="50"/>
        <w:jc w:val="center"/>
        <w:rPr>
          <w:rFonts w:ascii="宋体" w:hAnsi="宋体" w:cs="宋体"/>
          <w:b/>
          <w:bCs/>
          <w:spacing w:val="40"/>
          <w:kern w:val="0"/>
          <w:sz w:val="32"/>
          <w:szCs w:val="32"/>
        </w:rPr>
      </w:pPr>
    </w:p>
    <w:p w14:paraId="2A36836B">
      <w:pPr>
        <w:tabs>
          <w:tab w:val="center" w:pos="6979"/>
        </w:tabs>
        <w:spacing w:before="156" w:beforeLines="50" w:after="156" w:afterLines="50"/>
        <w:jc w:val="center"/>
        <w:rPr>
          <w:rFonts w:ascii="宋体" w:hAnsi="宋体" w:cs="宋体"/>
          <w:b/>
          <w:bCs/>
          <w:spacing w:val="40"/>
          <w:kern w:val="0"/>
          <w:sz w:val="32"/>
          <w:szCs w:val="32"/>
        </w:rPr>
      </w:pPr>
    </w:p>
    <w:p w14:paraId="2D3499A5">
      <w:pPr>
        <w:tabs>
          <w:tab w:val="center" w:pos="6979"/>
        </w:tabs>
        <w:spacing w:before="156" w:beforeLines="50" w:after="156" w:afterLines="50"/>
        <w:jc w:val="center"/>
        <w:rPr>
          <w:rFonts w:ascii="宋体" w:hAnsi="宋体" w:cs="宋体"/>
          <w:b/>
          <w:bCs/>
          <w:spacing w:val="40"/>
          <w:kern w:val="0"/>
          <w:sz w:val="32"/>
          <w:szCs w:val="32"/>
        </w:rPr>
      </w:pPr>
    </w:p>
    <w:p w14:paraId="76D82F5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738DED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EF49CF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3001A06B">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rPr>
        <w:t>一、部门/单位基本情况</w:t>
      </w:r>
    </w:p>
    <w:p w14:paraId="6AA8B9AB">
      <w:pPr>
        <w:tabs>
          <w:tab w:val="center" w:pos="6979"/>
        </w:tabs>
        <w:spacing w:line="580" w:lineRule="exact"/>
        <w:ind w:firstLine="700" w:firstLineChars="2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小学教育。</w:t>
      </w:r>
      <w:bookmarkStart w:id="0" w:name="_GoBack"/>
      <w:bookmarkEnd w:id="0"/>
    </w:p>
    <w:p w14:paraId="21F1D66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5ECBAF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8256.31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381.25 万元，增长4.84%。</w:t>
      </w:r>
    </w:p>
    <w:p w14:paraId="2B6B320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3137D8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8256.31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381.25 万元，增长4.84%</w:t>
      </w:r>
      <w:r>
        <w:rPr>
          <w:rFonts w:hint="eastAsia" w:ascii="仿宋_GB2312" w:eastAsia="仿宋_GB2312"/>
          <w:sz w:val="28"/>
          <w:szCs w:val="28"/>
          <w:lang w:eastAsia="zh-CN"/>
        </w:rPr>
        <w:t>。</w:t>
      </w:r>
    </w:p>
    <w:p w14:paraId="299E3CD4">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8256.31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8253.31</w:t>
      </w:r>
      <w:r>
        <w:rPr>
          <w:rFonts w:hint="eastAsia" w:ascii="仿宋_GB2312" w:eastAsia="仿宋_GB2312"/>
          <w:sz w:val="28"/>
          <w:szCs w:val="28"/>
        </w:rPr>
        <w:t>万元，占收入合计的</w:t>
      </w:r>
      <w:r>
        <w:rPr>
          <w:rFonts w:hint="eastAsia" w:ascii="仿宋_GB2312" w:eastAsia="仿宋_GB2312"/>
          <w:sz w:val="28"/>
          <w:szCs w:val="28"/>
          <w:lang w:eastAsia="zh-CN"/>
        </w:rPr>
        <w:t>99.96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3</w:t>
      </w:r>
      <w:r>
        <w:rPr>
          <w:rFonts w:hint="eastAsia" w:ascii="仿宋_GB2312" w:eastAsia="仿宋_GB2312"/>
          <w:sz w:val="28"/>
          <w:szCs w:val="28"/>
        </w:rPr>
        <w:t>万元，占收入合计的</w:t>
      </w:r>
      <w:r>
        <w:rPr>
          <w:rFonts w:hint="eastAsia" w:ascii="仿宋_GB2312" w:eastAsia="仿宋_GB2312"/>
          <w:sz w:val="28"/>
          <w:szCs w:val="28"/>
          <w:lang w:eastAsia="zh-CN"/>
        </w:rPr>
        <w:t>0.04</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679F3D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3EEF17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E17579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D8682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7897E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0E70F7F">
      <w:pPr>
        <w:spacing w:line="560" w:lineRule="exact"/>
        <w:ind w:firstLine="640"/>
        <w:rPr>
          <w:rFonts w:hint="eastAsia" w:ascii="仿宋_GB2312" w:eastAsia="仿宋_GB2312" w:cs="Droid Sans"/>
          <w:color w:val="000000"/>
          <w:sz w:val="32"/>
          <w:szCs w:val="32"/>
          <w:highlight w:val="none"/>
          <w:lang w:eastAsia="zh-CN"/>
        </w:rPr>
      </w:pPr>
    </w:p>
    <w:p w14:paraId="769A0CC3">
      <w:pPr>
        <w:pStyle w:val="2"/>
        <w:ind w:firstLine="0"/>
        <w:jc w:val="center"/>
      </w:pPr>
      <w:r>
        <w:rPr>
          <w:rFonts w:hint="eastAsia" w:ascii="仿宋_GB2312" w:eastAsia="仿宋_GB2312"/>
          <w:color w:val="000000"/>
          <w:sz w:val="32"/>
          <w:szCs w:val="32"/>
          <w:highlight w:val="none"/>
          <w:lang w:val="en-US" w:eastAsia="zh-CN"/>
        </w:rPr>
        <w:t>图1：收入决算</w:t>
      </w:r>
    </w:p>
    <w:p w14:paraId="3B7558F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742A6A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909E87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8256.31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381.25 万元，增长4.84%，其中：基本支出</w:t>
      </w:r>
      <w:r>
        <w:rPr>
          <w:rFonts w:ascii="仿宋_GB2312" w:eastAsia="仿宋_GB2312"/>
          <w:sz w:val="28"/>
          <w:szCs w:val="28"/>
        </w:rPr>
        <w:t>6578.71</w:t>
      </w:r>
      <w:r>
        <w:rPr>
          <w:rFonts w:hint="eastAsia" w:ascii="仿宋_GB2312" w:eastAsia="仿宋_GB2312"/>
          <w:sz w:val="28"/>
          <w:szCs w:val="28"/>
        </w:rPr>
        <w:t>万元，占支出合计的</w:t>
      </w:r>
      <w:r>
        <w:rPr>
          <w:rFonts w:hint="eastAsia" w:ascii="仿宋_GB2312" w:eastAsia="仿宋_GB2312"/>
          <w:sz w:val="28"/>
          <w:szCs w:val="28"/>
          <w:lang w:eastAsia="zh-CN"/>
        </w:rPr>
        <w:t>79.68</w:t>
      </w:r>
      <w:r>
        <w:rPr>
          <w:rFonts w:hint="eastAsia" w:ascii="仿宋_GB2312" w:eastAsia="仿宋_GB2312"/>
          <w:sz w:val="28"/>
          <w:szCs w:val="28"/>
        </w:rPr>
        <w:t>%；项目支出</w:t>
      </w:r>
      <w:r>
        <w:rPr>
          <w:rFonts w:ascii="仿宋_GB2312" w:eastAsia="仿宋_GB2312"/>
          <w:sz w:val="28"/>
          <w:szCs w:val="28"/>
        </w:rPr>
        <w:t>1677.6</w:t>
      </w:r>
      <w:r>
        <w:rPr>
          <w:rFonts w:hint="eastAsia" w:ascii="仿宋_GB2312" w:eastAsia="仿宋_GB2312"/>
          <w:sz w:val="28"/>
          <w:szCs w:val="28"/>
        </w:rPr>
        <w:t>万元，占支出合计的</w:t>
      </w:r>
      <w:r>
        <w:rPr>
          <w:rFonts w:hint="eastAsia" w:ascii="仿宋_GB2312" w:eastAsia="仿宋_GB2312"/>
          <w:sz w:val="28"/>
          <w:szCs w:val="28"/>
          <w:lang w:eastAsia="zh-CN"/>
        </w:rPr>
        <w:t>20.32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51E9B23">
      <w:pPr>
        <w:spacing w:line="560" w:lineRule="exact"/>
        <w:ind w:firstLine="640"/>
        <w:rPr>
          <w:rFonts w:hint="eastAsia" w:ascii="仿宋_GB2312" w:eastAsia="仿宋_GB2312" w:cs="Droid Sans"/>
          <w:color w:val="000000"/>
          <w:sz w:val="32"/>
          <w:szCs w:val="32"/>
          <w:highlight w:val="none"/>
          <w:lang w:eastAsia="zh-CN"/>
        </w:rPr>
      </w:pPr>
    </w:p>
    <w:p w14:paraId="7F8220D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0F1D36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FEBC5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15A678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8256.31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381.25 万元，增长4.84%。主要原因：本年度扩充学位，学生和教师人数增加，造成人员和生均公用收入较上年增加。</w:t>
      </w:r>
    </w:p>
    <w:p w14:paraId="48E3127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EF9454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4D48BA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8253.3</w:t>
      </w:r>
      <w:r>
        <w:rPr>
          <w:rFonts w:hint="eastAsia" w:ascii="仿宋_GB2312" w:eastAsia="仿宋_GB2312"/>
          <w:sz w:val="28"/>
          <w:szCs w:val="28"/>
          <w:lang w:val="en-US" w:eastAsia="zh-CN"/>
        </w:rPr>
        <w:t>1</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6042.52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73.21%</w:t>
      </w:r>
      <w:r>
        <w:rPr>
          <w:rFonts w:hint="eastAsia" w:ascii="仿宋_GB2312" w:eastAsia="仿宋_GB2312"/>
          <w:sz w:val="28"/>
          <w:szCs w:val="28"/>
        </w:rPr>
        <w:t>；社会保障和就业支出</w:t>
      </w:r>
      <w:r>
        <w:rPr>
          <w:rFonts w:hint="eastAsia" w:ascii="仿宋_GB2312" w:eastAsia="仿宋_GB2312"/>
          <w:sz w:val="28"/>
          <w:szCs w:val="28"/>
          <w:lang w:val="en-US" w:eastAsia="zh-CN"/>
        </w:rPr>
        <w:t>929.28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11.26</w:t>
      </w:r>
      <w:r>
        <w:rPr>
          <w:rFonts w:hint="eastAsia" w:ascii="仿宋_GB2312" w:eastAsia="仿宋_GB2312"/>
          <w:sz w:val="28"/>
          <w:szCs w:val="28"/>
        </w:rPr>
        <w:t>%；卫生健康支出</w:t>
      </w:r>
      <w:r>
        <w:rPr>
          <w:rFonts w:hint="eastAsia" w:ascii="仿宋_GB2312" w:eastAsia="仿宋_GB2312"/>
          <w:sz w:val="28"/>
          <w:szCs w:val="28"/>
          <w:lang w:val="en-US" w:eastAsia="zh-CN"/>
        </w:rPr>
        <w:t>447.32万元，占本年财政拨款支出5.42%；住房保障支出834.19万元，占本年财政拨款支出10.11%</w:t>
      </w:r>
      <w:r>
        <w:rPr>
          <w:rFonts w:hint="eastAsia" w:ascii="仿宋_GB2312" w:eastAsia="仿宋_GB2312"/>
          <w:sz w:val="28"/>
          <w:szCs w:val="28"/>
        </w:rPr>
        <w:t>。</w:t>
      </w:r>
    </w:p>
    <w:p w14:paraId="0AEFEDD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1A08B4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年度年初预算5,898.94万元，202</w:t>
      </w:r>
      <w:r>
        <w:rPr>
          <w:rFonts w:hint="eastAsia" w:ascii="仿宋_GB2312" w:eastAsia="仿宋_GB2312"/>
          <w:sz w:val="28"/>
          <w:szCs w:val="28"/>
          <w:lang w:val="en-US" w:eastAsia="zh-CN"/>
        </w:rPr>
        <w:t>4</w:t>
      </w:r>
      <w:r>
        <w:rPr>
          <w:rFonts w:hint="eastAsia" w:ascii="仿宋_GB2312" w:eastAsia="仿宋_GB2312"/>
          <w:sz w:val="28"/>
          <w:szCs w:val="28"/>
        </w:rPr>
        <w:t>年度决算6,042.52万元，</w:t>
      </w:r>
      <w:r>
        <w:rPr>
          <w:rFonts w:hint="eastAsia" w:ascii="仿宋_GB2312" w:eastAsia="仿宋_GB2312"/>
          <w:sz w:val="28"/>
          <w:szCs w:val="28"/>
          <w:lang w:eastAsia="zh-CN"/>
        </w:rPr>
        <w:t>完成年初预算的</w:t>
      </w:r>
      <w:r>
        <w:rPr>
          <w:rFonts w:hint="eastAsia" w:ascii="仿宋_GB2312" w:eastAsia="仿宋_GB2312"/>
          <w:sz w:val="28"/>
          <w:szCs w:val="28"/>
        </w:rPr>
        <w:t>102.43%。</w:t>
      </w:r>
    </w:p>
    <w:p w14:paraId="2ACED10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B276BC5">
      <w:pPr>
        <w:spacing w:line="580" w:lineRule="exact"/>
        <w:ind w:firstLine="560" w:firstLineChars="200"/>
        <w:rPr>
          <w:rFonts w:hint="eastAsia" w:eastAsia="仿宋_GB2312"/>
          <w:lang w:val="en-US" w:eastAsia="zh-CN"/>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年度年初预算5,883.61万元，202</w:t>
      </w:r>
      <w:r>
        <w:rPr>
          <w:rFonts w:hint="eastAsia" w:ascii="仿宋_GB2312" w:eastAsia="仿宋_GB2312"/>
          <w:sz w:val="28"/>
          <w:szCs w:val="28"/>
          <w:lang w:val="en-US" w:eastAsia="zh-CN"/>
        </w:rPr>
        <w:t>4</w:t>
      </w:r>
      <w:r>
        <w:rPr>
          <w:rFonts w:hint="eastAsia" w:ascii="仿宋_GB2312" w:eastAsia="仿宋_GB2312"/>
          <w:sz w:val="28"/>
          <w:szCs w:val="28"/>
        </w:rPr>
        <w:t>年度决算6,027.19万元，</w:t>
      </w:r>
      <w:r>
        <w:rPr>
          <w:rFonts w:hint="eastAsia" w:ascii="仿宋_GB2312" w:eastAsia="仿宋_GB2312"/>
          <w:sz w:val="28"/>
          <w:szCs w:val="28"/>
          <w:lang w:eastAsia="zh-CN"/>
        </w:rPr>
        <w:t>完成年初预算的</w:t>
      </w:r>
      <w:r>
        <w:rPr>
          <w:rFonts w:hint="eastAsia" w:ascii="仿宋_GB2312" w:eastAsia="仿宋_GB2312"/>
          <w:sz w:val="28"/>
          <w:szCs w:val="28"/>
        </w:rPr>
        <w:t>102.44%。主要原因：本年度扩充学位，教师人数增加，新增</w:t>
      </w:r>
      <w:r>
        <w:rPr>
          <w:rFonts w:hint="eastAsia" w:ascii="仿宋_GB2312" w:eastAsia="仿宋_GB2312"/>
          <w:sz w:val="28"/>
          <w:szCs w:val="28"/>
          <w:lang w:val="en-US" w:eastAsia="zh-CN"/>
        </w:rPr>
        <w:t>学校食堂</w:t>
      </w:r>
      <w:r>
        <w:rPr>
          <w:rFonts w:hint="eastAsia" w:ascii="仿宋_GB2312" w:eastAsia="仿宋_GB2312"/>
          <w:sz w:val="28"/>
          <w:szCs w:val="28"/>
        </w:rPr>
        <w:t>运行管理等专项经费，人员经费和项目经费支出较年初预算增加。</w:t>
      </w:r>
    </w:p>
    <w:p w14:paraId="6BC3D7B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“特殊教育”（款）2024年度年初预算3.57万元，2024年度决算3.57万元，完成年初预算的1</w:t>
      </w:r>
      <w:r>
        <w:rPr>
          <w:rFonts w:hint="eastAsia" w:ascii="仿宋_GB2312" w:eastAsia="仿宋_GB2312"/>
          <w:sz w:val="28"/>
          <w:szCs w:val="28"/>
          <w:lang w:val="en-US" w:eastAsia="zh-CN"/>
        </w:rPr>
        <w:t>00</w:t>
      </w:r>
      <w:r>
        <w:rPr>
          <w:rFonts w:hint="eastAsia" w:ascii="仿宋_GB2312" w:eastAsia="仿宋_GB2312"/>
          <w:sz w:val="28"/>
          <w:szCs w:val="28"/>
        </w:rPr>
        <w:t>%。主要原因：</w:t>
      </w:r>
      <w:r>
        <w:rPr>
          <w:rFonts w:hint="eastAsia" w:ascii="仿宋_GB2312" w:eastAsia="仿宋_GB2312"/>
          <w:sz w:val="28"/>
          <w:szCs w:val="28"/>
          <w:lang w:val="en-US" w:eastAsia="zh-CN"/>
        </w:rPr>
        <w:t>开展特教学生日常教育教学活动</w:t>
      </w:r>
      <w:r>
        <w:rPr>
          <w:rFonts w:hint="eastAsia" w:ascii="仿宋_GB2312" w:eastAsia="仿宋_GB2312"/>
          <w:sz w:val="28"/>
          <w:szCs w:val="28"/>
        </w:rPr>
        <w:t>。</w:t>
      </w:r>
    </w:p>
    <w:p w14:paraId="37251CD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“进修及培训”（款）2024年度年初预算11.76万元，2024年度决算11.76万元，完成年初预算的10</w:t>
      </w:r>
      <w:r>
        <w:rPr>
          <w:rFonts w:hint="eastAsia" w:ascii="仿宋_GB2312" w:eastAsia="仿宋_GB2312"/>
          <w:sz w:val="28"/>
          <w:szCs w:val="28"/>
          <w:lang w:val="en-US" w:eastAsia="zh-CN"/>
        </w:rPr>
        <w:t>0</w:t>
      </w:r>
      <w:r>
        <w:rPr>
          <w:rFonts w:hint="eastAsia" w:ascii="仿宋_GB2312" w:eastAsia="仿宋_GB2312"/>
          <w:sz w:val="28"/>
          <w:szCs w:val="28"/>
        </w:rPr>
        <w:t>%。主要原因：</w:t>
      </w:r>
      <w:r>
        <w:rPr>
          <w:rFonts w:hint="eastAsia" w:ascii="仿宋_GB2312" w:eastAsia="仿宋_GB2312"/>
          <w:sz w:val="28"/>
          <w:szCs w:val="28"/>
          <w:lang w:val="en-US" w:eastAsia="zh-CN"/>
        </w:rPr>
        <w:t>开展在职教职工教育教学等方面的业务培训</w:t>
      </w:r>
      <w:r>
        <w:rPr>
          <w:rFonts w:hint="eastAsia" w:ascii="仿宋_GB2312" w:eastAsia="仿宋_GB2312"/>
          <w:sz w:val="28"/>
          <w:szCs w:val="28"/>
        </w:rPr>
        <w:t>。</w:t>
      </w:r>
    </w:p>
    <w:p w14:paraId="7D10AD0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年度年初预算876.78万元，202</w:t>
      </w:r>
      <w:r>
        <w:rPr>
          <w:rFonts w:hint="eastAsia" w:ascii="仿宋_GB2312" w:eastAsia="仿宋_GB2312"/>
          <w:sz w:val="28"/>
          <w:szCs w:val="28"/>
          <w:lang w:val="en-US" w:eastAsia="zh-CN"/>
        </w:rPr>
        <w:t>4</w:t>
      </w:r>
      <w:r>
        <w:rPr>
          <w:rFonts w:hint="eastAsia" w:ascii="仿宋_GB2312" w:eastAsia="仿宋_GB2312"/>
          <w:sz w:val="28"/>
          <w:szCs w:val="28"/>
        </w:rPr>
        <w:t>年度决算929.28万元，</w:t>
      </w:r>
      <w:r>
        <w:rPr>
          <w:rFonts w:hint="eastAsia" w:ascii="仿宋_GB2312" w:eastAsia="仿宋_GB2312"/>
          <w:sz w:val="28"/>
          <w:szCs w:val="28"/>
          <w:lang w:eastAsia="zh-CN"/>
        </w:rPr>
        <w:t>完成年初预算的</w:t>
      </w:r>
      <w:r>
        <w:rPr>
          <w:rFonts w:hint="eastAsia" w:ascii="仿宋_GB2312" w:eastAsia="仿宋_GB2312"/>
          <w:sz w:val="28"/>
          <w:szCs w:val="28"/>
        </w:rPr>
        <w:t>105.99%。其中：</w:t>
      </w:r>
    </w:p>
    <w:p w14:paraId="0CD1294E">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年度年初预算876.78万元，202</w:t>
      </w:r>
      <w:r>
        <w:rPr>
          <w:rFonts w:hint="eastAsia" w:ascii="仿宋_GB2312" w:eastAsia="仿宋_GB2312"/>
          <w:sz w:val="28"/>
          <w:szCs w:val="28"/>
          <w:lang w:val="en-US" w:eastAsia="zh-CN"/>
        </w:rPr>
        <w:t>4</w:t>
      </w:r>
      <w:r>
        <w:rPr>
          <w:rFonts w:hint="eastAsia" w:ascii="仿宋_GB2312" w:eastAsia="仿宋_GB2312"/>
          <w:sz w:val="28"/>
          <w:szCs w:val="28"/>
        </w:rPr>
        <w:t>年度决算896.05万元，</w:t>
      </w:r>
      <w:r>
        <w:rPr>
          <w:rFonts w:hint="eastAsia" w:ascii="仿宋_GB2312" w:eastAsia="仿宋_GB2312"/>
          <w:sz w:val="28"/>
          <w:szCs w:val="28"/>
          <w:lang w:eastAsia="zh-CN"/>
        </w:rPr>
        <w:t>完成年初预算的</w:t>
      </w:r>
      <w:r>
        <w:rPr>
          <w:rFonts w:hint="eastAsia" w:ascii="仿宋_GB2312" w:eastAsia="仿宋_GB2312"/>
          <w:sz w:val="28"/>
          <w:szCs w:val="28"/>
        </w:rPr>
        <w:t>102.20%。主要原因：本年度新增退休人员，退休人员经费支出较年初预算增加。</w:t>
      </w:r>
    </w:p>
    <w:p w14:paraId="2C0EF072">
      <w:pPr>
        <w:spacing w:line="580" w:lineRule="exact"/>
        <w:ind w:firstLine="560" w:firstLineChars="200"/>
        <w:rPr>
          <w:rFonts w:hint="eastAsia" w:ascii="黑体" w:eastAsia="黑体"/>
          <w:b/>
          <w:sz w:val="28"/>
          <w:szCs w:val="28"/>
        </w:rPr>
      </w:pPr>
      <w:r>
        <w:rPr>
          <w:rFonts w:hint="eastAsia" w:ascii="仿宋_GB2312" w:eastAsia="仿宋_GB2312"/>
          <w:sz w:val="28"/>
          <w:szCs w:val="28"/>
        </w:rPr>
        <w:t>“抚恤”（款）202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年度决算33.23万元。主要原因：本年度</w:t>
      </w:r>
      <w:r>
        <w:rPr>
          <w:rFonts w:hint="eastAsia" w:ascii="仿宋_GB2312" w:eastAsia="仿宋_GB2312"/>
          <w:sz w:val="28"/>
          <w:szCs w:val="28"/>
          <w:lang w:val="en-US" w:eastAsia="zh-CN"/>
        </w:rPr>
        <w:t>突发</w:t>
      </w:r>
      <w:r>
        <w:rPr>
          <w:rFonts w:hint="eastAsia" w:ascii="仿宋_GB2312" w:eastAsia="仿宋_GB2312"/>
          <w:sz w:val="28"/>
          <w:szCs w:val="28"/>
        </w:rPr>
        <w:t>退休人员去世，死亡抚恤经费支出较年初预算增加。</w:t>
      </w:r>
    </w:p>
    <w:p w14:paraId="1C51499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年度年初预算431.04万元，202</w:t>
      </w:r>
      <w:r>
        <w:rPr>
          <w:rFonts w:hint="eastAsia" w:ascii="仿宋_GB2312" w:eastAsia="仿宋_GB2312"/>
          <w:sz w:val="28"/>
          <w:szCs w:val="28"/>
          <w:lang w:val="en-US" w:eastAsia="zh-CN"/>
        </w:rPr>
        <w:t>4</w:t>
      </w:r>
      <w:r>
        <w:rPr>
          <w:rFonts w:hint="eastAsia" w:ascii="仿宋_GB2312" w:eastAsia="仿宋_GB2312"/>
          <w:sz w:val="28"/>
          <w:szCs w:val="28"/>
        </w:rPr>
        <w:t>年度决算447.32万元，</w:t>
      </w:r>
      <w:r>
        <w:rPr>
          <w:rFonts w:hint="eastAsia" w:ascii="仿宋_GB2312" w:eastAsia="仿宋_GB2312"/>
          <w:sz w:val="28"/>
          <w:szCs w:val="28"/>
          <w:lang w:eastAsia="zh-CN"/>
        </w:rPr>
        <w:t>完成年初预算的</w:t>
      </w:r>
      <w:r>
        <w:rPr>
          <w:rFonts w:hint="eastAsia" w:ascii="仿宋_GB2312" w:eastAsia="仿宋_GB2312"/>
          <w:sz w:val="28"/>
          <w:szCs w:val="28"/>
        </w:rPr>
        <w:t>103.78%。其中：</w:t>
      </w:r>
    </w:p>
    <w:p w14:paraId="36E7E799">
      <w:pPr>
        <w:spacing w:line="580" w:lineRule="exact"/>
        <w:ind w:firstLine="560" w:firstLineChars="200"/>
        <w:rPr>
          <w:rFonts w:hint="eastAsia" w:ascii="黑体" w:eastAsia="黑体"/>
          <w:b/>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年度年初预算431.04万元，202</w:t>
      </w:r>
      <w:r>
        <w:rPr>
          <w:rFonts w:hint="eastAsia" w:ascii="仿宋_GB2312" w:eastAsia="仿宋_GB2312"/>
          <w:sz w:val="28"/>
          <w:szCs w:val="28"/>
          <w:lang w:val="en-US" w:eastAsia="zh-CN"/>
        </w:rPr>
        <w:t>4</w:t>
      </w:r>
      <w:r>
        <w:rPr>
          <w:rFonts w:hint="eastAsia" w:ascii="仿宋_GB2312" w:eastAsia="仿宋_GB2312"/>
          <w:sz w:val="28"/>
          <w:szCs w:val="28"/>
        </w:rPr>
        <w:t>年度决算447.32万元，</w:t>
      </w:r>
      <w:r>
        <w:rPr>
          <w:rFonts w:hint="eastAsia" w:ascii="仿宋_GB2312" w:eastAsia="仿宋_GB2312"/>
          <w:sz w:val="28"/>
          <w:szCs w:val="28"/>
          <w:lang w:eastAsia="zh-CN"/>
        </w:rPr>
        <w:t>完成年初预算的</w:t>
      </w:r>
      <w:r>
        <w:rPr>
          <w:rFonts w:hint="eastAsia" w:ascii="仿宋_GB2312" w:eastAsia="仿宋_GB2312"/>
          <w:sz w:val="28"/>
          <w:szCs w:val="28"/>
        </w:rPr>
        <w:t>103.78%。主要原因：本年度扩充学位，教师人数增加，医保缴费支出较年初预算增加。</w:t>
      </w:r>
    </w:p>
    <w:p w14:paraId="6123FE1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年度年初预算815.5</w:t>
      </w:r>
      <w:r>
        <w:rPr>
          <w:rFonts w:hint="eastAsia" w:ascii="仿宋_GB2312" w:eastAsia="仿宋_GB2312"/>
          <w:sz w:val="28"/>
          <w:szCs w:val="28"/>
          <w:lang w:val="en-US" w:eastAsia="zh-CN"/>
        </w:rPr>
        <w:t>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年度决算834.19万元，</w:t>
      </w:r>
      <w:r>
        <w:rPr>
          <w:rFonts w:hint="eastAsia" w:ascii="仿宋_GB2312" w:eastAsia="仿宋_GB2312"/>
          <w:sz w:val="28"/>
          <w:szCs w:val="28"/>
          <w:lang w:eastAsia="zh-CN"/>
        </w:rPr>
        <w:t>完成年初预算的</w:t>
      </w:r>
      <w:r>
        <w:rPr>
          <w:rFonts w:hint="eastAsia" w:ascii="仿宋_GB2312" w:eastAsia="仿宋_GB2312"/>
          <w:sz w:val="28"/>
          <w:szCs w:val="28"/>
        </w:rPr>
        <w:t>102.29%。其中：</w:t>
      </w:r>
    </w:p>
    <w:p w14:paraId="09C56BFF">
      <w:pPr>
        <w:spacing w:line="580" w:lineRule="exact"/>
        <w:ind w:firstLine="560" w:firstLineChars="200"/>
        <w:rPr>
          <w:rFonts w:hint="eastAsia" w:ascii="黑体" w:eastAsia="黑体"/>
          <w:b/>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年度年初预算815.5</w:t>
      </w:r>
      <w:r>
        <w:rPr>
          <w:rFonts w:hint="eastAsia" w:ascii="仿宋_GB2312" w:eastAsia="仿宋_GB2312"/>
          <w:sz w:val="28"/>
          <w:szCs w:val="28"/>
          <w:lang w:val="en-US" w:eastAsia="zh-CN"/>
        </w:rPr>
        <w:t>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年度决算834.19万元，</w:t>
      </w:r>
      <w:r>
        <w:rPr>
          <w:rFonts w:hint="eastAsia" w:ascii="仿宋_GB2312" w:eastAsia="仿宋_GB2312"/>
          <w:sz w:val="28"/>
          <w:szCs w:val="28"/>
          <w:lang w:eastAsia="zh-CN"/>
        </w:rPr>
        <w:t>完成年初预算的</w:t>
      </w:r>
      <w:r>
        <w:rPr>
          <w:rFonts w:hint="eastAsia" w:ascii="仿宋_GB2312" w:eastAsia="仿宋_GB2312"/>
          <w:sz w:val="28"/>
          <w:szCs w:val="28"/>
        </w:rPr>
        <w:t>102.29%。主要原因：本年度扩充学位，教师人数增加，购房补贴</w:t>
      </w:r>
      <w:r>
        <w:rPr>
          <w:rFonts w:hint="eastAsia" w:ascii="仿宋_GB2312" w:eastAsia="仿宋_GB2312"/>
          <w:sz w:val="28"/>
          <w:szCs w:val="28"/>
          <w:lang w:val="en-US" w:eastAsia="zh-CN"/>
        </w:rPr>
        <w:t>和</w:t>
      </w:r>
      <w:r>
        <w:rPr>
          <w:rFonts w:hint="eastAsia" w:ascii="仿宋_GB2312" w:eastAsia="仿宋_GB2312"/>
          <w:sz w:val="28"/>
          <w:szCs w:val="28"/>
        </w:rPr>
        <w:t>住房公积金缴费支出较年初预算增加。</w:t>
      </w:r>
    </w:p>
    <w:p w14:paraId="5C1675B0">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8E15DA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93B47D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w:t>
      </w:r>
      <w:r>
        <w:rPr>
          <w:rFonts w:hint="eastAsia" w:ascii="仿宋_GB2312" w:eastAsia="仿宋_GB2312"/>
          <w:sz w:val="28"/>
          <w:szCs w:val="28"/>
        </w:rPr>
        <w:t>万元，主要用于以下方面（按大类）：其他支出3万元，占本年财政拨款支出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0FCE2EC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380BB6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其他</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261B110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开展体育传统校学生棒球训练活动</w:t>
      </w:r>
      <w:r>
        <w:rPr>
          <w:rFonts w:hint="eastAsia" w:ascii="仿宋_GB2312" w:eastAsia="仿宋_GB2312"/>
          <w:sz w:val="28"/>
          <w:szCs w:val="28"/>
        </w:rPr>
        <w:t>。</w:t>
      </w:r>
    </w:p>
    <w:p w14:paraId="091E43C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154D94D">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48794E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650F21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6578.71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B11BDEC">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9E1AA48">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1433F7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FA266CC">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17.17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17.17</w:t>
      </w:r>
      <w:r>
        <w:rPr>
          <w:rFonts w:hint="eastAsia" w:ascii="仿宋_GB2312" w:eastAsia="仿宋_GB2312"/>
          <w:sz w:val="28"/>
          <w:szCs w:val="28"/>
        </w:rPr>
        <w:t>万元。其中：</w:t>
      </w:r>
    </w:p>
    <w:p w14:paraId="6851DD40">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17.17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17.17</w:t>
      </w:r>
      <w:r>
        <w:rPr>
          <w:rFonts w:hint="eastAsia" w:ascii="仿宋_GB2312" w:eastAsia="仿宋_GB2312"/>
          <w:sz w:val="28"/>
          <w:szCs w:val="28"/>
        </w:rPr>
        <w:t>万元。主要原因：赴匈牙利、奥地利进行教学科研交流活动；202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年度因公出国（境）费用主要用于赴</w:t>
      </w:r>
      <w:r>
        <w:rPr>
          <w:rFonts w:hint="eastAsia" w:ascii="仿宋_GB2312" w:eastAsia="仿宋_GB2312"/>
          <w:sz w:val="28"/>
          <w:szCs w:val="28"/>
          <w:lang w:val="en-US" w:eastAsia="zh-CN"/>
        </w:rPr>
        <w:t>匈牙利、奥地利</w:t>
      </w:r>
      <w:r>
        <w:rPr>
          <w:rFonts w:hint="eastAsia" w:ascii="仿宋_GB2312" w:eastAsia="仿宋_GB2312"/>
          <w:sz w:val="28"/>
          <w:szCs w:val="28"/>
        </w:rPr>
        <w:t>进行教学科研交流活动等方面，202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6</w:t>
      </w:r>
      <w:r>
        <w:rPr>
          <w:rFonts w:hint="eastAsia" w:ascii="仿宋_GB2312" w:eastAsia="仿宋_GB2312"/>
          <w:sz w:val="28"/>
          <w:szCs w:val="28"/>
        </w:rPr>
        <w:t>人次。</w:t>
      </w:r>
    </w:p>
    <w:p w14:paraId="5F64737C">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772E43D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3.公务用车购置及运行维护费。本单位无此项经费。</w:t>
      </w:r>
    </w:p>
    <w:p w14:paraId="0152D339">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CA01F57">
      <w:pPr>
        <w:ind w:firstLine="537" w:firstLineChars="192"/>
        <w:rPr>
          <w:rFonts w:hint="eastAsia" w:ascii="仿宋_GB2312" w:eastAsia="仿宋_GB2312"/>
          <w:sz w:val="28"/>
          <w:szCs w:val="28"/>
        </w:rPr>
      </w:pPr>
      <w:r>
        <w:rPr>
          <w:rFonts w:hint="eastAsia" w:ascii="仿宋_GB2312" w:eastAsia="仿宋_GB2312"/>
          <w:sz w:val="28"/>
          <w:szCs w:val="28"/>
          <w:lang w:eastAsia="zh-CN"/>
        </w:rPr>
        <w:t>我</w:t>
      </w:r>
      <w:r>
        <w:rPr>
          <w:rFonts w:hint="eastAsia" w:ascii="仿宋_GB2312" w:eastAsia="仿宋_GB2312"/>
          <w:sz w:val="28"/>
          <w:szCs w:val="28"/>
          <w:lang w:val="en-US" w:eastAsia="zh-CN"/>
        </w:rPr>
        <w:t>单位不在</w:t>
      </w:r>
      <w:r>
        <w:rPr>
          <w:rFonts w:hint="eastAsia" w:ascii="仿宋_GB2312" w:eastAsia="仿宋_GB2312"/>
          <w:sz w:val="28"/>
          <w:szCs w:val="28"/>
          <w:lang w:eastAsia="zh-CN"/>
        </w:rPr>
        <w:t>机关运行经费</w:t>
      </w:r>
      <w:r>
        <w:rPr>
          <w:rFonts w:hint="eastAsia" w:ascii="仿宋_GB2312" w:eastAsia="仿宋_GB2312"/>
          <w:sz w:val="28"/>
          <w:szCs w:val="28"/>
          <w:lang w:val="en-US" w:eastAsia="zh-CN"/>
        </w:rPr>
        <w:t>统计范围之内</w:t>
      </w:r>
      <w:r>
        <w:rPr>
          <w:rFonts w:hint="eastAsia" w:ascii="仿宋_GB2312" w:eastAsia="仿宋_GB2312"/>
          <w:sz w:val="28"/>
          <w:szCs w:val="28"/>
        </w:rPr>
        <w:t>。</w:t>
      </w:r>
    </w:p>
    <w:p w14:paraId="74C33881">
      <w:pPr>
        <w:ind w:left="540"/>
        <w:rPr>
          <w:rFonts w:hint="eastAsia" w:ascii="黑体" w:eastAsia="黑体"/>
          <w:sz w:val="28"/>
          <w:szCs w:val="28"/>
        </w:rPr>
      </w:pPr>
      <w:r>
        <w:rPr>
          <w:rFonts w:hint="eastAsia" w:ascii="黑体" w:eastAsia="黑体"/>
          <w:sz w:val="28"/>
          <w:szCs w:val="28"/>
        </w:rPr>
        <w:t>三、政府采购支出情况</w:t>
      </w:r>
    </w:p>
    <w:p w14:paraId="6256A13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187.35</w:t>
      </w:r>
      <w:r>
        <w:rPr>
          <w:rFonts w:hint="eastAsia" w:ascii="仿宋_GB2312" w:eastAsia="仿宋_GB2312"/>
          <w:sz w:val="28"/>
          <w:szCs w:val="28"/>
        </w:rPr>
        <w:t>万元，其中：政府采购货物支出</w:t>
      </w:r>
      <w:r>
        <w:rPr>
          <w:rFonts w:ascii="仿宋_GB2312" w:eastAsia="仿宋_GB2312"/>
          <w:sz w:val="28"/>
          <w:szCs w:val="28"/>
        </w:rPr>
        <w:t>26.75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160.59</w:t>
      </w:r>
      <w:r>
        <w:rPr>
          <w:rFonts w:hint="eastAsia" w:ascii="仿宋_GB2312" w:eastAsia="仿宋_GB2312"/>
          <w:sz w:val="28"/>
          <w:szCs w:val="28"/>
        </w:rPr>
        <w:t>万元。授予中小企业合同金额</w:t>
      </w:r>
      <w:r>
        <w:rPr>
          <w:rFonts w:ascii="仿宋_GB2312" w:eastAsia="仿宋_GB2312"/>
          <w:sz w:val="28"/>
          <w:szCs w:val="28"/>
        </w:rPr>
        <w:t>83.31</w:t>
      </w:r>
      <w:r>
        <w:rPr>
          <w:rFonts w:hint="eastAsia" w:ascii="仿宋_GB2312" w:eastAsia="仿宋_GB2312"/>
          <w:sz w:val="28"/>
          <w:szCs w:val="28"/>
        </w:rPr>
        <w:t>万元，占政府采购支出总额的</w:t>
      </w:r>
      <w:r>
        <w:rPr>
          <w:rFonts w:hint="eastAsia" w:ascii="仿宋_GB2312" w:eastAsia="仿宋_GB2312"/>
          <w:sz w:val="28"/>
          <w:szCs w:val="28"/>
          <w:lang w:eastAsia="zh-CN"/>
        </w:rPr>
        <w:t>44.47</w:t>
      </w:r>
      <w:r>
        <w:rPr>
          <w:rFonts w:hint="eastAsia" w:ascii="仿宋_GB2312" w:eastAsia="仿宋_GB2312"/>
          <w:sz w:val="28"/>
          <w:szCs w:val="28"/>
        </w:rPr>
        <w:t>%，其中：授予小微企业合同金额</w:t>
      </w:r>
      <w:r>
        <w:rPr>
          <w:rFonts w:ascii="仿宋_GB2312" w:eastAsia="仿宋_GB2312"/>
          <w:sz w:val="28"/>
          <w:szCs w:val="28"/>
        </w:rPr>
        <w:t>45.97</w:t>
      </w:r>
      <w:r>
        <w:rPr>
          <w:rFonts w:hint="eastAsia" w:ascii="仿宋_GB2312" w:eastAsia="仿宋_GB2312"/>
          <w:sz w:val="28"/>
          <w:szCs w:val="28"/>
        </w:rPr>
        <w:t>万元，占政府采购支出总额的</w:t>
      </w:r>
      <w:r>
        <w:rPr>
          <w:rFonts w:ascii="仿宋_GB2312" w:eastAsia="仿宋_GB2312"/>
          <w:sz w:val="28"/>
          <w:szCs w:val="28"/>
        </w:rPr>
        <w:t>24.54</w:t>
      </w:r>
      <w:r>
        <w:rPr>
          <w:rFonts w:hint="eastAsia" w:ascii="仿宋_GB2312" w:eastAsia="仿宋_GB2312"/>
          <w:sz w:val="28"/>
          <w:szCs w:val="28"/>
        </w:rPr>
        <w:t>%。</w:t>
      </w:r>
    </w:p>
    <w:p w14:paraId="35977D5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675ABB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12月31日，北京市西城区五路通小学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3047C2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53F368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9DE8D7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161257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2D33309">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D4F9B44">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CBA642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F3BB25F">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4A0F48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40B7AD3">
      <w:pPr>
        <w:numPr>
          <w:ilvl w:val="0"/>
          <w:numId w:val="0"/>
        </w:num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7.教育支出（类）普通教育（款）小学教育（项）：反映本部门举办的小学教育支出。</w:t>
      </w:r>
    </w:p>
    <w:p w14:paraId="74DAFFF7">
      <w:pPr>
        <w:numPr>
          <w:ilvl w:val="0"/>
          <w:numId w:val="0"/>
        </w:numPr>
        <w:ind w:firstLine="840" w:firstLineChars="300"/>
        <w:rPr>
          <w:rFonts w:hint="default"/>
          <w:lang w:val="en-US" w:eastAsia="zh-CN"/>
        </w:rPr>
      </w:pPr>
      <w:r>
        <w:rPr>
          <w:rFonts w:hint="eastAsia" w:ascii="仿宋_GB2312" w:eastAsia="仿宋_GB2312"/>
          <w:sz w:val="28"/>
          <w:szCs w:val="28"/>
          <w:lang w:val="en-US" w:eastAsia="zh-CN"/>
        </w:rPr>
        <w:t>教育支出（类）特殊教育（款）特殊学校教育（项）：反映本部门举办盲童学校、聋哑学校、智力落后儿童学校、其他生理缺陷儿童学校的支出。</w:t>
      </w:r>
    </w:p>
    <w:p w14:paraId="2C961964">
      <w:pPr>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教育支出（类）进修及培训（款）培训支出（项）：反映本部门安排的用于培训的支出。</w:t>
      </w:r>
    </w:p>
    <w:p w14:paraId="59D83344">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eastAsia="zh-CN"/>
        </w:rPr>
      </w:pPr>
      <w:r>
        <w:rPr>
          <w:rFonts w:hint="eastAsia" w:ascii="仿宋_GB2312" w:eastAsia="仿宋_GB2312" w:cs="仿宋_GB2312"/>
          <w:sz w:val="28"/>
          <w:szCs w:val="28"/>
          <w:lang w:eastAsia="zh-CN"/>
        </w:rPr>
        <w:t>社会保障和就业支出（类）行政事业单位养老支出（款）事业单位离退休（项）：反映事业单位开支的离退休经费。</w:t>
      </w:r>
    </w:p>
    <w:p w14:paraId="2E002B57">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社会保障和就业支出（类）行政事业单位养老支出（款）机关事业单位基本养老保险缴费支出（项）：反映机关事业单位实施养老保险制度由单位缴纳的基本养老保险费支出。</w:t>
      </w:r>
    </w:p>
    <w:p w14:paraId="08459464">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社会保障和就业支出（类）行政事业单位养老支出（款）机关事业单位职业年金缴费支出（项）：反映机关事业单位实施养老保险制度由单位实际缴纳的职业年金支出。</w:t>
      </w:r>
    </w:p>
    <w:p w14:paraId="77ACD629">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社会保障和就业支出（类）抚恤（款）死亡抚恤（项）：反映按规定用于烈士和牺牲、病故人员家属的一次性和定期抚恤金、丧葬补助费以及烈士褒扬金。</w:t>
      </w:r>
    </w:p>
    <w:p w14:paraId="47689B70">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4C779EC3">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住房保障支出（类）住房改革支出（款）住房公积金（项）：反映行政事业单位按人力资源和社会保障部、财政部规定的基本工资和津贴补贴以及规定比例为职工缴纳的住房公积金。</w:t>
      </w:r>
    </w:p>
    <w:p w14:paraId="5D366174">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住房保障支出（类）住房改革支出（款）提租补贴（项）：反映按房改政策规定的标准，行政事业单位向职工（含离退休人员）发放的租金补助。</w:t>
      </w:r>
    </w:p>
    <w:p w14:paraId="551916A4">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住房保障支出（类）住房改革支出（款）购房补贴（项）：反映按房改政策规定的标准，行政事业单位向符合条件职工（含离退休人员）发放的用于购买住房的补贴。</w:t>
      </w:r>
    </w:p>
    <w:p w14:paraId="04DDF0E6">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其他支出（类）彩票公益金安排的支出（款）用于体育事业的彩票公益金支出（项）：反映用于体育事业的彩票公益金支出。</w:t>
      </w:r>
    </w:p>
    <w:p w14:paraId="26AE4B70">
      <w:pPr>
        <w:pStyle w:val="20"/>
        <w:widowControl/>
        <w:numPr>
          <w:ilvl w:val="0"/>
          <w:numId w:val="0"/>
        </w:numPr>
        <w:ind w:leftChars="0" w:right="0" w:rightChars="0" w:firstLine="560" w:firstLineChars="200"/>
        <w:contextualSpacing/>
        <w:rPr>
          <w:rFonts w:hint="eastAsia" w:ascii="仿宋_GB2312" w:eastAsia="仿宋_GB2312" w:cs="仿宋_GB2312"/>
          <w:sz w:val="28"/>
          <w:szCs w:val="28"/>
          <w:lang w:val="en-US" w:eastAsia="zh-CN"/>
        </w:rPr>
      </w:pPr>
    </w:p>
    <w:p w14:paraId="38D44690">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E1E0AB9">
      <w:pPr>
        <w:ind w:firstLine="560" w:firstLineChars="200"/>
        <w:rPr>
          <w:rFonts w:hint="eastAsia" w:ascii="黑体" w:eastAsia="黑体"/>
          <w:sz w:val="28"/>
          <w:szCs w:val="28"/>
          <w:highlight w:val="yellow"/>
        </w:rPr>
      </w:pPr>
    </w:p>
    <w:p w14:paraId="33AFB482">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79AFD9EF">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657BDE3">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60FF774D">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2C55E2FB">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41A5A289">
      <w:pPr>
        <w:spacing w:line="480" w:lineRule="exact"/>
        <w:rPr>
          <w:rFonts w:hint="eastAsia" w:ascii="仿宋_GB2312" w:hAnsi="仿宋_GB2312" w:eastAsia="仿宋_GB2312" w:cs="仿宋_GB2312"/>
          <w:sz w:val="32"/>
          <w:szCs w:val="32"/>
        </w:rPr>
      </w:pPr>
    </w:p>
    <w:p w14:paraId="7B87DAB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091D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55A6AC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4D99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4F3808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A363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C0AF33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641C78"/>
    <w:rsid w:val="02F120AB"/>
    <w:rsid w:val="032B5196"/>
    <w:rsid w:val="04C3537C"/>
    <w:rsid w:val="064047AA"/>
    <w:rsid w:val="079004AC"/>
    <w:rsid w:val="082E31F3"/>
    <w:rsid w:val="0BA148CA"/>
    <w:rsid w:val="0C1165C4"/>
    <w:rsid w:val="0C3B1F61"/>
    <w:rsid w:val="0D6D544B"/>
    <w:rsid w:val="0DD136FE"/>
    <w:rsid w:val="0F172413"/>
    <w:rsid w:val="0F8E2C57"/>
    <w:rsid w:val="1059665E"/>
    <w:rsid w:val="10AC13BA"/>
    <w:rsid w:val="11793F0E"/>
    <w:rsid w:val="14252E79"/>
    <w:rsid w:val="145A6C1B"/>
    <w:rsid w:val="146D5582"/>
    <w:rsid w:val="14B73493"/>
    <w:rsid w:val="167A2FF9"/>
    <w:rsid w:val="18581C69"/>
    <w:rsid w:val="1AEC0734"/>
    <w:rsid w:val="1DEF20B0"/>
    <w:rsid w:val="214243FA"/>
    <w:rsid w:val="21AD613C"/>
    <w:rsid w:val="22467189"/>
    <w:rsid w:val="257A14F5"/>
    <w:rsid w:val="25FD5DBC"/>
    <w:rsid w:val="27196C26"/>
    <w:rsid w:val="28CC5752"/>
    <w:rsid w:val="29EF086F"/>
    <w:rsid w:val="2E183793"/>
    <w:rsid w:val="2EFFE297"/>
    <w:rsid w:val="301437CA"/>
    <w:rsid w:val="345820A4"/>
    <w:rsid w:val="349D1F0A"/>
    <w:rsid w:val="34DD0473"/>
    <w:rsid w:val="3C684897"/>
    <w:rsid w:val="3D644E08"/>
    <w:rsid w:val="3FEA009E"/>
    <w:rsid w:val="42351B6D"/>
    <w:rsid w:val="433E495C"/>
    <w:rsid w:val="46031E47"/>
    <w:rsid w:val="47FC7AAD"/>
    <w:rsid w:val="489F2FD7"/>
    <w:rsid w:val="4AC27CB3"/>
    <w:rsid w:val="4ACE168F"/>
    <w:rsid w:val="4BF72BEF"/>
    <w:rsid w:val="4FA90297"/>
    <w:rsid w:val="4FC41A43"/>
    <w:rsid w:val="51DB3C59"/>
    <w:rsid w:val="54F00716"/>
    <w:rsid w:val="550C0952"/>
    <w:rsid w:val="55762E42"/>
    <w:rsid w:val="57A7B272"/>
    <w:rsid w:val="58470068"/>
    <w:rsid w:val="58747CAC"/>
    <w:rsid w:val="58E27C77"/>
    <w:rsid w:val="5A1720F9"/>
    <w:rsid w:val="5A1B7FE4"/>
    <w:rsid w:val="5B9C37C2"/>
    <w:rsid w:val="5BA7C654"/>
    <w:rsid w:val="5DB76275"/>
    <w:rsid w:val="60A54109"/>
    <w:rsid w:val="61D01CDF"/>
    <w:rsid w:val="64C0607C"/>
    <w:rsid w:val="65610793"/>
    <w:rsid w:val="65756C86"/>
    <w:rsid w:val="65FC3352"/>
    <w:rsid w:val="674D385B"/>
    <w:rsid w:val="676F09E1"/>
    <w:rsid w:val="6F5538CA"/>
    <w:rsid w:val="71793A80"/>
    <w:rsid w:val="7357290B"/>
    <w:rsid w:val="76B37ACA"/>
    <w:rsid w:val="798524E4"/>
    <w:rsid w:val="7A7F1C49"/>
    <w:rsid w:val="7B4D00C4"/>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msolistparagraph"/>
    <w:basedOn w:val="1"/>
    <w:qFormat/>
    <w:uiPriority w:val="0"/>
    <w:pPr>
      <w:keepNext w:val="0"/>
      <w:keepLines w:val="0"/>
      <w:widowControl w:val="0"/>
      <w:suppressLineNumbers w:val="0"/>
      <w:spacing w:before="0" w:beforeAutospacing="0" w:after="0" w:afterAutospacing="0"/>
      <w:ind w:left="720" w:right="0"/>
      <w:contextualSpacing/>
      <w:jc w:val="both"/>
    </w:pPr>
    <w:rPr>
      <w:rFonts w:hint="eastAsia" w:ascii="等线" w:hAnsi="等线" w:eastAsia="等线"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8256.31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20fa696-e7f7-4ecb-89c5-5325f4c3159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6578.71</c:v>
                </c:pt>
                <c:pt idx="1">
                  <c:v>1677.6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1ce552c-1727-4c24-b4e9-cae1a7780d8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4457</Words>
  <Characters>5018</Characters>
  <Lines>44</Lines>
  <Paragraphs>12</Paragraphs>
  <TotalTime>7</TotalTime>
  <ScaleCrop>false</ScaleCrop>
  <LinksUpToDate>false</LinksUpToDate>
  <CharactersWithSpaces>5042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米艳菲</cp:lastModifiedBy>
  <cp:lastPrinted>2020-08-07T11:39:00Z</cp:lastPrinted>
  <dcterms:modified xsi:type="dcterms:W3CDTF">2025-08-27T08:14:05Z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435078ACFECC4A5A8A519EF4C3681114_13</vt:lpwstr>
  </property>
  <property fmtid="{D5CDD505-2E9C-101B-9397-08002B2CF9AE}" pid="4" name="KSOTemplateDocerSaveRecord">
    <vt:lpwstr>eyJoZGlkIjoiNjg1NjMwMmViOGI3MDUyODkxYTQ3ZjFhMjk0YzhiZTEiLCJ1c2VySWQiOiIxNjg2MTExODkwIn0=</vt:lpwstr>
  </property>
</Properties>
</file>