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3288C" w14:textId="77777777" w:rsidR="00A86650" w:rsidRDefault="00A86650">
      <w:pPr>
        <w:jc w:val="center"/>
        <w:rPr>
          <w:rFonts w:ascii="仿宋_GB2312" w:eastAsia="仿宋_GB2312"/>
          <w:b/>
          <w:sz w:val="32"/>
          <w:szCs w:val="32"/>
        </w:rPr>
      </w:pPr>
    </w:p>
    <w:p w14:paraId="24F76E62" w14:textId="77777777" w:rsidR="00A86650" w:rsidRDefault="00A86650">
      <w:pPr>
        <w:jc w:val="center"/>
        <w:rPr>
          <w:rFonts w:ascii="黑体" w:eastAsia="黑体"/>
          <w:sz w:val="72"/>
          <w:szCs w:val="72"/>
        </w:rPr>
      </w:pPr>
    </w:p>
    <w:p w14:paraId="4352722E" w14:textId="77777777" w:rsidR="00A86650" w:rsidRDefault="00A86650">
      <w:pPr>
        <w:jc w:val="center"/>
        <w:rPr>
          <w:rFonts w:ascii="黑体" w:eastAsia="黑体"/>
          <w:sz w:val="72"/>
          <w:szCs w:val="72"/>
        </w:rPr>
      </w:pPr>
    </w:p>
    <w:p w14:paraId="4CF31A9D" w14:textId="77777777" w:rsidR="00A86650" w:rsidRDefault="00A86650">
      <w:pPr>
        <w:jc w:val="center"/>
        <w:rPr>
          <w:rFonts w:ascii="黑体" w:eastAsia="黑体"/>
          <w:sz w:val="72"/>
          <w:szCs w:val="72"/>
        </w:rPr>
      </w:pPr>
    </w:p>
    <w:p w14:paraId="2550D2F3" w14:textId="77777777" w:rsidR="00A86650" w:rsidRDefault="00A86650">
      <w:pPr>
        <w:jc w:val="center"/>
        <w:rPr>
          <w:rFonts w:ascii="黑体" w:eastAsia="黑体"/>
          <w:sz w:val="72"/>
          <w:szCs w:val="72"/>
        </w:rPr>
      </w:pPr>
    </w:p>
    <w:p w14:paraId="28B98CEB" w14:textId="77777777" w:rsidR="00A86650"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715FE8A3" w14:textId="77777777" w:rsidR="00A86650" w:rsidRDefault="00A86650">
      <w:pPr>
        <w:jc w:val="center"/>
        <w:rPr>
          <w:rFonts w:ascii="黑体" w:eastAsia="黑体"/>
          <w:sz w:val="52"/>
          <w:szCs w:val="52"/>
        </w:rPr>
      </w:pPr>
    </w:p>
    <w:p w14:paraId="076CAA2F" w14:textId="77777777" w:rsidR="00A86650" w:rsidRDefault="00A86650">
      <w:pPr>
        <w:jc w:val="center"/>
        <w:rPr>
          <w:rFonts w:ascii="黑体" w:eastAsia="黑体"/>
          <w:sz w:val="52"/>
          <w:szCs w:val="52"/>
        </w:rPr>
      </w:pPr>
    </w:p>
    <w:p w14:paraId="6EC96F04" w14:textId="77777777" w:rsidR="00A86650" w:rsidRDefault="00A86650">
      <w:pPr>
        <w:jc w:val="center"/>
        <w:rPr>
          <w:rFonts w:ascii="黑体" w:eastAsia="黑体"/>
          <w:sz w:val="52"/>
          <w:szCs w:val="52"/>
        </w:rPr>
      </w:pPr>
    </w:p>
    <w:p w14:paraId="40B4D128" w14:textId="77777777" w:rsidR="00A86650" w:rsidRDefault="00A86650">
      <w:pPr>
        <w:jc w:val="center"/>
        <w:rPr>
          <w:rFonts w:ascii="黑体" w:eastAsia="黑体"/>
          <w:sz w:val="52"/>
          <w:szCs w:val="52"/>
        </w:rPr>
      </w:pPr>
    </w:p>
    <w:p w14:paraId="73C8CA2A" w14:textId="77777777" w:rsidR="00A86650" w:rsidRDefault="00A86650">
      <w:pPr>
        <w:jc w:val="center"/>
        <w:rPr>
          <w:rFonts w:ascii="黑体" w:eastAsia="黑体"/>
          <w:sz w:val="32"/>
          <w:szCs w:val="32"/>
        </w:rPr>
      </w:pPr>
    </w:p>
    <w:p w14:paraId="790096E7" w14:textId="77777777" w:rsidR="00A86650"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26AA209E" w14:textId="77777777" w:rsidR="00A86650" w:rsidRDefault="00A86650">
      <w:pPr>
        <w:spacing w:line="500" w:lineRule="exact"/>
        <w:ind w:firstLine="645"/>
        <w:jc w:val="center"/>
        <w:rPr>
          <w:rFonts w:ascii="宋体" w:hAnsi="宋体" w:cs="宋体" w:hint="eastAsia"/>
          <w:b/>
          <w:bCs/>
          <w:kern w:val="0"/>
          <w:sz w:val="36"/>
          <w:szCs w:val="36"/>
        </w:rPr>
      </w:pPr>
    </w:p>
    <w:p w14:paraId="67B21B3F" w14:textId="77777777" w:rsidR="00A8665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6CC3586" w14:textId="77777777" w:rsidR="00A86650"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532E3643"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2EE4875A"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10294776"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AA74373"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1DD3547E"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F5D24B6"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3564A23"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066E965"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6714A8DF"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E9F6368"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63B551F0" w14:textId="77777777" w:rsidR="00A8665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E155721" w14:textId="77777777" w:rsidR="00A8665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53BC58E4" w14:textId="77777777" w:rsidR="00A86650"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BAAFCBD" w14:textId="77777777" w:rsidR="00A86650"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69AEDDA9" w14:textId="77777777" w:rsidR="00A86650" w:rsidRDefault="00A86650">
      <w:pPr>
        <w:tabs>
          <w:tab w:val="center" w:pos="6979"/>
        </w:tabs>
        <w:spacing w:beforeLines="50" w:before="156" w:afterLines="50" w:after="156"/>
        <w:jc w:val="center"/>
        <w:rPr>
          <w:rFonts w:ascii="宋体" w:hAnsi="宋体" w:cs="宋体" w:hint="eastAsia"/>
          <w:b/>
          <w:bCs/>
          <w:spacing w:val="40"/>
          <w:kern w:val="0"/>
          <w:sz w:val="32"/>
          <w:szCs w:val="32"/>
        </w:rPr>
      </w:pPr>
    </w:p>
    <w:p w14:paraId="747A9819" w14:textId="77777777" w:rsidR="00A86650" w:rsidRDefault="00A86650">
      <w:pPr>
        <w:tabs>
          <w:tab w:val="center" w:pos="6979"/>
        </w:tabs>
        <w:spacing w:beforeLines="50" w:before="156" w:afterLines="50" w:after="156"/>
        <w:jc w:val="center"/>
        <w:rPr>
          <w:rFonts w:ascii="宋体" w:hAnsi="宋体" w:cs="宋体" w:hint="eastAsia"/>
          <w:b/>
          <w:bCs/>
          <w:spacing w:val="40"/>
          <w:kern w:val="0"/>
          <w:sz w:val="32"/>
          <w:szCs w:val="32"/>
        </w:rPr>
      </w:pPr>
    </w:p>
    <w:p w14:paraId="1E29F304" w14:textId="77777777" w:rsidR="00A86650" w:rsidRDefault="00A86650">
      <w:pPr>
        <w:tabs>
          <w:tab w:val="center" w:pos="6979"/>
        </w:tabs>
        <w:spacing w:beforeLines="50" w:before="156" w:afterLines="50" w:after="156"/>
        <w:jc w:val="center"/>
        <w:rPr>
          <w:rFonts w:ascii="宋体" w:hAnsi="宋体" w:cs="宋体" w:hint="eastAsia"/>
          <w:b/>
          <w:bCs/>
          <w:spacing w:val="40"/>
          <w:kern w:val="0"/>
          <w:sz w:val="32"/>
          <w:szCs w:val="32"/>
        </w:rPr>
      </w:pPr>
    </w:p>
    <w:p w14:paraId="4A5CA4B6" w14:textId="77777777" w:rsidR="00A86650" w:rsidRDefault="00A86650">
      <w:pPr>
        <w:tabs>
          <w:tab w:val="center" w:pos="6979"/>
        </w:tabs>
        <w:spacing w:beforeLines="50" w:before="156" w:afterLines="50" w:after="156"/>
        <w:jc w:val="center"/>
        <w:rPr>
          <w:rFonts w:ascii="宋体" w:hAnsi="宋体" w:cs="宋体" w:hint="eastAsia"/>
          <w:b/>
          <w:bCs/>
          <w:spacing w:val="40"/>
          <w:kern w:val="0"/>
          <w:sz w:val="32"/>
          <w:szCs w:val="32"/>
        </w:rPr>
      </w:pPr>
    </w:p>
    <w:p w14:paraId="5F27C62A" w14:textId="77777777" w:rsidR="00A86650" w:rsidRDefault="00A86650">
      <w:pPr>
        <w:tabs>
          <w:tab w:val="center" w:pos="6979"/>
        </w:tabs>
        <w:spacing w:beforeLines="50" w:before="156" w:afterLines="50" w:after="156"/>
        <w:jc w:val="center"/>
        <w:rPr>
          <w:rFonts w:ascii="宋体" w:hAnsi="宋体" w:cs="宋体" w:hint="eastAsia"/>
          <w:b/>
          <w:bCs/>
          <w:spacing w:val="40"/>
          <w:kern w:val="0"/>
          <w:sz w:val="32"/>
          <w:szCs w:val="32"/>
        </w:rPr>
      </w:pPr>
    </w:p>
    <w:p w14:paraId="13EA1041" w14:textId="77777777" w:rsidR="00A86650"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157E3CAC" w14:textId="77777777" w:rsidR="00A86650" w:rsidRDefault="00000000">
      <w:pPr>
        <w:pStyle w:val="2"/>
        <w:rPr>
          <w:b w:val="0"/>
          <w:bCs w:val="0"/>
        </w:rPr>
        <w:sectPr w:rsidR="00A8665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6EA48A9" w14:textId="77777777" w:rsidR="00A86650"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4F23B63" w14:textId="77777777" w:rsidR="00A8665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5BDCFD16" w14:textId="77777777" w:rsidR="00A86650" w:rsidRDefault="00000000">
      <w:pPr>
        <w:ind w:firstLine="567"/>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14:paraId="47E610B4" w14:textId="77777777" w:rsidR="00A86650" w:rsidRDefault="00000000">
      <w:pPr>
        <w:ind w:firstLine="567"/>
        <w:rPr>
          <w:rFonts w:ascii="仿宋_GB2312" w:eastAsia="仿宋_GB2312"/>
          <w:sz w:val="28"/>
          <w:szCs w:val="28"/>
        </w:rPr>
      </w:pPr>
      <w:r>
        <w:rPr>
          <w:rFonts w:ascii="仿宋_GB2312" w:eastAsia="仿宋_GB2312" w:hint="eastAsia"/>
          <w:sz w:val="28"/>
          <w:szCs w:val="28"/>
        </w:rPr>
        <w:t>本单位为北京市西城区教育委员会所属2级预算单位，单位类型为公益一类事业单位单位决算编报类型为单户表</w:t>
      </w:r>
      <w:r>
        <w:rPr>
          <w:rFonts w:ascii="仿宋_GB2312" w:eastAsia="仿宋_GB2312" w:hint="eastAsia"/>
          <w:sz w:val="28"/>
          <w:szCs w:val="28"/>
        </w:rPr>
        <w:t> </w:t>
      </w:r>
      <w:r>
        <w:rPr>
          <w:rFonts w:ascii="仿宋_GB2312" w:eastAsia="仿宋_GB2312" w:hint="eastAsia"/>
          <w:sz w:val="28"/>
          <w:szCs w:val="28"/>
        </w:rPr>
        <w:t>，按照政府会计准则制度会计制度填报决算数据。纳入本套决算编制范围的独立核算单位共1个。</w:t>
      </w:r>
    </w:p>
    <w:p w14:paraId="601BAFD1" w14:textId="77777777" w:rsidR="00A86650"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2134CA62"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3905.65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106.78万元，增长2.8%。</w:t>
      </w:r>
    </w:p>
    <w:p w14:paraId="0144C2D5"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45F325D1"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3905.65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106.78万元，增长2.8%。</w:t>
      </w:r>
    </w:p>
    <w:p w14:paraId="1BFEA4DC"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3905.65</w:t>
      </w:r>
      <w:r>
        <w:rPr>
          <w:rFonts w:ascii="仿宋_GB2312" w:eastAsia="仿宋_GB2312" w:hint="eastAsia"/>
          <w:sz w:val="28"/>
          <w:szCs w:val="28"/>
        </w:rPr>
        <w:t>万元，占收入合计的100%。其中：一般公共预算财政拨款收入</w:t>
      </w:r>
      <w:r>
        <w:rPr>
          <w:rFonts w:ascii="仿宋_GB2312" w:eastAsia="仿宋_GB2312"/>
          <w:sz w:val="28"/>
          <w:szCs w:val="28"/>
        </w:rPr>
        <w:t>3902.65</w:t>
      </w:r>
      <w:r>
        <w:rPr>
          <w:rFonts w:ascii="仿宋_GB2312" w:eastAsia="仿宋_GB2312" w:hint="eastAsia"/>
          <w:sz w:val="28"/>
          <w:szCs w:val="28"/>
        </w:rPr>
        <w:t>万元，占收入合计的99.92%；政府性基金预算财政拨款收入</w:t>
      </w:r>
      <w:r>
        <w:rPr>
          <w:rFonts w:ascii="仿宋_GB2312" w:eastAsia="仿宋_GB2312"/>
          <w:sz w:val="28"/>
          <w:szCs w:val="28"/>
        </w:rPr>
        <w:t>3</w:t>
      </w:r>
      <w:r>
        <w:rPr>
          <w:rFonts w:ascii="仿宋_GB2312" w:eastAsia="仿宋_GB2312" w:hint="eastAsia"/>
          <w:sz w:val="28"/>
          <w:szCs w:val="28"/>
        </w:rPr>
        <w:t>万元，占收入合计的0.08%；国有资本经营预算财政拨款收入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13075A60"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1C22CF2C"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7E728A98"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B3BF197"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15AFF7D0"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1AC2A4C1" w14:textId="77777777" w:rsidR="00A86650" w:rsidRDefault="00000000">
      <w:pPr>
        <w:pStyle w:val="2"/>
        <w:jc w:val="center"/>
      </w:pPr>
      <w:r>
        <w:rPr>
          <w:rFonts w:ascii="仿宋_GB2312" w:eastAsia="仿宋_GB2312" w:hint="eastAsia"/>
          <w:color w:val="000000"/>
          <w:sz w:val="32"/>
        </w:rPr>
        <w:t>图1：收入决算</w:t>
      </w:r>
    </w:p>
    <w:p w14:paraId="383750D0" w14:textId="77777777" w:rsidR="00A86650" w:rsidRDefault="00000000">
      <w:pPr>
        <w:pStyle w:val="a3"/>
        <w:ind w:firstLine="420"/>
        <w:jc w:val="center"/>
      </w:pPr>
      <w:r>
        <w:rPr>
          <w:noProof/>
        </w:rPr>
        <w:drawing>
          <wp:inline distT="0" distB="0" distL="0" distR="0" wp14:anchorId="610B7839" wp14:editId="10100AB6">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240717"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A30DACB"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3905.65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106.78万元，增长2.8%，其中：基本支出</w:t>
      </w:r>
      <w:r>
        <w:rPr>
          <w:rFonts w:ascii="仿宋_GB2312" w:eastAsia="仿宋_GB2312"/>
          <w:sz w:val="28"/>
          <w:szCs w:val="28"/>
        </w:rPr>
        <w:t>3605.03</w:t>
      </w:r>
      <w:r>
        <w:rPr>
          <w:rFonts w:ascii="仿宋_GB2312" w:eastAsia="仿宋_GB2312" w:hint="eastAsia"/>
          <w:sz w:val="28"/>
          <w:szCs w:val="28"/>
        </w:rPr>
        <w:t>万元，占支出合计的92.3%；项目支出</w:t>
      </w:r>
      <w:r>
        <w:rPr>
          <w:rFonts w:ascii="仿宋_GB2312" w:eastAsia="仿宋_GB2312"/>
          <w:sz w:val="28"/>
          <w:szCs w:val="28"/>
        </w:rPr>
        <w:t>300.62</w:t>
      </w:r>
      <w:r>
        <w:rPr>
          <w:rFonts w:ascii="仿宋_GB2312" w:eastAsia="仿宋_GB2312" w:hint="eastAsia"/>
          <w:sz w:val="28"/>
          <w:szCs w:val="28"/>
        </w:rPr>
        <w:t>万元，占支出合计的7.7%;上缴上级支出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2F4664A1" w14:textId="77777777" w:rsidR="00A86650"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3A8F47E2" w14:textId="77777777" w:rsidR="00A86650" w:rsidRDefault="00000000">
      <w:pPr>
        <w:jc w:val="center"/>
        <w:rPr>
          <w:rFonts w:ascii="黑体" w:eastAsia="黑体"/>
          <w:b/>
          <w:sz w:val="28"/>
          <w:szCs w:val="28"/>
        </w:rPr>
      </w:pPr>
      <w:r>
        <w:rPr>
          <w:noProof/>
        </w:rPr>
        <w:drawing>
          <wp:inline distT="0" distB="0" distL="114300" distR="114300" wp14:anchorId="5277A016" wp14:editId="52456021">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5C58950" w14:textId="77777777" w:rsidR="00A8665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6317E3B" w14:textId="77777777" w:rsidR="00A8665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3905.65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106.78万元，增长2.8%。主要原因：本年项目数量增加。</w:t>
      </w:r>
    </w:p>
    <w:p w14:paraId="53C471CD" w14:textId="77777777" w:rsidR="00A8665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24EB38B" w14:textId="77777777" w:rsidR="00A866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104AAED2"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3902.65</w:t>
      </w:r>
      <w:r>
        <w:rPr>
          <w:rFonts w:ascii="仿宋_GB2312" w:eastAsia="仿宋_GB2312" w:hint="eastAsia"/>
          <w:sz w:val="28"/>
          <w:szCs w:val="28"/>
        </w:rPr>
        <w:t>万元，主要用于以下方面（按大类）：一般公共服务支出</w:t>
      </w:r>
      <w:r>
        <w:rPr>
          <w:rFonts w:ascii="仿宋_GB2312" w:eastAsia="仿宋_GB2312"/>
          <w:sz w:val="28"/>
          <w:szCs w:val="28"/>
        </w:rPr>
        <w:t>3902.65</w:t>
      </w:r>
      <w:r>
        <w:rPr>
          <w:rFonts w:ascii="仿宋_GB2312" w:eastAsia="仿宋_GB2312" w:hint="eastAsia"/>
          <w:sz w:val="28"/>
          <w:szCs w:val="28"/>
        </w:rPr>
        <w:t>万元，占本年财政拨款支出100%。</w:t>
      </w:r>
    </w:p>
    <w:p w14:paraId="1C21612B" w14:textId="77777777" w:rsidR="00A866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47996EE9" w14:textId="77777777" w:rsidR="00A866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1、“教育支出”（类2024年度年初预算2697.68万元，2024年度决算2679.09万元，完成年初预算的99.31%。</w:t>
      </w:r>
    </w:p>
    <w:p w14:paraId="6440B4A3" w14:textId="77777777" w:rsidR="00A86650"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215EC2CF"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“普通教育”（款，下同）2024年度年初预算2687.43万元，2024年度决算2668.88万元，完成年初预算的99.31%。主要原因：学生人数相较于年初减少导致产生的费用相应减少。</w:t>
      </w:r>
    </w:p>
    <w:p w14:paraId="4B6440C3"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“特殊教育”（款）2024年度年初预算3.57万元，2024年度决算3.57万元，完成年初预算的100%。</w:t>
      </w:r>
    </w:p>
    <w:p w14:paraId="60155034"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“进修及培训”（款）2024年度年初预算6.64万元，2024年度决算6.64万元，完成年初预算的100%。</w:t>
      </w:r>
    </w:p>
    <w:p w14:paraId="2CB2D327"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2、“社会保障和就业支出”(类)2024年度年初预算498.08万元，2024年度决算497.07万元，完成年初预算的99.99%。其中：</w:t>
      </w:r>
    </w:p>
    <w:p w14:paraId="635B4719"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“行政事业单位养老支出”（款）2024年度年初预算498.08万元，2024年度决算497.07万元，完成年初预算的99.99%。主要原因：基数调整导致社会保险金额减少。</w:t>
      </w:r>
    </w:p>
    <w:p w14:paraId="3FC3724F"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3、“卫生健康支出”(类)2024年度年初预算247.12万元，2024年度决算259.72万元，完成年初预算的105.1%。其中：</w:t>
      </w:r>
    </w:p>
    <w:p w14:paraId="48050D93"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“行政事业单位医疗”（款）2024年度年初预算247.12万元，2024年度决算259.72万元，完成年初预算的105.1%。主要原因：年初预算中未包含生育保险，因此该类经费相较年初预算增加。</w:t>
      </w:r>
    </w:p>
    <w:p w14:paraId="04E6A82F"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4、“住房保障支出”(类)2024年度年初预算471.75万元，2024年度决算466.76万元，完成年初预算的98.94%。其中：</w:t>
      </w:r>
    </w:p>
    <w:p w14:paraId="1FCEB625" w14:textId="77777777" w:rsidR="00A86650" w:rsidRDefault="00000000">
      <w:pPr>
        <w:spacing w:line="580" w:lineRule="exact"/>
        <w:ind w:firstLineChars="200" w:firstLine="560"/>
      </w:pPr>
      <w:r>
        <w:rPr>
          <w:rFonts w:ascii="仿宋_GB2312" w:eastAsia="仿宋_GB2312" w:hint="eastAsia"/>
          <w:sz w:val="28"/>
          <w:szCs w:val="28"/>
        </w:rPr>
        <w:lastRenderedPageBreak/>
        <w:t>“住房改革支出”（款）)2024年度年初预算471.75万元，2024年度决算466.76万元，完成年初预算的98.94%。主要原因：部分职工退休、调出，导致该类支出相较年初预算减少部分职工退休、调出，导致该类支出相较年初预算减少。</w:t>
      </w:r>
    </w:p>
    <w:p w14:paraId="582E5D37" w14:textId="77777777" w:rsidR="00A86650"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5BAF488" w14:textId="77777777" w:rsidR="00A866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7043A7F2" w14:textId="77777777" w:rsidR="00A8665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万元，主要用于以下方面（按大类）：其他支出3万元，占本年财政拨款支出100%。</w:t>
      </w:r>
    </w:p>
    <w:p w14:paraId="6E8EE500" w14:textId="77777777" w:rsidR="00A8665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7AF41507" w14:textId="77777777" w:rsidR="00A86650"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1、“其他支出”（类，下同）2024年度年初预算3万元，2024年度决算3万元，完成年初预算的100%。其中：</w:t>
      </w:r>
    </w:p>
    <w:p w14:paraId="00D79A45" w14:textId="77777777" w:rsidR="00A8665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“用于体育事业的彩票公益金支出”（款，下同）2024年度年初预算3万元，2024年度决算3万元，完成年初预算的100%。</w:t>
      </w:r>
    </w:p>
    <w:p w14:paraId="6A45EBC2" w14:textId="77777777" w:rsidR="00A86650"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17724F24" w14:textId="77777777" w:rsidR="00A86650"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1752D8F8" w14:textId="77777777" w:rsidR="00A86650"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605A611B" w14:textId="77777777" w:rsidR="00A86650"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3605.03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w:t>
      </w:r>
      <w:r>
        <w:rPr>
          <w:rFonts w:ascii="仿宋_GB2312" w:eastAsia="仿宋_GB2312"/>
          <w:sz w:val="28"/>
          <w:szCs w:val="28"/>
        </w:rPr>
        <w:lastRenderedPageBreak/>
        <w:t>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64C3FCC" w14:textId="77777777" w:rsidR="00A86650"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63839AB" w14:textId="77777777" w:rsidR="00A86650"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60936AE" w14:textId="77777777" w:rsidR="00A86650"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6656C5EF" w14:textId="77777777" w:rsidR="003A4E5C" w:rsidRDefault="003A4E5C">
      <w:pPr>
        <w:tabs>
          <w:tab w:val="center" w:pos="6979"/>
        </w:tabs>
        <w:ind w:firstLineChars="198" w:firstLine="554"/>
        <w:rPr>
          <w:rFonts w:ascii="仿宋_GB2312" w:eastAsia="仿宋_GB2312"/>
          <w:sz w:val="28"/>
          <w:szCs w:val="28"/>
        </w:rPr>
      </w:pPr>
      <w:r>
        <w:rPr>
          <w:rFonts w:ascii="仿宋_GB2312" w:eastAsia="仿宋_GB2312" w:hint="eastAsia"/>
          <w:sz w:val="28"/>
          <w:szCs w:val="28"/>
        </w:rPr>
        <w:t>本单位无此项经费。</w:t>
      </w:r>
    </w:p>
    <w:p w14:paraId="3094A4C3" w14:textId="5CE55E12" w:rsidR="00A86650"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7EC51E8" w14:textId="77777777" w:rsidR="003A4E5C" w:rsidRDefault="003A4E5C" w:rsidP="003A4E5C">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742F468A" w14:textId="77777777" w:rsidR="00A86650" w:rsidRDefault="00000000">
      <w:pPr>
        <w:ind w:left="540"/>
        <w:rPr>
          <w:rFonts w:ascii="黑体" w:eastAsia="黑体"/>
          <w:sz w:val="28"/>
          <w:szCs w:val="28"/>
        </w:rPr>
      </w:pPr>
      <w:r>
        <w:rPr>
          <w:rFonts w:ascii="黑体" w:eastAsia="黑体" w:hint="eastAsia"/>
          <w:sz w:val="28"/>
          <w:szCs w:val="28"/>
        </w:rPr>
        <w:t>三、政府采购支出情况</w:t>
      </w:r>
    </w:p>
    <w:p w14:paraId="54B2021C" w14:textId="77777777" w:rsidR="00A86650"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25.38</w:t>
      </w:r>
      <w:r>
        <w:rPr>
          <w:rFonts w:ascii="仿宋_GB2312" w:eastAsia="仿宋_GB2312" w:hint="eastAsia"/>
          <w:sz w:val="28"/>
          <w:szCs w:val="28"/>
        </w:rPr>
        <w:t>万元，其中：政府采购货物支出</w:t>
      </w:r>
      <w:r>
        <w:rPr>
          <w:rFonts w:ascii="仿宋_GB2312" w:eastAsia="仿宋_GB2312"/>
          <w:sz w:val="28"/>
          <w:szCs w:val="28"/>
        </w:rPr>
        <w:t>5.33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20.05</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万元，占政府采购支出总额的0%，其中：授予小微企业合同金额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14:paraId="4C07CE41" w14:textId="77777777" w:rsidR="00A86650"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62806489" w14:textId="77777777" w:rsidR="00A86650" w:rsidRDefault="00000000">
      <w:pPr>
        <w:ind w:firstLineChars="200" w:firstLine="560"/>
        <w:rPr>
          <w:rFonts w:ascii="仿宋_GB2312" w:eastAsia="仿宋_GB2312"/>
          <w:sz w:val="32"/>
          <w:szCs w:val="32"/>
        </w:rPr>
      </w:pPr>
      <w:r>
        <w:rPr>
          <w:rFonts w:ascii="仿宋_GB2312" w:eastAsia="仿宋_GB2312" w:hint="eastAsia"/>
          <w:sz w:val="28"/>
          <w:szCs w:val="28"/>
        </w:rPr>
        <w:lastRenderedPageBreak/>
        <w:t>截至12月31日，北京市三帆中学附属小学共有车辆0台；单位价值100万元（含）以上的设备0台（套）。</w:t>
      </w:r>
    </w:p>
    <w:p w14:paraId="729DBC33" w14:textId="77777777" w:rsidR="00A86650"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849E7F7" w14:textId="77777777" w:rsidR="00A86650"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3654B6E3" w14:textId="77777777" w:rsidR="00A86650"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6AF8F93B" w14:textId="77777777" w:rsidR="00A86650"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6C7E334F" w14:textId="77777777" w:rsidR="00A86650"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408346AD" w14:textId="77777777" w:rsidR="00A86650"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73B20C2" w14:textId="77777777" w:rsidR="00A86650"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2647804" w14:textId="77777777" w:rsidR="00A86650"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35CD425" w14:textId="77777777" w:rsidR="00A86650"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B436D1A" w14:textId="77777777" w:rsidR="00A86650" w:rsidRPr="003A4E5C" w:rsidRDefault="00000000">
      <w:pPr>
        <w:ind w:firstLineChars="200" w:firstLine="560"/>
        <w:rPr>
          <w:rFonts w:ascii="仿宋_GB2312" w:eastAsia="仿宋_GB2312"/>
          <w:sz w:val="28"/>
          <w:szCs w:val="28"/>
        </w:rPr>
      </w:pPr>
      <w:r w:rsidRPr="003A4E5C">
        <w:rPr>
          <w:rFonts w:ascii="仿宋_GB2312" w:eastAsia="仿宋_GB2312" w:hint="eastAsia"/>
          <w:sz w:val="28"/>
          <w:szCs w:val="28"/>
        </w:rPr>
        <w:t>7.各单位需根据自身业务职能，补充当年使用的所有支出功能分类项级科目名词解释，例如：</w:t>
      </w:r>
    </w:p>
    <w:p w14:paraId="64BD713C" w14:textId="77777777" w:rsidR="00A86650" w:rsidRDefault="00000000">
      <w:pPr>
        <w:ind w:firstLineChars="200" w:firstLine="560"/>
        <w:rPr>
          <w:rFonts w:ascii="仿宋_GB2312" w:eastAsia="仿宋_GB2312"/>
          <w:sz w:val="28"/>
          <w:szCs w:val="28"/>
        </w:rPr>
      </w:pPr>
      <w:r w:rsidRPr="003A4E5C">
        <w:rPr>
          <w:rFonts w:ascii="仿宋_GB2312" w:eastAsia="仿宋_GB2312" w:hint="eastAsia"/>
          <w:sz w:val="28"/>
          <w:szCs w:val="28"/>
        </w:rPr>
        <w:t>一般公共服务支出（类）人大事务（款）行政运行（项）：反映行政单位（包括实行公务员管理的事业单位）的基本支出</w:t>
      </w:r>
      <w:r>
        <w:rPr>
          <w:rFonts w:ascii="仿宋_GB2312" w:eastAsia="仿宋_GB2312" w:hint="eastAsia"/>
          <w:sz w:val="28"/>
          <w:szCs w:val="28"/>
        </w:rPr>
        <w:t>。</w:t>
      </w:r>
    </w:p>
    <w:p w14:paraId="52ADEF20" w14:textId="77777777" w:rsidR="00A86650" w:rsidRDefault="00A86650">
      <w:pPr>
        <w:rPr>
          <w:rFonts w:ascii="黑体" w:eastAsia="黑体"/>
          <w:sz w:val="32"/>
          <w:szCs w:val="32"/>
        </w:rPr>
      </w:pPr>
    </w:p>
    <w:p w14:paraId="55D097CD" w14:textId="77777777" w:rsidR="003A4E5C" w:rsidRDefault="003A4E5C">
      <w:pPr>
        <w:ind w:firstLineChars="200" w:firstLine="640"/>
        <w:jc w:val="center"/>
        <w:rPr>
          <w:rFonts w:ascii="黑体" w:eastAsia="黑体"/>
          <w:sz w:val="32"/>
          <w:szCs w:val="32"/>
        </w:rPr>
      </w:pPr>
    </w:p>
    <w:p w14:paraId="79A3F5B3" w14:textId="77777777" w:rsidR="003A4E5C" w:rsidRDefault="003A4E5C">
      <w:pPr>
        <w:ind w:firstLineChars="200" w:firstLine="640"/>
        <w:jc w:val="center"/>
        <w:rPr>
          <w:rFonts w:ascii="黑体" w:eastAsia="黑体"/>
          <w:sz w:val="32"/>
          <w:szCs w:val="32"/>
        </w:rPr>
      </w:pPr>
    </w:p>
    <w:p w14:paraId="38200857" w14:textId="77777777" w:rsidR="003A4E5C" w:rsidRDefault="003A4E5C">
      <w:pPr>
        <w:ind w:firstLineChars="200" w:firstLine="640"/>
        <w:jc w:val="center"/>
        <w:rPr>
          <w:rFonts w:ascii="黑体" w:eastAsia="黑体"/>
          <w:sz w:val="32"/>
          <w:szCs w:val="32"/>
        </w:rPr>
      </w:pPr>
    </w:p>
    <w:p w14:paraId="78B6180F" w14:textId="77777777" w:rsidR="003A4E5C" w:rsidRDefault="003A4E5C">
      <w:pPr>
        <w:ind w:firstLineChars="200" w:firstLine="640"/>
        <w:jc w:val="center"/>
        <w:rPr>
          <w:rFonts w:ascii="黑体" w:eastAsia="黑体"/>
          <w:sz w:val="32"/>
          <w:szCs w:val="32"/>
        </w:rPr>
      </w:pPr>
    </w:p>
    <w:p w14:paraId="5144B8CB" w14:textId="77777777" w:rsidR="003A4E5C" w:rsidRDefault="003A4E5C">
      <w:pPr>
        <w:ind w:firstLineChars="200" w:firstLine="640"/>
        <w:jc w:val="center"/>
        <w:rPr>
          <w:rFonts w:ascii="黑体" w:eastAsia="黑体"/>
          <w:sz w:val="32"/>
          <w:szCs w:val="32"/>
        </w:rPr>
      </w:pPr>
    </w:p>
    <w:p w14:paraId="37816534" w14:textId="77777777" w:rsidR="003A4E5C" w:rsidRDefault="003A4E5C">
      <w:pPr>
        <w:ind w:firstLineChars="200" w:firstLine="640"/>
        <w:jc w:val="center"/>
        <w:rPr>
          <w:rFonts w:ascii="黑体" w:eastAsia="黑体"/>
          <w:sz w:val="32"/>
          <w:szCs w:val="32"/>
        </w:rPr>
      </w:pPr>
    </w:p>
    <w:p w14:paraId="75302662" w14:textId="77777777" w:rsidR="003A4E5C" w:rsidRDefault="003A4E5C">
      <w:pPr>
        <w:ind w:firstLineChars="200" w:firstLine="640"/>
        <w:jc w:val="center"/>
        <w:rPr>
          <w:rFonts w:ascii="黑体" w:eastAsia="黑体"/>
          <w:sz w:val="32"/>
          <w:szCs w:val="32"/>
        </w:rPr>
      </w:pPr>
    </w:p>
    <w:p w14:paraId="7927188C" w14:textId="77777777" w:rsidR="003A4E5C" w:rsidRDefault="003A4E5C">
      <w:pPr>
        <w:ind w:firstLineChars="200" w:firstLine="640"/>
        <w:jc w:val="center"/>
        <w:rPr>
          <w:rFonts w:ascii="黑体" w:eastAsia="黑体"/>
          <w:sz w:val="32"/>
          <w:szCs w:val="32"/>
        </w:rPr>
      </w:pPr>
    </w:p>
    <w:p w14:paraId="621C8C49" w14:textId="77777777" w:rsidR="003A4E5C" w:rsidRDefault="003A4E5C">
      <w:pPr>
        <w:ind w:firstLineChars="200" w:firstLine="640"/>
        <w:jc w:val="center"/>
        <w:rPr>
          <w:rFonts w:ascii="黑体" w:eastAsia="黑体"/>
          <w:sz w:val="32"/>
          <w:szCs w:val="32"/>
        </w:rPr>
      </w:pPr>
    </w:p>
    <w:p w14:paraId="0C1356FE" w14:textId="77777777" w:rsidR="003A4E5C" w:rsidRDefault="003A4E5C">
      <w:pPr>
        <w:ind w:firstLineChars="200" w:firstLine="640"/>
        <w:jc w:val="center"/>
        <w:rPr>
          <w:rFonts w:ascii="黑体" w:eastAsia="黑体"/>
          <w:sz w:val="32"/>
          <w:szCs w:val="32"/>
        </w:rPr>
      </w:pPr>
    </w:p>
    <w:p w14:paraId="6C3D54B2" w14:textId="7C3EB0D8" w:rsidR="00A86650"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07E731FE" w14:textId="77777777" w:rsidR="00A86650" w:rsidRDefault="00A86650">
      <w:pPr>
        <w:ind w:firstLineChars="200" w:firstLine="560"/>
        <w:rPr>
          <w:rFonts w:ascii="黑体" w:eastAsia="黑体"/>
          <w:sz w:val="28"/>
          <w:szCs w:val="28"/>
          <w:highlight w:val="yellow"/>
        </w:rPr>
      </w:pPr>
    </w:p>
    <w:p w14:paraId="4B75A488" w14:textId="77777777" w:rsidR="00A86650"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7B35C547" w14:textId="77777777" w:rsidR="00A86650"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58DE26C2" w14:textId="77777777" w:rsidR="00A86650"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D81C4F4" w14:textId="77777777" w:rsidR="00A86650"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566DB4BB" w14:textId="77777777" w:rsidR="00A86650"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49BB5FF2" w14:textId="77777777" w:rsidR="00A86650" w:rsidRDefault="00A86650">
      <w:pPr>
        <w:spacing w:line="480" w:lineRule="exact"/>
        <w:rPr>
          <w:rFonts w:ascii="仿宋_GB2312" w:eastAsia="仿宋_GB2312" w:hAnsi="仿宋_GB2312" w:cs="仿宋_GB2312"/>
          <w:sz w:val="32"/>
          <w:szCs w:val="32"/>
        </w:rPr>
      </w:pPr>
    </w:p>
    <w:p w14:paraId="345CA3FA" w14:textId="77777777" w:rsidR="00A86650" w:rsidRDefault="00A86650">
      <w:pPr>
        <w:spacing w:line="480" w:lineRule="exact"/>
      </w:pPr>
    </w:p>
    <w:sectPr w:rsidR="00A8665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24DC0" w14:textId="77777777" w:rsidR="0013106B" w:rsidRDefault="0013106B">
      <w:r>
        <w:separator/>
      </w:r>
    </w:p>
  </w:endnote>
  <w:endnote w:type="continuationSeparator" w:id="0">
    <w:p w14:paraId="71F2C879" w14:textId="77777777" w:rsidR="0013106B" w:rsidRDefault="0013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E719" w14:textId="77777777" w:rsidR="00A866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FC07C6D" w14:textId="77777777" w:rsidR="00A86650" w:rsidRDefault="00A866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4001C" w14:textId="77777777" w:rsidR="00A866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DB4DAEF" w14:textId="77777777" w:rsidR="00A86650" w:rsidRDefault="00A8665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D43D8" w14:textId="77777777" w:rsidR="00A8665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66509AD8" w14:textId="77777777" w:rsidR="00A86650" w:rsidRDefault="00A866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1975E" w14:textId="77777777" w:rsidR="0013106B" w:rsidRDefault="0013106B">
      <w:r>
        <w:separator/>
      </w:r>
    </w:p>
  </w:footnote>
  <w:footnote w:type="continuationSeparator" w:id="0">
    <w:p w14:paraId="6AB3B1A4" w14:textId="77777777" w:rsidR="0013106B" w:rsidRDefault="00131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26957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06B"/>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5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86650"/>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C15138"/>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A79C9"/>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71D-47C7-9E56-9712F4E1C718}"/>
              </c:ext>
            </c:extLst>
          </c:dPt>
          <c:dPt>
            <c:idx val="1"/>
            <c:bubble3D val="0"/>
            <c:extLst>
              <c:ext xmlns:c16="http://schemas.microsoft.com/office/drawing/2014/chart" uri="{C3380CC4-5D6E-409C-BE32-E72D297353CC}">
                <c16:uniqueId val="{00000001-B71D-47C7-9E56-9712F4E1C718}"/>
              </c:ext>
            </c:extLst>
          </c:dPt>
          <c:dPt>
            <c:idx val="2"/>
            <c:bubble3D val="0"/>
            <c:extLst>
              <c:ext xmlns:c16="http://schemas.microsoft.com/office/drawing/2014/chart" uri="{C3380CC4-5D6E-409C-BE32-E72D297353CC}">
                <c16:uniqueId val="{00000002-B71D-47C7-9E56-9712F4E1C718}"/>
              </c:ext>
            </c:extLst>
          </c:dPt>
          <c:dPt>
            <c:idx val="3"/>
            <c:bubble3D val="0"/>
            <c:extLst>
              <c:ext xmlns:c16="http://schemas.microsoft.com/office/drawing/2014/chart" uri="{C3380CC4-5D6E-409C-BE32-E72D297353CC}">
                <c16:uniqueId val="{00000003-B71D-47C7-9E56-9712F4E1C718}"/>
              </c:ext>
            </c:extLst>
          </c:dPt>
          <c:dPt>
            <c:idx val="4"/>
            <c:bubble3D val="0"/>
            <c:extLst>
              <c:ext xmlns:c16="http://schemas.microsoft.com/office/drawing/2014/chart" uri="{C3380CC4-5D6E-409C-BE32-E72D297353CC}">
                <c16:uniqueId val="{00000004-B71D-47C7-9E56-9712F4E1C718}"/>
              </c:ext>
            </c:extLst>
          </c:dPt>
          <c:dPt>
            <c:idx val="5"/>
            <c:bubble3D val="0"/>
            <c:extLst>
              <c:ext xmlns:c16="http://schemas.microsoft.com/office/drawing/2014/chart" uri="{C3380CC4-5D6E-409C-BE32-E72D297353CC}">
                <c16:uniqueId val="{00000005-B71D-47C7-9E56-9712F4E1C718}"/>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3905.65</c:v>
                </c:pt>
                <c:pt idx="1">
                  <c:v>0</c:v>
                </c:pt>
                <c:pt idx="2">
                  <c:v>0</c:v>
                </c:pt>
                <c:pt idx="3">
                  <c:v>0</c:v>
                </c:pt>
                <c:pt idx="4">
                  <c:v>0</c:v>
                </c:pt>
                <c:pt idx="5">
                  <c:v>0</c:v>
                </c:pt>
              </c:numCache>
            </c:numRef>
          </c:val>
          <c:extLst>
            <c:ext xmlns:c16="http://schemas.microsoft.com/office/drawing/2014/chart" uri="{C3380CC4-5D6E-409C-BE32-E72D297353CC}">
              <c16:uniqueId val="{00000006-B71D-47C7-9E56-9712F4E1C718}"/>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81c2cdc8-aef6-4a0c-a61f-0958e4747226}"/>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9B0-406C-886A-7E1042C4D9DC}"/>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9B0-406C-886A-7E1042C4D9DC}"/>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9B0-406C-886A-7E1042C4D9DC}"/>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9B0-406C-886A-7E1042C4D9DC}"/>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9B0-406C-886A-7E1042C4D9DC}"/>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9B0-406C-886A-7E1042C4D9DC}"/>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9B0-406C-886A-7E1042C4D9DC}"/>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3605.03</c:v>
                </c:pt>
                <c:pt idx="1">
                  <c:v>300.62</c:v>
                </c:pt>
                <c:pt idx="2">
                  <c:v>0</c:v>
                </c:pt>
                <c:pt idx="3">
                  <c:v>0</c:v>
                </c:pt>
                <c:pt idx="4">
                  <c:v>0</c:v>
                </c:pt>
              </c:numCache>
            </c:numRef>
          </c:val>
          <c:extLst>
            <c:ext xmlns:c16="http://schemas.microsoft.com/office/drawing/2014/chart" uri="{C3380CC4-5D6E-409C-BE32-E72D297353CC}">
              <c16:uniqueId val="{0000000A-49B0-406C-886A-7E1042C4D9DC}"/>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8280171d-b6fa-45c6-8fb1-59dfd2f554f3}"/>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581</Words>
  <Characters>3316</Characters>
  <Application>Microsoft Office Word</Application>
  <DocSecurity>0</DocSecurity>
  <Lines>27</Lines>
  <Paragraphs>7</Paragraphs>
  <ScaleCrop>false</ScaleCrop>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24</cp:revision>
  <cp:lastPrinted>2020-08-07T11:39:00Z</cp:lastPrinted>
  <dcterms:created xsi:type="dcterms:W3CDTF">2017-07-11T15:16:00Z</dcterms:created>
  <dcterms:modified xsi:type="dcterms:W3CDTF">2025-08-27T13:01:00Z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eyJoZGlkIjoiODUzNDcyMWE2MTI3MTMwNjYwZjc4YzMzNGU2NzNmM2EiLCJ1c2VySWQiOiIyMDMzNDczMTIifQ==</vt:lpwstr>
  </property>
</Properties>
</file>