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0F7F8" w14:textId="77777777" w:rsidR="00601EFB" w:rsidRDefault="00601EFB">
      <w:pPr>
        <w:jc w:val="center"/>
        <w:rPr>
          <w:rFonts w:ascii="仿宋_GB2312" w:eastAsia="仿宋_GB2312"/>
          <w:b/>
          <w:sz w:val="32"/>
          <w:szCs w:val="32"/>
        </w:rPr>
      </w:pPr>
    </w:p>
    <w:p w14:paraId="05B5A9F5" w14:textId="77777777" w:rsidR="00601EFB" w:rsidRDefault="00601EFB">
      <w:pPr>
        <w:jc w:val="center"/>
        <w:rPr>
          <w:rFonts w:ascii="黑体" w:eastAsia="黑体"/>
          <w:sz w:val="72"/>
          <w:szCs w:val="72"/>
        </w:rPr>
      </w:pPr>
    </w:p>
    <w:p w14:paraId="2545CCB6" w14:textId="77777777" w:rsidR="00601EFB" w:rsidRDefault="00601EFB">
      <w:pPr>
        <w:jc w:val="center"/>
        <w:rPr>
          <w:rFonts w:ascii="黑体" w:eastAsia="黑体"/>
          <w:sz w:val="72"/>
          <w:szCs w:val="72"/>
        </w:rPr>
      </w:pPr>
    </w:p>
    <w:p w14:paraId="01CB1825" w14:textId="77777777" w:rsidR="00601EFB" w:rsidRDefault="00601EFB">
      <w:pPr>
        <w:jc w:val="center"/>
        <w:rPr>
          <w:rFonts w:ascii="黑体" w:eastAsia="黑体"/>
          <w:sz w:val="72"/>
          <w:szCs w:val="72"/>
        </w:rPr>
      </w:pPr>
    </w:p>
    <w:p w14:paraId="6769F57E" w14:textId="77777777" w:rsidR="00601EFB" w:rsidRDefault="00601EFB">
      <w:pPr>
        <w:jc w:val="center"/>
        <w:rPr>
          <w:rFonts w:ascii="黑体" w:eastAsia="黑体"/>
          <w:sz w:val="72"/>
          <w:szCs w:val="72"/>
        </w:rPr>
      </w:pPr>
    </w:p>
    <w:p w14:paraId="66FBC980" w14:textId="77777777" w:rsidR="00601EFB" w:rsidRDefault="00CB7B5E">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646E2577" w14:textId="77777777" w:rsidR="00601EFB" w:rsidRDefault="00601EFB">
      <w:pPr>
        <w:jc w:val="center"/>
        <w:rPr>
          <w:rFonts w:ascii="黑体" w:eastAsia="黑体"/>
          <w:sz w:val="52"/>
          <w:szCs w:val="52"/>
        </w:rPr>
      </w:pPr>
    </w:p>
    <w:p w14:paraId="70A02AA2" w14:textId="77777777" w:rsidR="00601EFB" w:rsidRDefault="00601EFB">
      <w:pPr>
        <w:jc w:val="center"/>
        <w:rPr>
          <w:rFonts w:ascii="黑体" w:eastAsia="黑体"/>
          <w:sz w:val="52"/>
          <w:szCs w:val="52"/>
        </w:rPr>
      </w:pPr>
    </w:p>
    <w:p w14:paraId="4B9071FA" w14:textId="77777777" w:rsidR="00601EFB" w:rsidRDefault="00601EFB">
      <w:pPr>
        <w:jc w:val="center"/>
        <w:rPr>
          <w:rFonts w:ascii="黑体" w:eastAsia="黑体"/>
          <w:sz w:val="52"/>
          <w:szCs w:val="52"/>
        </w:rPr>
      </w:pPr>
    </w:p>
    <w:p w14:paraId="7F7157A9" w14:textId="77777777" w:rsidR="00601EFB" w:rsidRDefault="00601EFB">
      <w:pPr>
        <w:jc w:val="center"/>
        <w:rPr>
          <w:rFonts w:ascii="黑体" w:eastAsia="黑体"/>
          <w:sz w:val="52"/>
          <w:szCs w:val="52"/>
        </w:rPr>
      </w:pPr>
    </w:p>
    <w:p w14:paraId="3A3CF86A" w14:textId="77777777" w:rsidR="00601EFB" w:rsidRDefault="00601EFB">
      <w:pPr>
        <w:jc w:val="center"/>
        <w:rPr>
          <w:rFonts w:ascii="黑体" w:eastAsia="黑体"/>
          <w:sz w:val="32"/>
          <w:szCs w:val="32"/>
        </w:rPr>
      </w:pPr>
    </w:p>
    <w:p w14:paraId="5012C476" w14:textId="77777777" w:rsidR="00601EFB" w:rsidRDefault="00CB7B5E">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7B07C76B" w14:textId="77777777" w:rsidR="00601EFB" w:rsidRDefault="00601EFB">
      <w:pPr>
        <w:spacing w:line="500" w:lineRule="exact"/>
        <w:ind w:firstLine="645"/>
        <w:jc w:val="center"/>
        <w:rPr>
          <w:rFonts w:ascii="宋体" w:hAnsi="宋体" w:cs="宋体" w:hint="eastAsia"/>
          <w:b/>
          <w:bCs/>
          <w:kern w:val="0"/>
          <w:sz w:val="36"/>
          <w:szCs w:val="36"/>
        </w:rPr>
      </w:pPr>
    </w:p>
    <w:p w14:paraId="747A4AEE" w14:textId="77777777" w:rsidR="00601EFB" w:rsidRDefault="00CB7B5E">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12997E6E" w14:textId="77777777" w:rsidR="00601EFB" w:rsidRDefault="00CB7B5E">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25940014"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39D3C8FF"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0CD2AE4A"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09750396"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69173588"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A6D8A68"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1763961E"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6282CAAC"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EA61727"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54D317DF"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4147A4A5" w14:textId="77777777" w:rsidR="00601EFB" w:rsidRDefault="00CB7B5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74843796" w14:textId="77777777" w:rsidR="00601EFB" w:rsidRDefault="00CB7B5E">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0F557A0B" w14:textId="77777777" w:rsidR="00601EFB" w:rsidRDefault="00CB7B5E">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5D37B7E9" w14:textId="77777777" w:rsidR="00601EFB" w:rsidRDefault="00CB7B5E">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D973D29" w14:textId="77777777" w:rsidR="00601EFB" w:rsidRDefault="00601EFB">
      <w:pPr>
        <w:tabs>
          <w:tab w:val="center" w:pos="6979"/>
        </w:tabs>
        <w:spacing w:beforeLines="50" w:before="156" w:afterLines="50" w:after="156"/>
        <w:jc w:val="center"/>
        <w:rPr>
          <w:rFonts w:ascii="宋体" w:hAnsi="宋体" w:cs="宋体" w:hint="eastAsia"/>
          <w:b/>
          <w:bCs/>
          <w:spacing w:val="40"/>
          <w:kern w:val="0"/>
          <w:sz w:val="32"/>
          <w:szCs w:val="32"/>
        </w:rPr>
      </w:pPr>
    </w:p>
    <w:p w14:paraId="6E122DBA" w14:textId="77777777" w:rsidR="00601EFB" w:rsidRDefault="00601EFB">
      <w:pPr>
        <w:tabs>
          <w:tab w:val="center" w:pos="6979"/>
        </w:tabs>
        <w:spacing w:beforeLines="50" w:before="156" w:afterLines="50" w:after="156"/>
        <w:jc w:val="center"/>
        <w:rPr>
          <w:rFonts w:ascii="宋体" w:hAnsi="宋体" w:cs="宋体" w:hint="eastAsia"/>
          <w:b/>
          <w:bCs/>
          <w:spacing w:val="40"/>
          <w:kern w:val="0"/>
          <w:sz w:val="32"/>
          <w:szCs w:val="32"/>
        </w:rPr>
      </w:pPr>
    </w:p>
    <w:p w14:paraId="4A711E9F" w14:textId="77777777" w:rsidR="00601EFB" w:rsidRDefault="00601EFB">
      <w:pPr>
        <w:tabs>
          <w:tab w:val="center" w:pos="6979"/>
        </w:tabs>
        <w:spacing w:beforeLines="50" w:before="156" w:afterLines="50" w:after="156"/>
        <w:jc w:val="center"/>
        <w:rPr>
          <w:rFonts w:ascii="宋体" w:hAnsi="宋体" w:cs="宋体" w:hint="eastAsia"/>
          <w:b/>
          <w:bCs/>
          <w:spacing w:val="40"/>
          <w:kern w:val="0"/>
          <w:sz w:val="32"/>
          <w:szCs w:val="32"/>
        </w:rPr>
      </w:pPr>
    </w:p>
    <w:p w14:paraId="70B0A2E2" w14:textId="77777777" w:rsidR="00601EFB" w:rsidRDefault="00601EFB">
      <w:pPr>
        <w:tabs>
          <w:tab w:val="center" w:pos="6979"/>
        </w:tabs>
        <w:spacing w:beforeLines="50" w:before="156" w:afterLines="50" w:after="156"/>
        <w:jc w:val="center"/>
        <w:rPr>
          <w:rFonts w:ascii="宋体" w:hAnsi="宋体" w:cs="宋体" w:hint="eastAsia"/>
          <w:b/>
          <w:bCs/>
          <w:spacing w:val="40"/>
          <w:kern w:val="0"/>
          <w:sz w:val="32"/>
          <w:szCs w:val="32"/>
        </w:rPr>
      </w:pPr>
    </w:p>
    <w:p w14:paraId="4365B23C" w14:textId="77777777" w:rsidR="00601EFB" w:rsidRDefault="00601EFB">
      <w:pPr>
        <w:tabs>
          <w:tab w:val="center" w:pos="6979"/>
        </w:tabs>
        <w:spacing w:beforeLines="50" w:before="156" w:afterLines="50" w:after="156"/>
        <w:jc w:val="center"/>
        <w:rPr>
          <w:rFonts w:ascii="宋体" w:hAnsi="宋体" w:cs="宋体" w:hint="eastAsia"/>
          <w:b/>
          <w:bCs/>
          <w:spacing w:val="40"/>
          <w:kern w:val="0"/>
          <w:sz w:val="32"/>
          <w:szCs w:val="32"/>
        </w:rPr>
      </w:pPr>
    </w:p>
    <w:p w14:paraId="2F7384A2" w14:textId="77777777" w:rsidR="00601EFB" w:rsidRDefault="00CB7B5E">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7DB416B6" w14:textId="77777777" w:rsidR="00601EFB" w:rsidRDefault="00CB7B5E">
      <w:pPr>
        <w:pStyle w:val="2"/>
        <w:rPr>
          <w:b w:val="0"/>
          <w:bCs w:val="0"/>
        </w:rPr>
        <w:sectPr w:rsidR="00601EFB">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00D8387C" w14:textId="77777777" w:rsidR="00601EFB" w:rsidRDefault="00CB7B5E">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1FBA3F9" w14:textId="77777777" w:rsidR="00601EFB" w:rsidRDefault="00CB7B5E" w:rsidP="003C1C0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2DCE4068" w14:textId="77777777" w:rsidR="00601EFB" w:rsidRDefault="003C1C05" w:rsidP="003C1C05">
      <w:pPr>
        <w:tabs>
          <w:tab w:val="center" w:pos="6979"/>
        </w:tabs>
        <w:spacing w:line="580" w:lineRule="exact"/>
        <w:ind w:firstLineChars="250" w:firstLine="700"/>
        <w:rPr>
          <w:rFonts w:ascii="仿宋_GB2312" w:eastAsia="仿宋_GB2312"/>
          <w:sz w:val="28"/>
          <w:szCs w:val="28"/>
        </w:rPr>
      </w:pPr>
      <w:r w:rsidRPr="003C1C05">
        <w:rPr>
          <w:rFonts w:ascii="仿宋_GB2312" w:eastAsia="仿宋_GB2312" w:hint="eastAsia"/>
          <w:sz w:val="28"/>
          <w:szCs w:val="28"/>
        </w:rPr>
        <w:t>我校北京第二实验小学玉桃园分校，地处北京市西城区新街口地区，现有三处校址，占地11454.48平方米，校舍建筑面积9443.4平方米，内设教学部、课程部、德育部、行政后勤部、党务行政办公室等职能科室。现任法人：李颖，学校为全额拨款预算单位，实施小学义务教育。</w:t>
      </w:r>
    </w:p>
    <w:p w14:paraId="5C89968E" w14:textId="77777777" w:rsidR="00601EFB" w:rsidRDefault="00CB7B5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25619CB1" w14:textId="77777777" w:rsidR="00601EFB" w:rsidRDefault="00CB7B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6107.35</w:t>
      </w:r>
      <w:r>
        <w:rPr>
          <w:rFonts w:ascii="仿宋_GB2312" w:eastAsia="仿宋_GB2312" w:hint="eastAsia"/>
          <w:sz w:val="28"/>
          <w:szCs w:val="28"/>
        </w:rPr>
        <w:t>万元，</w:t>
      </w:r>
      <w:r>
        <w:rPr>
          <w:rFonts w:ascii="仿宋_GB2312" w:eastAsia="仿宋_GB2312"/>
          <w:sz w:val="28"/>
          <w:szCs w:val="28"/>
        </w:rPr>
        <w:t>比上年增加</w:t>
      </w:r>
      <w:r w:rsidR="003C1C05">
        <w:rPr>
          <w:rFonts w:ascii="仿宋_GB2312" w:eastAsia="仿宋_GB2312" w:hint="eastAsia"/>
          <w:sz w:val="28"/>
          <w:szCs w:val="28"/>
        </w:rPr>
        <w:t>266.76</w:t>
      </w:r>
      <w:r>
        <w:rPr>
          <w:rFonts w:ascii="仿宋_GB2312" w:eastAsia="仿宋_GB2312" w:hint="eastAsia"/>
          <w:sz w:val="28"/>
          <w:szCs w:val="28"/>
        </w:rPr>
        <w:t>万元，增长</w:t>
      </w:r>
      <w:r w:rsidR="003C1C05">
        <w:rPr>
          <w:rFonts w:ascii="仿宋_GB2312" w:eastAsia="仿宋_GB2312" w:hint="eastAsia"/>
          <w:sz w:val="28"/>
          <w:szCs w:val="28"/>
        </w:rPr>
        <w:t>4.57</w:t>
      </w:r>
      <w:r>
        <w:rPr>
          <w:rFonts w:ascii="仿宋_GB2312" w:eastAsia="仿宋_GB2312" w:hint="eastAsia"/>
          <w:sz w:val="28"/>
          <w:szCs w:val="28"/>
        </w:rPr>
        <w:t>%。</w:t>
      </w:r>
    </w:p>
    <w:p w14:paraId="2CC4FF07" w14:textId="77777777" w:rsidR="00601EFB" w:rsidRDefault="00CB7B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1C788962" w14:textId="77777777" w:rsidR="00601EFB" w:rsidRDefault="00CB7B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6107.35</w:t>
      </w:r>
      <w:r>
        <w:rPr>
          <w:rFonts w:ascii="仿宋_GB2312" w:eastAsia="仿宋_GB2312" w:hint="eastAsia"/>
          <w:sz w:val="28"/>
          <w:szCs w:val="28"/>
        </w:rPr>
        <w:t>万元，</w:t>
      </w:r>
      <w:r w:rsidR="003C1C05" w:rsidRPr="003C1C05">
        <w:rPr>
          <w:rFonts w:ascii="仿宋_GB2312" w:eastAsia="仿宋_GB2312" w:hint="eastAsia"/>
          <w:sz w:val="28"/>
          <w:szCs w:val="28"/>
        </w:rPr>
        <w:t>比上年增加291.96万元，增长5.02%</w:t>
      </w:r>
      <w:r>
        <w:rPr>
          <w:rFonts w:ascii="仿宋_GB2312" w:eastAsia="仿宋_GB2312" w:hint="eastAsia"/>
          <w:sz w:val="28"/>
          <w:szCs w:val="28"/>
        </w:rPr>
        <w:t>。</w:t>
      </w:r>
    </w:p>
    <w:p w14:paraId="573B4646"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6107.35</w:t>
      </w:r>
      <w:r>
        <w:rPr>
          <w:rFonts w:ascii="仿宋_GB2312" w:eastAsia="仿宋_GB2312" w:hint="eastAsia"/>
          <w:sz w:val="28"/>
          <w:szCs w:val="28"/>
        </w:rPr>
        <w:t>万元，占收入合计的100%。其中：一般公共预算财政拨款收入</w:t>
      </w:r>
      <w:r>
        <w:rPr>
          <w:rFonts w:ascii="仿宋_GB2312" w:eastAsia="仿宋_GB2312"/>
          <w:sz w:val="28"/>
          <w:szCs w:val="28"/>
        </w:rPr>
        <w:t>6104.35</w:t>
      </w:r>
      <w:r>
        <w:rPr>
          <w:rFonts w:ascii="仿宋_GB2312" w:eastAsia="仿宋_GB2312" w:hint="eastAsia"/>
          <w:sz w:val="28"/>
          <w:szCs w:val="28"/>
        </w:rPr>
        <w:t>万元，占收入合计的99.95%；政府性基金预算财政拨款收入</w:t>
      </w:r>
      <w:r>
        <w:rPr>
          <w:rFonts w:ascii="仿宋_GB2312" w:eastAsia="仿宋_GB2312"/>
          <w:sz w:val="28"/>
          <w:szCs w:val="28"/>
        </w:rPr>
        <w:t>3</w:t>
      </w:r>
      <w:r>
        <w:rPr>
          <w:rFonts w:ascii="仿宋_GB2312" w:eastAsia="仿宋_GB2312" w:hint="eastAsia"/>
          <w:sz w:val="28"/>
          <w:szCs w:val="28"/>
        </w:rPr>
        <w:t>万元，占收入合计的0.05%；国有资本经营预算财政拨款收入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1803C4D2"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63A27A83"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6B42E5B4"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00731CBC"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5B2212F7"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14:paraId="453E7030" w14:textId="77777777" w:rsidR="00601EFB" w:rsidRDefault="00CB7B5E">
      <w:pPr>
        <w:pStyle w:val="2"/>
        <w:jc w:val="center"/>
      </w:pPr>
      <w:r>
        <w:rPr>
          <w:rFonts w:ascii="仿宋_GB2312" w:eastAsia="仿宋_GB2312" w:hint="eastAsia"/>
          <w:color w:val="000000"/>
          <w:sz w:val="32"/>
        </w:rPr>
        <w:t>图1：收入决算</w:t>
      </w:r>
    </w:p>
    <w:p w14:paraId="0762BA4E" w14:textId="77777777" w:rsidR="00601EFB" w:rsidRDefault="00CB7B5E">
      <w:pPr>
        <w:pStyle w:val="a3"/>
        <w:ind w:firstLine="420"/>
        <w:jc w:val="center"/>
      </w:pPr>
      <w:r>
        <w:rPr>
          <w:noProof/>
        </w:rPr>
        <w:drawing>
          <wp:inline distT="0" distB="0" distL="114300" distR="114300" wp14:anchorId="6037A600" wp14:editId="51E82BF6">
            <wp:extent cx="4036695" cy="2328545"/>
            <wp:effectExtent l="0" t="0" r="0" b="0"/>
            <wp:docPr id="1027"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1920625" w14:textId="77777777" w:rsidR="00601EFB" w:rsidRDefault="00CB7B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0A02A20B" w14:textId="77777777" w:rsidR="00601EFB" w:rsidRPr="003C1C05" w:rsidRDefault="00CB7B5E" w:rsidP="003C1C0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6107.35</w:t>
      </w:r>
      <w:r>
        <w:rPr>
          <w:rFonts w:ascii="仿宋_GB2312" w:eastAsia="仿宋_GB2312" w:hint="eastAsia"/>
          <w:sz w:val="28"/>
          <w:szCs w:val="28"/>
        </w:rPr>
        <w:t>万元，</w:t>
      </w:r>
      <w:r w:rsidR="003C1C05" w:rsidRPr="003C1C05">
        <w:rPr>
          <w:rFonts w:ascii="仿宋_GB2312" w:eastAsia="仿宋_GB2312" w:hint="eastAsia"/>
          <w:sz w:val="28"/>
          <w:szCs w:val="28"/>
        </w:rPr>
        <w:t>比上年增加291.96万元，增长5.02%</w:t>
      </w:r>
      <w:r>
        <w:rPr>
          <w:rFonts w:ascii="仿宋_GB2312" w:eastAsia="仿宋_GB2312" w:hint="eastAsia"/>
          <w:sz w:val="28"/>
          <w:szCs w:val="28"/>
        </w:rPr>
        <w:t>，其中：基本支出</w:t>
      </w:r>
      <w:r>
        <w:rPr>
          <w:rFonts w:ascii="仿宋_GB2312" w:eastAsia="仿宋_GB2312"/>
          <w:sz w:val="28"/>
          <w:szCs w:val="28"/>
        </w:rPr>
        <w:t>5599.37</w:t>
      </w:r>
      <w:r>
        <w:rPr>
          <w:rFonts w:ascii="仿宋_GB2312" w:eastAsia="仿宋_GB2312" w:hint="eastAsia"/>
          <w:sz w:val="28"/>
          <w:szCs w:val="28"/>
        </w:rPr>
        <w:t>万元，占支出合计的91.68%；项目支出</w:t>
      </w:r>
      <w:r>
        <w:rPr>
          <w:rFonts w:ascii="仿宋_GB2312" w:eastAsia="仿宋_GB2312"/>
          <w:sz w:val="28"/>
          <w:szCs w:val="28"/>
        </w:rPr>
        <w:t>507.97</w:t>
      </w:r>
      <w:r>
        <w:rPr>
          <w:rFonts w:ascii="仿宋_GB2312" w:eastAsia="仿宋_GB2312" w:hint="eastAsia"/>
          <w:sz w:val="28"/>
          <w:szCs w:val="28"/>
        </w:rPr>
        <w:t>万元，占支出合计的8.32%;上缴上级支出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r w:rsidR="003C1C05">
        <w:rPr>
          <w:rFonts w:ascii="仿宋_GB2312" w:eastAsia="仿宋_GB2312" w:hint="eastAsia"/>
          <w:sz w:val="28"/>
          <w:szCs w:val="28"/>
        </w:rPr>
        <w:t>。</w:t>
      </w:r>
    </w:p>
    <w:p w14:paraId="220F495A" w14:textId="77777777" w:rsidR="00601EFB" w:rsidRDefault="00CB7B5E">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3F7DD4DE" w14:textId="77777777" w:rsidR="00601EFB" w:rsidRDefault="00CB7B5E">
      <w:pPr>
        <w:jc w:val="center"/>
        <w:rPr>
          <w:rFonts w:ascii="黑体" w:eastAsia="黑体"/>
          <w:b/>
          <w:sz w:val="28"/>
          <w:szCs w:val="28"/>
        </w:rPr>
      </w:pPr>
      <w:r>
        <w:rPr>
          <w:noProof/>
        </w:rPr>
        <w:drawing>
          <wp:inline distT="0" distB="0" distL="114300" distR="114300" wp14:anchorId="52EB4DAA" wp14:editId="280F4FAC">
            <wp:extent cx="4572000" cy="2743200"/>
            <wp:effectExtent l="0" t="0" r="19050" b="19050"/>
            <wp:docPr id="1029"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95C13F3" w14:textId="77777777" w:rsidR="00601EFB" w:rsidRDefault="00CB7B5E" w:rsidP="003C1C0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C76402C" w14:textId="77777777" w:rsidR="00601EFB" w:rsidRDefault="00CB7B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6107.35</w:t>
      </w:r>
      <w:r>
        <w:rPr>
          <w:rFonts w:ascii="仿宋_GB2312" w:eastAsia="仿宋_GB2312" w:hint="eastAsia"/>
          <w:sz w:val="28"/>
          <w:szCs w:val="28"/>
        </w:rPr>
        <w:t>万元，</w:t>
      </w:r>
      <w:r w:rsidR="003C1C05">
        <w:rPr>
          <w:rFonts w:ascii="仿宋_GB2312" w:eastAsia="仿宋_GB2312" w:hint="eastAsia"/>
          <w:sz w:val="28"/>
          <w:szCs w:val="28"/>
        </w:rPr>
        <w:t>比上年增加291.96万元，增长5.02%。主要原因：人员支出方面，</w:t>
      </w:r>
      <w:bookmarkStart w:id="0" w:name="OLE_LINK4"/>
      <w:bookmarkStart w:id="1" w:name="OLE_LINK67"/>
      <w:bookmarkStart w:id="2" w:name="OLE_LINK68"/>
      <w:r w:rsidR="003C1C05">
        <w:rPr>
          <w:rFonts w:ascii="仿宋_GB2312" w:eastAsia="仿宋_GB2312" w:hint="eastAsia"/>
          <w:sz w:val="28"/>
          <w:szCs w:val="28"/>
        </w:rPr>
        <w:t>新增发放中人过渡期一次性退休补贴</w:t>
      </w:r>
      <w:bookmarkEnd w:id="0"/>
      <w:r w:rsidR="003C1C05">
        <w:rPr>
          <w:rFonts w:ascii="仿宋_GB2312" w:eastAsia="仿宋_GB2312" w:hint="eastAsia"/>
          <w:sz w:val="28"/>
          <w:szCs w:val="28"/>
        </w:rPr>
        <w:t>122.88万元</w:t>
      </w:r>
      <w:bookmarkEnd w:id="1"/>
      <w:bookmarkEnd w:id="2"/>
      <w:r w:rsidR="003C1C05">
        <w:rPr>
          <w:rFonts w:ascii="仿宋_GB2312" w:eastAsia="仿宋_GB2312" w:hint="eastAsia"/>
          <w:sz w:val="28"/>
          <w:szCs w:val="28"/>
        </w:rPr>
        <w:t>；项目支出方面，新增大额专项“小学专业教室”支出61.77万元，同时因学生数增加</w:t>
      </w:r>
      <w:r w:rsidR="003A10EB">
        <w:rPr>
          <w:rFonts w:ascii="仿宋_GB2312" w:eastAsia="仿宋_GB2312" w:hint="eastAsia"/>
          <w:sz w:val="28"/>
          <w:szCs w:val="28"/>
        </w:rPr>
        <w:t>导致</w:t>
      </w:r>
      <w:r w:rsidR="003C1C05">
        <w:rPr>
          <w:rFonts w:ascii="仿宋_GB2312" w:eastAsia="仿宋_GB2312" w:hint="eastAsia"/>
          <w:sz w:val="28"/>
          <w:szCs w:val="28"/>
        </w:rPr>
        <w:t>外聘人员等专项支出增加</w:t>
      </w:r>
      <w:r>
        <w:rPr>
          <w:rFonts w:ascii="仿宋_GB2312" w:eastAsia="仿宋_GB2312" w:hint="eastAsia"/>
          <w:sz w:val="28"/>
          <w:szCs w:val="28"/>
        </w:rPr>
        <w:t>。</w:t>
      </w:r>
    </w:p>
    <w:p w14:paraId="1F88AB3B" w14:textId="77777777" w:rsidR="00601EFB" w:rsidRDefault="00CB7B5E" w:rsidP="003C1C0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591DC8B4" w14:textId="77777777" w:rsidR="00601EFB" w:rsidRDefault="00CB7B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66A98C29"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6104.35</w:t>
      </w:r>
      <w:r>
        <w:rPr>
          <w:rFonts w:ascii="仿宋_GB2312" w:eastAsia="仿宋_GB2312" w:hint="eastAsia"/>
          <w:sz w:val="28"/>
          <w:szCs w:val="28"/>
        </w:rPr>
        <w:t>万元，主要用于以下方面（按大类）：</w:t>
      </w:r>
      <w:r w:rsidR="003A10EB" w:rsidRPr="005C4A04">
        <w:rPr>
          <w:rFonts w:ascii="仿宋_GB2312" w:eastAsia="仿宋_GB2312" w:hint="eastAsia"/>
          <w:sz w:val="28"/>
          <w:szCs w:val="28"/>
        </w:rPr>
        <w:t>教育支出</w:t>
      </w:r>
      <w:r w:rsidR="003A10EB">
        <w:rPr>
          <w:rFonts w:ascii="仿宋_GB2312" w:eastAsia="仿宋_GB2312" w:hint="eastAsia"/>
          <w:sz w:val="28"/>
          <w:szCs w:val="28"/>
        </w:rPr>
        <w:t>4033.02万元，占本</w:t>
      </w:r>
      <w:r w:rsidR="003A10EB">
        <w:rPr>
          <w:rFonts w:ascii="仿宋_GB2312" w:eastAsia="仿宋_GB2312" w:hint="eastAsia"/>
          <w:sz w:val="28"/>
          <w:szCs w:val="28"/>
        </w:rPr>
        <w:lastRenderedPageBreak/>
        <w:t>年财政拨款支出</w:t>
      </w:r>
      <w:r w:rsidR="003A10EB" w:rsidRPr="005C4A04">
        <w:rPr>
          <w:rFonts w:ascii="仿宋_GB2312" w:eastAsia="仿宋_GB2312"/>
          <w:sz w:val="28"/>
          <w:szCs w:val="28"/>
        </w:rPr>
        <w:t>66.07%</w:t>
      </w:r>
      <w:r w:rsidR="003A10EB">
        <w:rPr>
          <w:rFonts w:ascii="仿宋_GB2312" w:eastAsia="仿宋_GB2312" w:hint="eastAsia"/>
          <w:sz w:val="28"/>
          <w:szCs w:val="28"/>
        </w:rPr>
        <w:t>；</w:t>
      </w:r>
      <w:r w:rsidR="003A10EB" w:rsidRPr="005C4A04">
        <w:rPr>
          <w:rFonts w:ascii="仿宋_GB2312" w:eastAsia="仿宋_GB2312" w:hint="eastAsia"/>
          <w:sz w:val="28"/>
          <w:szCs w:val="28"/>
        </w:rPr>
        <w:t>社会保障和就业支出</w:t>
      </w:r>
      <w:r w:rsidR="003A10EB" w:rsidRPr="005C4A04">
        <w:rPr>
          <w:rFonts w:ascii="仿宋_GB2312" w:eastAsia="仿宋_GB2312"/>
          <w:sz w:val="28"/>
          <w:szCs w:val="28"/>
        </w:rPr>
        <w:t>1049.65</w:t>
      </w:r>
      <w:r w:rsidR="003A10EB">
        <w:rPr>
          <w:rFonts w:ascii="仿宋_GB2312" w:eastAsia="仿宋_GB2312" w:hint="eastAsia"/>
          <w:sz w:val="28"/>
          <w:szCs w:val="28"/>
        </w:rPr>
        <w:t>万元，占本年财政拨款支出</w:t>
      </w:r>
      <w:r w:rsidR="003A10EB" w:rsidRPr="005C4A04">
        <w:rPr>
          <w:rFonts w:ascii="仿宋_GB2312" w:eastAsia="仿宋_GB2312"/>
          <w:sz w:val="28"/>
          <w:szCs w:val="28"/>
        </w:rPr>
        <w:t>17.20%</w:t>
      </w:r>
      <w:r w:rsidR="003A10EB">
        <w:rPr>
          <w:rFonts w:ascii="仿宋_GB2312" w:eastAsia="仿宋_GB2312" w:hint="eastAsia"/>
          <w:sz w:val="28"/>
          <w:szCs w:val="28"/>
        </w:rPr>
        <w:t>；</w:t>
      </w:r>
      <w:bookmarkStart w:id="3" w:name="OLE_LINK7"/>
      <w:r w:rsidR="003A10EB" w:rsidRPr="005C4A04">
        <w:rPr>
          <w:rFonts w:ascii="仿宋_GB2312" w:eastAsia="仿宋_GB2312" w:hint="eastAsia"/>
          <w:sz w:val="28"/>
          <w:szCs w:val="28"/>
        </w:rPr>
        <w:t>卫生健康支出</w:t>
      </w:r>
      <w:bookmarkEnd w:id="3"/>
      <w:r w:rsidR="003A10EB" w:rsidRPr="005C4A04">
        <w:rPr>
          <w:rFonts w:ascii="仿宋_GB2312" w:eastAsia="仿宋_GB2312"/>
          <w:sz w:val="28"/>
          <w:szCs w:val="28"/>
        </w:rPr>
        <w:t>376.22</w:t>
      </w:r>
      <w:r w:rsidR="003A10EB">
        <w:rPr>
          <w:rFonts w:ascii="仿宋_GB2312" w:eastAsia="仿宋_GB2312" w:hint="eastAsia"/>
          <w:sz w:val="28"/>
          <w:szCs w:val="28"/>
        </w:rPr>
        <w:t>万元，占本年财政拨款支出</w:t>
      </w:r>
      <w:r w:rsidR="003A10EB" w:rsidRPr="005C4A04">
        <w:rPr>
          <w:rFonts w:ascii="仿宋_GB2312" w:eastAsia="仿宋_GB2312"/>
          <w:sz w:val="28"/>
          <w:szCs w:val="28"/>
        </w:rPr>
        <w:t>6.16%</w:t>
      </w:r>
      <w:r w:rsidR="003A10EB">
        <w:rPr>
          <w:rFonts w:ascii="仿宋_GB2312" w:eastAsia="仿宋_GB2312" w:hint="eastAsia"/>
          <w:sz w:val="28"/>
          <w:szCs w:val="28"/>
        </w:rPr>
        <w:t>；</w:t>
      </w:r>
      <w:r w:rsidR="003A10EB" w:rsidRPr="005C4A04">
        <w:rPr>
          <w:rFonts w:ascii="仿宋_GB2312" w:eastAsia="仿宋_GB2312" w:hint="eastAsia"/>
          <w:sz w:val="28"/>
          <w:szCs w:val="28"/>
        </w:rPr>
        <w:t>住房保障支出</w:t>
      </w:r>
      <w:r w:rsidR="003A10EB" w:rsidRPr="005C4A04">
        <w:rPr>
          <w:rFonts w:ascii="仿宋_GB2312" w:eastAsia="仿宋_GB2312"/>
          <w:sz w:val="28"/>
          <w:szCs w:val="28"/>
        </w:rPr>
        <w:t>645.46</w:t>
      </w:r>
      <w:r w:rsidR="003A10EB">
        <w:rPr>
          <w:rFonts w:ascii="仿宋_GB2312" w:eastAsia="仿宋_GB2312" w:hint="eastAsia"/>
          <w:sz w:val="28"/>
          <w:szCs w:val="28"/>
        </w:rPr>
        <w:t>万元，占本年财政拨款支出</w:t>
      </w:r>
      <w:r w:rsidR="003A10EB" w:rsidRPr="005C4A04">
        <w:rPr>
          <w:rFonts w:ascii="仿宋_GB2312" w:eastAsia="仿宋_GB2312"/>
          <w:sz w:val="28"/>
          <w:szCs w:val="28"/>
        </w:rPr>
        <w:t>10.57%</w:t>
      </w:r>
      <w:r>
        <w:rPr>
          <w:rFonts w:ascii="仿宋_GB2312" w:eastAsia="仿宋_GB2312" w:hint="eastAsia"/>
          <w:sz w:val="28"/>
          <w:szCs w:val="28"/>
        </w:rPr>
        <w:t>。</w:t>
      </w:r>
    </w:p>
    <w:p w14:paraId="1172FAE2" w14:textId="77777777" w:rsidR="00601EFB" w:rsidRDefault="00CB7B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030F587E" w14:textId="77777777" w:rsidR="00601EFB" w:rsidRDefault="00CB7B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3A10EB">
        <w:rPr>
          <w:rFonts w:ascii="仿宋_GB2312" w:eastAsia="仿宋_GB2312" w:hint="eastAsia"/>
          <w:sz w:val="28"/>
          <w:szCs w:val="28"/>
        </w:rPr>
        <w:t>教育支出</w:t>
      </w:r>
      <w:r>
        <w:rPr>
          <w:rFonts w:ascii="仿宋_GB2312" w:eastAsia="仿宋_GB2312" w:hint="eastAsia"/>
          <w:sz w:val="28"/>
          <w:szCs w:val="28"/>
        </w:rPr>
        <w:t>”（类）2024年度年初预算</w:t>
      </w:r>
      <w:r w:rsidR="003A10EB">
        <w:rPr>
          <w:rFonts w:ascii="仿宋_GB2312" w:eastAsia="仿宋_GB2312"/>
          <w:sz w:val="28"/>
          <w:szCs w:val="28"/>
        </w:rPr>
        <w:t>4</w:t>
      </w:r>
      <w:r w:rsidR="003A10EB" w:rsidRPr="003A10EB">
        <w:rPr>
          <w:rFonts w:ascii="仿宋_GB2312" w:eastAsia="仿宋_GB2312"/>
          <w:sz w:val="28"/>
          <w:szCs w:val="28"/>
        </w:rPr>
        <w:t>029.94</w:t>
      </w:r>
      <w:r>
        <w:rPr>
          <w:rFonts w:ascii="仿宋_GB2312" w:eastAsia="仿宋_GB2312" w:hint="eastAsia"/>
          <w:sz w:val="28"/>
          <w:szCs w:val="28"/>
        </w:rPr>
        <w:t>万元，2024年度决算</w:t>
      </w:r>
      <w:r w:rsidR="003A10EB">
        <w:rPr>
          <w:rFonts w:ascii="仿宋_GB2312" w:eastAsia="仿宋_GB2312"/>
          <w:sz w:val="28"/>
          <w:szCs w:val="28"/>
        </w:rPr>
        <w:t>4</w:t>
      </w:r>
      <w:r w:rsidR="003A10EB" w:rsidRPr="003A10EB">
        <w:rPr>
          <w:rFonts w:ascii="仿宋_GB2312" w:eastAsia="仿宋_GB2312"/>
          <w:sz w:val="28"/>
          <w:szCs w:val="28"/>
        </w:rPr>
        <w:t>033.02</w:t>
      </w:r>
      <w:r>
        <w:rPr>
          <w:rFonts w:ascii="仿宋_GB2312" w:eastAsia="仿宋_GB2312" w:hint="eastAsia"/>
          <w:sz w:val="28"/>
          <w:szCs w:val="28"/>
        </w:rPr>
        <w:t>万元，完成年初预算的</w:t>
      </w:r>
      <w:r w:rsidR="003A10EB">
        <w:rPr>
          <w:rFonts w:ascii="仿宋_GB2312" w:eastAsia="仿宋_GB2312" w:hint="eastAsia"/>
          <w:sz w:val="28"/>
          <w:szCs w:val="28"/>
        </w:rPr>
        <w:t>100.08</w:t>
      </w:r>
      <w:r>
        <w:rPr>
          <w:rFonts w:ascii="仿宋_GB2312" w:eastAsia="仿宋_GB2312" w:hint="eastAsia"/>
          <w:sz w:val="28"/>
          <w:szCs w:val="28"/>
        </w:rPr>
        <w:t>%。</w:t>
      </w:r>
    </w:p>
    <w:p w14:paraId="7EC28993" w14:textId="77777777" w:rsidR="00601EFB" w:rsidRDefault="00CB7B5E">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0824C844" w14:textId="77777777" w:rsidR="00FD72A7" w:rsidRDefault="00CB7B5E" w:rsidP="00FD72A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3A10EB" w:rsidRPr="003A10EB">
        <w:rPr>
          <w:rFonts w:ascii="仿宋_GB2312" w:eastAsia="仿宋_GB2312" w:hint="eastAsia"/>
          <w:sz w:val="28"/>
          <w:szCs w:val="28"/>
        </w:rPr>
        <w:t>普通教育</w:t>
      </w:r>
      <w:r>
        <w:rPr>
          <w:rFonts w:ascii="仿宋_GB2312" w:eastAsia="仿宋_GB2312" w:hint="eastAsia"/>
          <w:sz w:val="28"/>
          <w:szCs w:val="28"/>
        </w:rPr>
        <w:t>”（款，下同）</w:t>
      </w:r>
      <w:bookmarkStart w:id="4" w:name="OLE_LINK46"/>
      <w:bookmarkStart w:id="5" w:name="OLE_LINK47"/>
      <w:bookmarkStart w:id="6" w:name="OLE_LINK48"/>
      <w:r>
        <w:rPr>
          <w:rFonts w:ascii="仿宋_GB2312" w:eastAsia="仿宋_GB2312" w:hint="eastAsia"/>
          <w:sz w:val="28"/>
          <w:szCs w:val="28"/>
        </w:rPr>
        <w:t>2024年度</w:t>
      </w:r>
      <w:bookmarkStart w:id="7" w:name="OLE_LINK45"/>
      <w:r>
        <w:rPr>
          <w:rFonts w:ascii="仿宋_GB2312" w:eastAsia="仿宋_GB2312" w:hint="eastAsia"/>
          <w:sz w:val="28"/>
          <w:szCs w:val="28"/>
        </w:rPr>
        <w:t>年初预算</w:t>
      </w:r>
      <w:bookmarkEnd w:id="4"/>
      <w:bookmarkEnd w:id="7"/>
      <w:r w:rsidR="003A10EB" w:rsidRPr="003A10EB">
        <w:rPr>
          <w:rFonts w:ascii="仿宋_GB2312" w:eastAsia="仿宋_GB2312"/>
          <w:sz w:val="28"/>
          <w:szCs w:val="28"/>
        </w:rPr>
        <w:t>4005.31</w:t>
      </w:r>
      <w:r>
        <w:rPr>
          <w:rFonts w:ascii="仿宋_GB2312" w:eastAsia="仿宋_GB2312" w:hint="eastAsia"/>
          <w:sz w:val="28"/>
          <w:szCs w:val="28"/>
        </w:rPr>
        <w:t>万元</w:t>
      </w:r>
      <w:bookmarkEnd w:id="5"/>
      <w:bookmarkEnd w:id="6"/>
      <w:r>
        <w:rPr>
          <w:rFonts w:ascii="仿宋_GB2312" w:eastAsia="仿宋_GB2312" w:hint="eastAsia"/>
          <w:sz w:val="28"/>
          <w:szCs w:val="28"/>
        </w:rPr>
        <w:t>，2024年度决算</w:t>
      </w:r>
      <w:r w:rsidR="003A10EB" w:rsidRPr="003A10EB">
        <w:rPr>
          <w:rFonts w:ascii="仿宋_GB2312" w:eastAsia="仿宋_GB2312"/>
          <w:sz w:val="28"/>
          <w:szCs w:val="28"/>
        </w:rPr>
        <w:t>4031.68</w:t>
      </w:r>
      <w:r>
        <w:rPr>
          <w:rFonts w:ascii="仿宋_GB2312" w:eastAsia="仿宋_GB2312" w:hint="eastAsia"/>
          <w:sz w:val="28"/>
          <w:szCs w:val="28"/>
        </w:rPr>
        <w:t>万元，</w:t>
      </w:r>
      <w:bookmarkStart w:id="8" w:name="OLE_LINK49"/>
      <w:bookmarkStart w:id="9" w:name="OLE_LINK50"/>
      <w:r>
        <w:rPr>
          <w:rFonts w:ascii="仿宋_GB2312" w:eastAsia="仿宋_GB2312" w:hint="eastAsia"/>
          <w:sz w:val="28"/>
          <w:szCs w:val="28"/>
        </w:rPr>
        <w:t>完成年初预算的</w:t>
      </w:r>
      <w:r w:rsidR="003A10EB" w:rsidRPr="003A10EB">
        <w:rPr>
          <w:rFonts w:ascii="仿宋_GB2312" w:eastAsia="仿宋_GB2312"/>
          <w:sz w:val="28"/>
          <w:szCs w:val="28"/>
        </w:rPr>
        <w:t>100.66%</w:t>
      </w:r>
      <w:bookmarkEnd w:id="8"/>
      <w:bookmarkEnd w:id="9"/>
      <w:r>
        <w:rPr>
          <w:rFonts w:ascii="仿宋_GB2312" w:eastAsia="仿宋_GB2312" w:hint="eastAsia"/>
          <w:sz w:val="28"/>
          <w:szCs w:val="28"/>
        </w:rPr>
        <w:t>。主要原因：</w:t>
      </w:r>
      <w:r w:rsidR="00FD72A7">
        <w:rPr>
          <w:rFonts w:ascii="仿宋_GB2312" w:eastAsia="仿宋_GB2312" w:hint="eastAsia"/>
          <w:sz w:val="28"/>
          <w:szCs w:val="28"/>
        </w:rPr>
        <w:t>年中</w:t>
      </w:r>
      <w:r w:rsidR="00FD72A7" w:rsidRPr="003C13AC">
        <w:rPr>
          <w:rFonts w:ascii="仿宋_GB2312" w:eastAsia="仿宋_GB2312" w:hint="eastAsia"/>
          <w:sz w:val="28"/>
          <w:szCs w:val="28"/>
        </w:rPr>
        <w:t>下达的中央直达教科书资金、追加的外聘人员经费和在职统发绩效工资</w:t>
      </w:r>
      <w:r>
        <w:rPr>
          <w:rFonts w:ascii="仿宋_GB2312" w:eastAsia="仿宋_GB2312" w:hint="eastAsia"/>
          <w:sz w:val="28"/>
          <w:szCs w:val="28"/>
        </w:rPr>
        <w:t>。</w:t>
      </w:r>
    </w:p>
    <w:p w14:paraId="0623867D" w14:textId="77777777" w:rsidR="00FD72A7" w:rsidRPr="00FD72A7" w:rsidRDefault="00FD72A7" w:rsidP="00FD72A7">
      <w:pPr>
        <w:spacing w:line="580" w:lineRule="exact"/>
        <w:ind w:firstLineChars="200" w:firstLine="560"/>
        <w:rPr>
          <w:rFonts w:ascii="仿宋_GB2312" w:eastAsia="仿宋_GB2312"/>
          <w:sz w:val="28"/>
          <w:szCs w:val="28"/>
        </w:rPr>
      </w:pPr>
      <w:r w:rsidRPr="00FD72A7">
        <w:rPr>
          <w:rFonts w:ascii="仿宋_GB2312" w:eastAsia="仿宋_GB2312" w:hint="eastAsia"/>
          <w:sz w:val="28"/>
          <w:szCs w:val="28"/>
        </w:rPr>
        <w:t>“特殊学校教育”（款）</w:t>
      </w:r>
      <w:r>
        <w:rPr>
          <w:rFonts w:ascii="仿宋_GB2312" w:eastAsia="仿宋_GB2312" w:hint="eastAsia"/>
          <w:sz w:val="28"/>
          <w:szCs w:val="28"/>
        </w:rPr>
        <w:t>2024年度年初预算</w:t>
      </w:r>
      <w:r w:rsidR="00E838F0" w:rsidRPr="00E838F0">
        <w:rPr>
          <w:rFonts w:ascii="仿宋_GB2312" w:eastAsia="仿宋_GB2312"/>
          <w:sz w:val="28"/>
          <w:szCs w:val="28"/>
        </w:rPr>
        <w:t>1.19</w:t>
      </w:r>
      <w:r>
        <w:rPr>
          <w:rFonts w:ascii="仿宋_GB2312" w:eastAsia="仿宋_GB2312" w:hint="eastAsia"/>
          <w:sz w:val="28"/>
          <w:szCs w:val="28"/>
        </w:rPr>
        <w:t>万元，</w:t>
      </w:r>
      <w:r w:rsidRPr="00FD72A7">
        <w:rPr>
          <w:rFonts w:ascii="仿宋_GB2312" w:eastAsia="仿宋_GB2312" w:hint="eastAsia"/>
          <w:sz w:val="28"/>
          <w:szCs w:val="28"/>
        </w:rPr>
        <w:t>2024年度决算1.19万元，</w:t>
      </w:r>
      <w:r>
        <w:rPr>
          <w:rFonts w:ascii="仿宋_GB2312" w:eastAsia="仿宋_GB2312" w:hint="eastAsia"/>
          <w:sz w:val="28"/>
          <w:szCs w:val="28"/>
        </w:rPr>
        <w:t>完成年初预算的</w:t>
      </w:r>
      <w:r w:rsidRPr="003A10EB">
        <w:rPr>
          <w:rFonts w:ascii="仿宋_GB2312" w:eastAsia="仿宋_GB2312"/>
          <w:sz w:val="28"/>
          <w:szCs w:val="28"/>
        </w:rPr>
        <w:t>100%</w:t>
      </w:r>
      <w:r w:rsidRPr="00FD72A7">
        <w:rPr>
          <w:rFonts w:ascii="仿宋_GB2312" w:eastAsia="仿宋_GB2312" w:hint="eastAsia"/>
          <w:sz w:val="28"/>
          <w:szCs w:val="28"/>
        </w:rPr>
        <w:t>。</w:t>
      </w:r>
    </w:p>
    <w:p w14:paraId="1BEB1C37" w14:textId="77777777" w:rsidR="00FD72A7" w:rsidRPr="00FD72A7" w:rsidRDefault="00FD72A7" w:rsidP="00FD72A7">
      <w:pPr>
        <w:spacing w:line="580" w:lineRule="exact"/>
        <w:ind w:firstLineChars="200" w:firstLine="560"/>
        <w:rPr>
          <w:rFonts w:ascii="仿宋_GB2312" w:eastAsia="仿宋_GB2312"/>
          <w:sz w:val="28"/>
          <w:szCs w:val="28"/>
        </w:rPr>
      </w:pPr>
      <w:r w:rsidRPr="00FD72A7">
        <w:rPr>
          <w:rFonts w:ascii="仿宋_GB2312" w:eastAsia="仿宋_GB2312" w:hint="eastAsia"/>
          <w:sz w:val="28"/>
          <w:szCs w:val="28"/>
        </w:rPr>
        <w:t>“</w:t>
      </w:r>
      <w:bookmarkStart w:id="10" w:name="OLE_LINK51"/>
      <w:bookmarkStart w:id="11" w:name="OLE_LINK52"/>
      <w:r w:rsidR="00E838F0" w:rsidRPr="00E838F0">
        <w:rPr>
          <w:rFonts w:ascii="仿宋_GB2312" w:eastAsia="仿宋_GB2312" w:hint="eastAsia"/>
          <w:sz w:val="28"/>
          <w:szCs w:val="28"/>
        </w:rPr>
        <w:t>进修及培训</w:t>
      </w:r>
      <w:bookmarkEnd w:id="10"/>
      <w:bookmarkEnd w:id="11"/>
      <w:r w:rsidRPr="00FD72A7">
        <w:rPr>
          <w:rFonts w:ascii="仿宋_GB2312" w:eastAsia="仿宋_GB2312" w:hint="eastAsia"/>
          <w:sz w:val="28"/>
          <w:szCs w:val="28"/>
        </w:rPr>
        <w:t>”（款）</w:t>
      </w:r>
      <w:r>
        <w:rPr>
          <w:rFonts w:ascii="仿宋_GB2312" w:eastAsia="仿宋_GB2312" w:hint="eastAsia"/>
          <w:sz w:val="28"/>
          <w:szCs w:val="28"/>
        </w:rPr>
        <w:t>2024年度年初预算</w:t>
      </w:r>
      <w:r w:rsidR="00E838F0" w:rsidRPr="00E838F0">
        <w:rPr>
          <w:rFonts w:ascii="仿宋_GB2312" w:eastAsia="仿宋_GB2312"/>
          <w:sz w:val="28"/>
          <w:szCs w:val="28"/>
        </w:rPr>
        <w:t>9.44</w:t>
      </w:r>
      <w:r>
        <w:rPr>
          <w:rFonts w:ascii="仿宋_GB2312" w:eastAsia="仿宋_GB2312" w:hint="eastAsia"/>
          <w:sz w:val="28"/>
          <w:szCs w:val="28"/>
        </w:rPr>
        <w:t>万元，</w:t>
      </w:r>
      <w:r w:rsidRPr="00FD72A7">
        <w:rPr>
          <w:rFonts w:ascii="仿宋_GB2312" w:eastAsia="仿宋_GB2312" w:hint="eastAsia"/>
          <w:sz w:val="28"/>
          <w:szCs w:val="28"/>
        </w:rPr>
        <w:t>2024年度决算0.15万元，</w:t>
      </w:r>
      <w:r>
        <w:rPr>
          <w:rFonts w:ascii="仿宋_GB2312" w:eastAsia="仿宋_GB2312" w:hint="eastAsia"/>
          <w:sz w:val="28"/>
          <w:szCs w:val="28"/>
        </w:rPr>
        <w:t>完成年初预算的</w:t>
      </w:r>
      <w:r w:rsidR="00E838F0" w:rsidRPr="00E838F0">
        <w:rPr>
          <w:rFonts w:ascii="仿宋_GB2312" w:eastAsia="仿宋_GB2312"/>
          <w:sz w:val="28"/>
          <w:szCs w:val="28"/>
        </w:rPr>
        <w:t>1.60%</w:t>
      </w:r>
      <w:r w:rsidR="00E838F0">
        <w:rPr>
          <w:rFonts w:ascii="仿宋_GB2312" w:eastAsia="仿宋_GB2312" w:hint="eastAsia"/>
          <w:sz w:val="28"/>
          <w:szCs w:val="28"/>
        </w:rPr>
        <w:t>。主要原因</w:t>
      </w:r>
      <w:r w:rsidR="00FA1094">
        <w:rPr>
          <w:rFonts w:ascii="仿宋_GB2312" w:eastAsia="仿宋_GB2312" w:hint="eastAsia"/>
          <w:sz w:val="28"/>
          <w:szCs w:val="28"/>
        </w:rPr>
        <w:t>：</w:t>
      </w:r>
      <w:r w:rsidR="00E838F0">
        <w:rPr>
          <w:rFonts w:ascii="仿宋_GB2312" w:eastAsia="仿宋_GB2312" w:hint="eastAsia"/>
          <w:sz w:val="28"/>
          <w:szCs w:val="28"/>
        </w:rPr>
        <w:t>本年度外出参加培训的支出较少，</w:t>
      </w:r>
      <w:r w:rsidRPr="00FD72A7">
        <w:rPr>
          <w:rFonts w:ascii="仿宋_GB2312" w:eastAsia="仿宋_GB2312" w:hint="eastAsia"/>
          <w:sz w:val="28"/>
          <w:szCs w:val="28"/>
        </w:rPr>
        <w:t>剩余</w:t>
      </w:r>
      <w:r w:rsidR="00E838F0" w:rsidRPr="00FD72A7">
        <w:rPr>
          <w:rFonts w:ascii="仿宋_GB2312" w:eastAsia="仿宋_GB2312" w:hint="eastAsia"/>
          <w:sz w:val="28"/>
          <w:szCs w:val="28"/>
        </w:rPr>
        <w:t>预算</w:t>
      </w:r>
      <w:r w:rsidRPr="00FD72A7">
        <w:rPr>
          <w:rFonts w:ascii="仿宋_GB2312" w:eastAsia="仿宋_GB2312" w:hint="eastAsia"/>
          <w:sz w:val="28"/>
          <w:szCs w:val="28"/>
        </w:rPr>
        <w:t>资金退回财政。</w:t>
      </w:r>
    </w:p>
    <w:p w14:paraId="25A6234D" w14:textId="77777777" w:rsidR="00FD72A7" w:rsidRPr="00FD72A7" w:rsidRDefault="00FD72A7" w:rsidP="00FD72A7">
      <w:pPr>
        <w:spacing w:line="580" w:lineRule="exact"/>
        <w:ind w:firstLineChars="200" w:firstLine="560"/>
        <w:rPr>
          <w:rFonts w:ascii="仿宋_GB2312" w:eastAsia="仿宋_GB2312"/>
          <w:sz w:val="28"/>
          <w:szCs w:val="28"/>
        </w:rPr>
      </w:pPr>
      <w:r w:rsidRPr="00FD72A7">
        <w:rPr>
          <w:rFonts w:ascii="仿宋_GB2312" w:eastAsia="仿宋_GB2312" w:hint="eastAsia"/>
          <w:sz w:val="28"/>
          <w:szCs w:val="28"/>
        </w:rPr>
        <w:t>“</w:t>
      </w:r>
      <w:bookmarkStart w:id="12" w:name="OLE_LINK53"/>
      <w:bookmarkStart w:id="13" w:name="OLE_LINK54"/>
      <w:r w:rsidR="00FE1DD7" w:rsidRPr="00FE1DD7">
        <w:rPr>
          <w:rFonts w:ascii="仿宋_GB2312" w:eastAsia="仿宋_GB2312" w:hint="eastAsia"/>
          <w:sz w:val="28"/>
          <w:szCs w:val="28"/>
        </w:rPr>
        <w:t>教育费附加安排的支出</w:t>
      </w:r>
      <w:bookmarkEnd w:id="12"/>
      <w:bookmarkEnd w:id="13"/>
      <w:r w:rsidRPr="00FD72A7">
        <w:rPr>
          <w:rFonts w:ascii="仿宋_GB2312" w:eastAsia="仿宋_GB2312" w:hint="eastAsia"/>
          <w:sz w:val="28"/>
          <w:szCs w:val="28"/>
        </w:rPr>
        <w:t>”（款）</w:t>
      </w:r>
      <w:r>
        <w:rPr>
          <w:rFonts w:ascii="仿宋_GB2312" w:eastAsia="仿宋_GB2312" w:hint="eastAsia"/>
          <w:sz w:val="28"/>
          <w:szCs w:val="28"/>
        </w:rPr>
        <w:t>2024年度年初预算</w:t>
      </w:r>
      <w:r w:rsidR="00FE1DD7" w:rsidRPr="00FE1DD7">
        <w:rPr>
          <w:rFonts w:ascii="仿宋_GB2312" w:eastAsia="仿宋_GB2312"/>
          <w:sz w:val="28"/>
          <w:szCs w:val="28"/>
        </w:rPr>
        <w:t>14.00</w:t>
      </w:r>
      <w:r>
        <w:rPr>
          <w:rFonts w:ascii="仿宋_GB2312" w:eastAsia="仿宋_GB2312" w:hint="eastAsia"/>
          <w:sz w:val="28"/>
          <w:szCs w:val="28"/>
        </w:rPr>
        <w:t>万元，</w:t>
      </w:r>
      <w:r w:rsidRPr="00FD72A7">
        <w:rPr>
          <w:rFonts w:ascii="仿宋_GB2312" w:eastAsia="仿宋_GB2312" w:hint="eastAsia"/>
          <w:sz w:val="28"/>
          <w:szCs w:val="28"/>
        </w:rPr>
        <w:t>2024年度决算0万元，</w:t>
      </w:r>
      <w:r>
        <w:rPr>
          <w:rFonts w:ascii="仿宋_GB2312" w:eastAsia="仿宋_GB2312" w:hint="eastAsia"/>
          <w:sz w:val="28"/>
          <w:szCs w:val="28"/>
        </w:rPr>
        <w:t>完成年初预算的</w:t>
      </w:r>
      <w:r w:rsidR="00FE1DD7">
        <w:rPr>
          <w:rFonts w:ascii="仿宋_GB2312" w:eastAsia="仿宋_GB2312" w:hint="eastAsia"/>
          <w:sz w:val="28"/>
          <w:szCs w:val="28"/>
        </w:rPr>
        <w:t>0</w:t>
      </w:r>
      <w:r>
        <w:rPr>
          <w:rFonts w:ascii="仿宋_GB2312" w:eastAsia="仿宋_GB2312" w:hint="eastAsia"/>
          <w:sz w:val="28"/>
          <w:szCs w:val="28"/>
        </w:rPr>
        <w:t>%</w:t>
      </w:r>
      <w:r w:rsidRPr="00FD72A7">
        <w:rPr>
          <w:rFonts w:ascii="仿宋_GB2312" w:eastAsia="仿宋_GB2312" w:hint="eastAsia"/>
          <w:sz w:val="28"/>
          <w:szCs w:val="28"/>
        </w:rPr>
        <w:t>。主要原因：东址燃气调压箱改造工程项目14万元根据上级安排不执行，预算资金全部退回财政。</w:t>
      </w:r>
    </w:p>
    <w:p w14:paraId="71A51916" w14:textId="77777777" w:rsidR="00601EFB" w:rsidRDefault="00CB7B5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BA6B0D" w:rsidRPr="00BA6B0D">
        <w:rPr>
          <w:rFonts w:ascii="仿宋_GB2312" w:eastAsia="仿宋_GB2312" w:hint="eastAsia"/>
          <w:sz w:val="28"/>
          <w:szCs w:val="28"/>
        </w:rPr>
        <w:t>社会保障和就业支出</w:t>
      </w:r>
      <w:r>
        <w:rPr>
          <w:rFonts w:ascii="仿宋_GB2312" w:eastAsia="仿宋_GB2312" w:hint="eastAsia"/>
          <w:sz w:val="28"/>
          <w:szCs w:val="28"/>
        </w:rPr>
        <w:t>”(类)2024年度年初预算</w:t>
      </w:r>
      <w:r w:rsidR="00BA6B0D" w:rsidRPr="00BA6B0D">
        <w:rPr>
          <w:rFonts w:ascii="仿宋_GB2312" w:eastAsia="仿宋_GB2312"/>
          <w:sz w:val="28"/>
          <w:szCs w:val="28"/>
        </w:rPr>
        <w:t>830.22</w:t>
      </w:r>
      <w:r>
        <w:rPr>
          <w:rFonts w:ascii="仿宋_GB2312" w:eastAsia="仿宋_GB2312" w:hint="eastAsia"/>
          <w:sz w:val="28"/>
          <w:szCs w:val="28"/>
        </w:rPr>
        <w:t>万</w:t>
      </w:r>
      <w:bookmarkStart w:id="14" w:name="OLE_LINK73"/>
      <w:bookmarkStart w:id="15" w:name="OLE_LINK74"/>
      <w:r>
        <w:rPr>
          <w:rFonts w:ascii="仿宋_GB2312" w:eastAsia="仿宋_GB2312" w:hint="eastAsia"/>
          <w:sz w:val="28"/>
          <w:szCs w:val="28"/>
        </w:rPr>
        <w:t>元</w:t>
      </w:r>
      <w:bookmarkEnd w:id="14"/>
      <w:bookmarkEnd w:id="15"/>
      <w:r>
        <w:rPr>
          <w:rFonts w:ascii="仿宋_GB2312" w:eastAsia="仿宋_GB2312" w:hint="eastAsia"/>
          <w:sz w:val="28"/>
          <w:szCs w:val="28"/>
        </w:rPr>
        <w:t>，2024年度决算</w:t>
      </w:r>
      <w:r w:rsidR="00BA6B0D" w:rsidRPr="00BA6B0D">
        <w:rPr>
          <w:rFonts w:ascii="仿宋_GB2312" w:eastAsia="仿宋_GB2312"/>
          <w:sz w:val="28"/>
          <w:szCs w:val="28"/>
        </w:rPr>
        <w:t>1049.64</w:t>
      </w:r>
      <w:r>
        <w:rPr>
          <w:rFonts w:ascii="仿宋_GB2312" w:eastAsia="仿宋_GB2312" w:hint="eastAsia"/>
          <w:sz w:val="28"/>
          <w:szCs w:val="28"/>
        </w:rPr>
        <w:t>万元，完成年初预算的</w:t>
      </w:r>
      <w:r w:rsidR="00BA6B0D" w:rsidRPr="00BA6B0D">
        <w:rPr>
          <w:rFonts w:ascii="仿宋_GB2312" w:eastAsia="仿宋_GB2312"/>
          <w:sz w:val="28"/>
          <w:szCs w:val="28"/>
        </w:rPr>
        <w:t>126.43%</w:t>
      </w:r>
      <w:r>
        <w:rPr>
          <w:rFonts w:ascii="仿宋_GB2312" w:eastAsia="仿宋_GB2312" w:hint="eastAsia"/>
          <w:sz w:val="28"/>
          <w:szCs w:val="28"/>
        </w:rPr>
        <w:t>。其中：</w:t>
      </w:r>
    </w:p>
    <w:p w14:paraId="65C05235" w14:textId="77777777" w:rsidR="00BA6B0D" w:rsidRPr="00BA6B0D" w:rsidRDefault="00BA6B0D" w:rsidP="00BA6B0D">
      <w:pPr>
        <w:spacing w:line="580" w:lineRule="exact"/>
        <w:ind w:firstLineChars="200" w:firstLine="560"/>
        <w:rPr>
          <w:rFonts w:ascii="仿宋_GB2312" w:eastAsia="仿宋_GB2312"/>
          <w:sz w:val="28"/>
          <w:szCs w:val="28"/>
        </w:rPr>
      </w:pPr>
      <w:r w:rsidRPr="00BA6B0D">
        <w:rPr>
          <w:rFonts w:ascii="仿宋_GB2312" w:eastAsia="仿宋_GB2312" w:hint="eastAsia"/>
          <w:sz w:val="28"/>
          <w:szCs w:val="28"/>
        </w:rPr>
        <w:t>“</w:t>
      </w:r>
      <w:r w:rsidR="0099468F" w:rsidRPr="0099468F">
        <w:rPr>
          <w:rFonts w:ascii="仿宋_GB2312" w:eastAsia="仿宋_GB2312" w:hint="eastAsia"/>
          <w:sz w:val="28"/>
          <w:szCs w:val="28"/>
        </w:rPr>
        <w:t>行政事业单位养老支出</w:t>
      </w:r>
      <w:r w:rsidRPr="00BA6B0D">
        <w:rPr>
          <w:rFonts w:ascii="仿宋_GB2312" w:eastAsia="仿宋_GB2312" w:hint="eastAsia"/>
          <w:sz w:val="28"/>
          <w:szCs w:val="28"/>
        </w:rPr>
        <w:t>”（款）</w:t>
      </w:r>
      <w:r>
        <w:rPr>
          <w:rFonts w:ascii="仿宋_GB2312" w:eastAsia="仿宋_GB2312" w:hint="eastAsia"/>
          <w:sz w:val="28"/>
          <w:szCs w:val="28"/>
        </w:rPr>
        <w:t>2024年度年初预算</w:t>
      </w:r>
      <w:r w:rsidR="002676AC" w:rsidRPr="002676AC">
        <w:rPr>
          <w:rFonts w:ascii="仿宋_GB2312" w:eastAsia="仿宋_GB2312"/>
          <w:sz w:val="28"/>
          <w:szCs w:val="28"/>
        </w:rPr>
        <w:t>830.22</w:t>
      </w:r>
      <w:r>
        <w:rPr>
          <w:rFonts w:ascii="仿宋_GB2312" w:eastAsia="仿宋_GB2312" w:hint="eastAsia"/>
          <w:sz w:val="28"/>
          <w:szCs w:val="28"/>
        </w:rPr>
        <w:t>万元，</w:t>
      </w:r>
      <w:r w:rsidRPr="00BA6B0D">
        <w:rPr>
          <w:rFonts w:ascii="仿宋_GB2312" w:eastAsia="仿宋_GB2312" w:hint="eastAsia"/>
          <w:sz w:val="28"/>
          <w:szCs w:val="28"/>
        </w:rPr>
        <w:t>2024年度决算</w:t>
      </w:r>
      <w:r w:rsidR="002676AC" w:rsidRPr="002676AC">
        <w:rPr>
          <w:rFonts w:ascii="仿宋_GB2312" w:eastAsia="仿宋_GB2312"/>
          <w:sz w:val="28"/>
          <w:szCs w:val="28"/>
        </w:rPr>
        <w:t>896.79</w:t>
      </w:r>
      <w:r w:rsidRPr="00BA6B0D">
        <w:rPr>
          <w:rFonts w:ascii="仿宋_GB2312" w:eastAsia="仿宋_GB2312" w:hint="eastAsia"/>
          <w:sz w:val="28"/>
          <w:szCs w:val="28"/>
        </w:rPr>
        <w:t>万元，</w:t>
      </w:r>
      <w:r>
        <w:rPr>
          <w:rFonts w:ascii="仿宋_GB2312" w:eastAsia="仿宋_GB2312" w:hint="eastAsia"/>
          <w:sz w:val="28"/>
          <w:szCs w:val="28"/>
        </w:rPr>
        <w:t>完成年初预算的</w:t>
      </w:r>
      <w:r w:rsidR="002676AC" w:rsidRPr="002676AC">
        <w:rPr>
          <w:rFonts w:ascii="仿宋_GB2312" w:eastAsia="仿宋_GB2312"/>
          <w:sz w:val="28"/>
          <w:szCs w:val="28"/>
        </w:rPr>
        <w:t>108.02%</w:t>
      </w:r>
      <w:r>
        <w:rPr>
          <w:rFonts w:ascii="仿宋_GB2312" w:eastAsia="仿宋_GB2312" w:hint="eastAsia"/>
          <w:sz w:val="28"/>
          <w:szCs w:val="28"/>
        </w:rPr>
        <w:t>。</w:t>
      </w:r>
      <w:r w:rsidRPr="00BA6B0D">
        <w:rPr>
          <w:rFonts w:ascii="仿宋_GB2312" w:eastAsia="仿宋_GB2312" w:hint="eastAsia"/>
          <w:sz w:val="28"/>
          <w:szCs w:val="28"/>
        </w:rPr>
        <w:t>主要原因：年中追加中人十年过渡期一次性核增退休补贴122.88万元。</w:t>
      </w:r>
    </w:p>
    <w:p w14:paraId="1E1EA6C7" w14:textId="77777777" w:rsidR="00CA5D6F" w:rsidRDefault="002676AC" w:rsidP="00555E33">
      <w:pPr>
        <w:spacing w:line="580" w:lineRule="exact"/>
        <w:ind w:firstLineChars="200" w:firstLine="560"/>
        <w:rPr>
          <w:rFonts w:ascii="仿宋_GB2312" w:eastAsia="仿宋_GB2312"/>
          <w:sz w:val="28"/>
          <w:szCs w:val="28"/>
        </w:rPr>
      </w:pPr>
      <w:r w:rsidRPr="00BA6B0D">
        <w:rPr>
          <w:rFonts w:ascii="仿宋_GB2312" w:eastAsia="仿宋_GB2312" w:hint="eastAsia"/>
          <w:sz w:val="28"/>
          <w:szCs w:val="28"/>
        </w:rPr>
        <w:lastRenderedPageBreak/>
        <w:t xml:space="preserve"> </w:t>
      </w:r>
      <w:r w:rsidR="0099468F">
        <w:rPr>
          <w:rFonts w:ascii="仿宋_GB2312" w:eastAsia="仿宋_GB2312" w:hint="eastAsia"/>
          <w:sz w:val="28"/>
          <w:szCs w:val="28"/>
        </w:rPr>
        <w:t>“</w:t>
      </w:r>
      <w:r w:rsidR="00BA6B0D" w:rsidRPr="00BA6B0D">
        <w:rPr>
          <w:rFonts w:ascii="仿宋_GB2312" w:eastAsia="仿宋_GB2312" w:hint="eastAsia"/>
          <w:sz w:val="28"/>
          <w:szCs w:val="28"/>
        </w:rPr>
        <w:t>抚恤”（款）</w:t>
      </w:r>
      <w:bookmarkStart w:id="16" w:name="OLE_LINK60"/>
      <w:bookmarkStart w:id="17" w:name="OLE_LINK61"/>
      <w:r w:rsidR="00BA6B0D">
        <w:rPr>
          <w:rFonts w:ascii="仿宋_GB2312" w:eastAsia="仿宋_GB2312" w:hint="eastAsia"/>
          <w:sz w:val="28"/>
          <w:szCs w:val="28"/>
        </w:rPr>
        <w:t>2024年度年初预算</w:t>
      </w:r>
      <w:r w:rsidR="0099468F">
        <w:rPr>
          <w:rFonts w:ascii="仿宋_GB2312" w:eastAsia="仿宋_GB2312" w:hint="eastAsia"/>
          <w:sz w:val="28"/>
          <w:szCs w:val="28"/>
        </w:rPr>
        <w:t>0</w:t>
      </w:r>
      <w:r w:rsidR="00BA6B0D">
        <w:rPr>
          <w:rFonts w:ascii="仿宋_GB2312" w:eastAsia="仿宋_GB2312" w:hint="eastAsia"/>
          <w:sz w:val="28"/>
          <w:szCs w:val="28"/>
        </w:rPr>
        <w:t>万元，</w:t>
      </w:r>
      <w:bookmarkEnd w:id="16"/>
      <w:bookmarkEnd w:id="17"/>
      <w:r w:rsidR="00BA6B0D" w:rsidRPr="00BA6B0D">
        <w:rPr>
          <w:rFonts w:ascii="仿宋_GB2312" w:eastAsia="仿宋_GB2312" w:hint="eastAsia"/>
          <w:sz w:val="28"/>
          <w:szCs w:val="28"/>
        </w:rPr>
        <w:t>2024年度决算152.85</w:t>
      </w:r>
      <w:r w:rsidR="0099468F">
        <w:rPr>
          <w:rFonts w:ascii="仿宋_GB2312" w:eastAsia="仿宋_GB2312" w:hint="eastAsia"/>
          <w:sz w:val="28"/>
          <w:szCs w:val="28"/>
        </w:rPr>
        <w:t>万元</w:t>
      </w:r>
      <w:r w:rsidR="00BA6B0D">
        <w:rPr>
          <w:rFonts w:ascii="仿宋_GB2312" w:eastAsia="仿宋_GB2312" w:hint="eastAsia"/>
          <w:sz w:val="28"/>
          <w:szCs w:val="28"/>
        </w:rPr>
        <w:t>。</w:t>
      </w:r>
      <w:r w:rsidR="00BA6B0D" w:rsidRPr="00BA6B0D">
        <w:rPr>
          <w:rFonts w:ascii="仿宋_GB2312" w:eastAsia="仿宋_GB2312" w:hint="eastAsia"/>
          <w:sz w:val="28"/>
          <w:szCs w:val="28"/>
        </w:rPr>
        <w:t>主要原因：发放退休去世人员的死亡抚恤金152.85万元</w:t>
      </w:r>
      <w:r w:rsidR="00555E33">
        <w:rPr>
          <w:rFonts w:ascii="仿宋_GB2312" w:eastAsia="仿宋_GB2312" w:hint="eastAsia"/>
          <w:sz w:val="28"/>
          <w:szCs w:val="28"/>
        </w:rPr>
        <w:t>。</w:t>
      </w:r>
    </w:p>
    <w:p w14:paraId="18F0ECDF" w14:textId="77777777" w:rsidR="00CA5D6F" w:rsidRPr="00CA5D6F" w:rsidRDefault="00CA5D6F" w:rsidP="00CA5D6F">
      <w:pPr>
        <w:spacing w:line="580" w:lineRule="exact"/>
        <w:ind w:firstLineChars="200" w:firstLine="560"/>
        <w:rPr>
          <w:rFonts w:ascii="仿宋_GB2312" w:eastAsia="仿宋_GB2312"/>
          <w:sz w:val="28"/>
          <w:szCs w:val="28"/>
        </w:rPr>
      </w:pPr>
      <w:r w:rsidRPr="00CA5D6F">
        <w:rPr>
          <w:rFonts w:ascii="仿宋_GB2312" w:eastAsia="仿宋_GB2312" w:hint="eastAsia"/>
          <w:sz w:val="28"/>
          <w:szCs w:val="28"/>
        </w:rPr>
        <w:t xml:space="preserve">3、“卫生健康支出”(类) </w:t>
      </w:r>
      <w:bookmarkStart w:id="18" w:name="OLE_LINK76"/>
      <w:bookmarkStart w:id="19" w:name="OLE_LINK77"/>
      <w:r>
        <w:rPr>
          <w:rFonts w:ascii="仿宋_GB2312" w:eastAsia="仿宋_GB2312" w:hint="eastAsia"/>
          <w:sz w:val="28"/>
          <w:szCs w:val="28"/>
        </w:rPr>
        <w:t>2024年度年初预算</w:t>
      </w:r>
      <w:r w:rsidRPr="00CA5D6F">
        <w:rPr>
          <w:rFonts w:ascii="仿宋_GB2312" w:eastAsia="仿宋_GB2312"/>
          <w:sz w:val="28"/>
          <w:szCs w:val="28"/>
        </w:rPr>
        <w:t>363.50</w:t>
      </w:r>
      <w:r>
        <w:rPr>
          <w:rFonts w:ascii="仿宋_GB2312" w:eastAsia="仿宋_GB2312" w:hint="eastAsia"/>
          <w:sz w:val="28"/>
          <w:szCs w:val="28"/>
        </w:rPr>
        <w:t>万元，</w:t>
      </w:r>
      <w:bookmarkEnd w:id="18"/>
      <w:bookmarkEnd w:id="19"/>
      <w:r w:rsidRPr="00CA5D6F">
        <w:rPr>
          <w:rFonts w:ascii="仿宋_GB2312" w:eastAsia="仿宋_GB2312" w:hint="eastAsia"/>
          <w:sz w:val="28"/>
          <w:szCs w:val="28"/>
        </w:rPr>
        <w:t>2024年度决算376.22万元</w:t>
      </w:r>
      <w:r>
        <w:rPr>
          <w:rFonts w:ascii="仿宋_GB2312" w:eastAsia="仿宋_GB2312" w:hint="eastAsia"/>
          <w:sz w:val="28"/>
          <w:szCs w:val="28"/>
        </w:rPr>
        <w:t>完成年初预算的</w:t>
      </w:r>
      <w:r w:rsidRPr="00CA5D6F">
        <w:rPr>
          <w:rFonts w:ascii="仿宋_GB2312" w:eastAsia="仿宋_GB2312"/>
          <w:sz w:val="28"/>
          <w:szCs w:val="28"/>
        </w:rPr>
        <w:t>103.50%</w:t>
      </w:r>
      <w:r w:rsidRPr="00CA5D6F">
        <w:rPr>
          <w:rFonts w:ascii="仿宋_GB2312" w:eastAsia="仿宋_GB2312" w:hint="eastAsia"/>
          <w:sz w:val="28"/>
          <w:szCs w:val="28"/>
        </w:rPr>
        <w:t>。其中：</w:t>
      </w:r>
    </w:p>
    <w:p w14:paraId="6DBBF2E9" w14:textId="77777777" w:rsidR="00CA5D6F" w:rsidRPr="00CA5D6F" w:rsidRDefault="00CA5D6F" w:rsidP="00CA5D6F">
      <w:pPr>
        <w:spacing w:line="580" w:lineRule="exact"/>
        <w:ind w:firstLineChars="200" w:firstLine="560"/>
        <w:rPr>
          <w:rFonts w:ascii="仿宋_GB2312" w:eastAsia="仿宋_GB2312"/>
          <w:sz w:val="28"/>
          <w:szCs w:val="28"/>
        </w:rPr>
      </w:pPr>
      <w:r w:rsidRPr="00CA5D6F">
        <w:rPr>
          <w:rFonts w:ascii="仿宋_GB2312" w:eastAsia="仿宋_GB2312" w:hint="eastAsia"/>
          <w:sz w:val="28"/>
          <w:szCs w:val="28"/>
        </w:rPr>
        <w:t>“行政事业单位医疗”（款）</w:t>
      </w:r>
      <w:r>
        <w:rPr>
          <w:rFonts w:ascii="仿宋_GB2312" w:eastAsia="仿宋_GB2312" w:hint="eastAsia"/>
          <w:sz w:val="28"/>
          <w:szCs w:val="28"/>
        </w:rPr>
        <w:t>2024年度年初预算</w:t>
      </w:r>
      <w:r w:rsidRPr="00CA5D6F">
        <w:rPr>
          <w:rFonts w:ascii="仿宋_GB2312" w:eastAsia="仿宋_GB2312"/>
          <w:sz w:val="28"/>
          <w:szCs w:val="28"/>
        </w:rPr>
        <w:t>363.50</w:t>
      </w:r>
      <w:r>
        <w:rPr>
          <w:rFonts w:ascii="仿宋_GB2312" w:eastAsia="仿宋_GB2312" w:hint="eastAsia"/>
          <w:sz w:val="28"/>
          <w:szCs w:val="28"/>
        </w:rPr>
        <w:t>万元，</w:t>
      </w:r>
      <w:r w:rsidRPr="00CA5D6F">
        <w:rPr>
          <w:rFonts w:ascii="仿宋_GB2312" w:eastAsia="仿宋_GB2312" w:hint="eastAsia"/>
          <w:sz w:val="28"/>
          <w:szCs w:val="28"/>
        </w:rPr>
        <w:t>2024年度决算367.22万元，</w:t>
      </w:r>
      <w:r>
        <w:rPr>
          <w:rFonts w:ascii="仿宋_GB2312" w:eastAsia="仿宋_GB2312" w:hint="eastAsia"/>
          <w:sz w:val="28"/>
          <w:szCs w:val="28"/>
        </w:rPr>
        <w:t>完成年初预算的</w:t>
      </w:r>
      <w:r w:rsidRPr="00CA5D6F">
        <w:rPr>
          <w:rFonts w:ascii="仿宋_GB2312" w:eastAsia="仿宋_GB2312"/>
          <w:sz w:val="28"/>
          <w:szCs w:val="28"/>
        </w:rPr>
        <w:t>103.50%</w:t>
      </w:r>
      <w:r>
        <w:rPr>
          <w:rFonts w:ascii="仿宋_GB2312" w:eastAsia="仿宋_GB2312" w:hint="eastAsia"/>
          <w:sz w:val="28"/>
          <w:szCs w:val="28"/>
        </w:rPr>
        <w:t>。</w:t>
      </w:r>
      <w:r w:rsidRPr="00CA5D6F">
        <w:rPr>
          <w:rFonts w:ascii="仿宋_GB2312" w:eastAsia="仿宋_GB2312" w:hint="eastAsia"/>
          <w:sz w:val="28"/>
          <w:szCs w:val="28"/>
        </w:rPr>
        <w:t>主要原因：年初预算计算在职人员医疗保险基数包含的工资项目比实际的少。</w:t>
      </w:r>
    </w:p>
    <w:p w14:paraId="5E62D4EC" w14:textId="77777777" w:rsidR="00CA5D6F" w:rsidRPr="00CA5D6F" w:rsidRDefault="00CA5D6F" w:rsidP="00CA5D6F">
      <w:pPr>
        <w:spacing w:line="580" w:lineRule="exact"/>
        <w:ind w:firstLineChars="200" w:firstLine="560"/>
        <w:rPr>
          <w:rFonts w:ascii="仿宋_GB2312" w:eastAsia="仿宋_GB2312"/>
          <w:sz w:val="28"/>
          <w:szCs w:val="28"/>
        </w:rPr>
      </w:pPr>
      <w:r w:rsidRPr="00CA5D6F">
        <w:rPr>
          <w:rFonts w:ascii="仿宋_GB2312" w:eastAsia="仿宋_GB2312" w:hint="eastAsia"/>
          <w:sz w:val="28"/>
          <w:szCs w:val="28"/>
        </w:rPr>
        <w:t xml:space="preserve">4、“住房保障支出”(类) </w:t>
      </w:r>
      <w:r>
        <w:rPr>
          <w:rFonts w:ascii="仿宋_GB2312" w:eastAsia="仿宋_GB2312" w:hint="eastAsia"/>
          <w:sz w:val="28"/>
          <w:szCs w:val="28"/>
        </w:rPr>
        <w:t>2024年度年初预算</w:t>
      </w:r>
      <w:r w:rsidRPr="00CA5D6F">
        <w:rPr>
          <w:rFonts w:ascii="仿宋_GB2312" w:eastAsia="仿宋_GB2312"/>
          <w:sz w:val="28"/>
          <w:szCs w:val="28"/>
        </w:rPr>
        <w:t>645.98</w:t>
      </w:r>
      <w:r>
        <w:rPr>
          <w:rFonts w:ascii="仿宋_GB2312" w:eastAsia="仿宋_GB2312" w:hint="eastAsia"/>
          <w:sz w:val="28"/>
          <w:szCs w:val="28"/>
        </w:rPr>
        <w:t>万元，</w:t>
      </w:r>
      <w:r w:rsidRPr="00CA5D6F">
        <w:rPr>
          <w:rFonts w:ascii="仿宋_GB2312" w:eastAsia="仿宋_GB2312" w:hint="eastAsia"/>
          <w:sz w:val="28"/>
          <w:szCs w:val="28"/>
        </w:rPr>
        <w:t>2024年度决算645.46万元，</w:t>
      </w:r>
      <w:r>
        <w:rPr>
          <w:rFonts w:ascii="仿宋_GB2312" w:eastAsia="仿宋_GB2312" w:hint="eastAsia"/>
          <w:sz w:val="28"/>
          <w:szCs w:val="28"/>
        </w:rPr>
        <w:t>完成年初预算的</w:t>
      </w:r>
      <w:bookmarkStart w:id="20" w:name="OLE_LINK79"/>
      <w:bookmarkStart w:id="21" w:name="OLE_LINK80"/>
      <w:bookmarkStart w:id="22" w:name="OLE_LINK81"/>
      <w:r w:rsidRPr="00CA5D6F">
        <w:rPr>
          <w:rFonts w:ascii="仿宋_GB2312" w:eastAsia="仿宋_GB2312"/>
          <w:sz w:val="28"/>
          <w:szCs w:val="28"/>
        </w:rPr>
        <w:t>99.92%</w:t>
      </w:r>
      <w:r>
        <w:rPr>
          <w:rFonts w:ascii="仿宋_GB2312" w:eastAsia="仿宋_GB2312" w:hint="eastAsia"/>
          <w:sz w:val="28"/>
          <w:szCs w:val="28"/>
        </w:rPr>
        <w:t>。</w:t>
      </w:r>
      <w:bookmarkEnd w:id="20"/>
      <w:bookmarkEnd w:id="21"/>
      <w:bookmarkEnd w:id="22"/>
      <w:r w:rsidRPr="00CA5D6F">
        <w:rPr>
          <w:rFonts w:ascii="仿宋_GB2312" w:eastAsia="仿宋_GB2312" w:hint="eastAsia"/>
          <w:sz w:val="28"/>
          <w:szCs w:val="28"/>
        </w:rPr>
        <w:t>其中：</w:t>
      </w:r>
    </w:p>
    <w:p w14:paraId="108F3A61" w14:textId="77777777" w:rsidR="00CA5D6F" w:rsidRDefault="00CA5D6F" w:rsidP="00CA5D6F">
      <w:pPr>
        <w:spacing w:line="580" w:lineRule="exact"/>
        <w:ind w:firstLineChars="200" w:firstLine="560"/>
        <w:rPr>
          <w:rFonts w:ascii="仿宋_GB2312" w:eastAsia="仿宋_GB2312"/>
          <w:sz w:val="28"/>
          <w:szCs w:val="28"/>
        </w:rPr>
      </w:pPr>
      <w:r w:rsidRPr="00CA5D6F">
        <w:rPr>
          <w:rFonts w:ascii="仿宋_GB2312" w:eastAsia="仿宋_GB2312" w:hint="eastAsia"/>
          <w:sz w:val="28"/>
          <w:szCs w:val="28"/>
        </w:rPr>
        <w:t>“住房改革支出”（款）</w:t>
      </w:r>
      <w:r>
        <w:rPr>
          <w:rFonts w:ascii="仿宋_GB2312" w:eastAsia="仿宋_GB2312" w:hint="eastAsia"/>
          <w:sz w:val="28"/>
          <w:szCs w:val="28"/>
        </w:rPr>
        <w:t>2024年度年初预算</w:t>
      </w:r>
      <w:r w:rsidRPr="00CA5D6F">
        <w:rPr>
          <w:rFonts w:ascii="仿宋_GB2312" w:eastAsia="仿宋_GB2312"/>
          <w:sz w:val="28"/>
          <w:szCs w:val="28"/>
        </w:rPr>
        <w:t>645.98</w:t>
      </w:r>
      <w:r>
        <w:rPr>
          <w:rFonts w:ascii="仿宋_GB2312" w:eastAsia="仿宋_GB2312" w:hint="eastAsia"/>
          <w:sz w:val="28"/>
          <w:szCs w:val="28"/>
        </w:rPr>
        <w:t>万元，</w:t>
      </w:r>
      <w:r w:rsidRPr="00CA5D6F">
        <w:rPr>
          <w:rFonts w:ascii="仿宋_GB2312" w:eastAsia="仿宋_GB2312" w:hint="eastAsia"/>
          <w:sz w:val="28"/>
          <w:szCs w:val="28"/>
        </w:rPr>
        <w:t>2024年度决算645.46万元，</w:t>
      </w:r>
      <w:r>
        <w:rPr>
          <w:rFonts w:ascii="仿宋_GB2312" w:eastAsia="仿宋_GB2312" w:hint="eastAsia"/>
          <w:sz w:val="28"/>
          <w:szCs w:val="28"/>
        </w:rPr>
        <w:t>完成年初预算的</w:t>
      </w:r>
      <w:r w:rsidRPr="00CA5D6F">
        <w:rPr>
          <w:rFonts w:ascii="仿宋_GB2312" w:eastAsia="仿宋_GB2312"/>
          <w:sz w:val="28"/>
          <w:szCs w:val="28"/>
        </w:rPr>
        <w:t>99.92%</w:t>
      </w:r>
      <w:r>
        <w:rPr>
          <w:rFonts w:ascii="仿宋_GB2312" w:eastAsia="仿宋_GB2312" w:hint="eastAsia"/>
          <w:sz w:val="28"/>
          <w:szCs w:val="28"/>
        </w:rPr>
        <w:t>。</w:t>
      </w:r>
      <w:r w:rsidRPr="00CA5D6F">
        <w:rPr>
          <w:rFonts w:ascii="仿宋_GB2312" w:eastAsia="仿宋_GB2312" w:hint="eastAsia"/>
          <w:sz w:val="28"/>
          <w:szCs w:val="28"/>
        </w:rPr>
        <w:t>主要原因：在职人员转退休和退休人员去世导致公积金、提租补贴支出减少。</w:t>
      </w:r>
    </w:p>
    <w:p w14:paraId="61BF4A24" w14:textId="77777777" w:rsidR="00601EFB" w:rsidRDefault="00CB7B5E" w:rsidP="003C1C05">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28C3C0C" w14:textId="77777777" w:rsidR="00601EFB" w:rsidRDefault="00CB7B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8E83A3A" w14:textId="77777777" w:rsidR="00601EFB" w:rsidRDefault="00CB7B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w:t>
      </w:r>
      <w:r w:rsidR="00C65036">
        <w:rPr>
          <w:rFonts w:ascii="仿宋_GB2312" w:eastAsia="仿宋_GB2312" w:hint="eastAsia"/>
          <w:sz w:val="28"/>
          <w:szCs w:val="28"/>
        </w:rPr>
        <w:t>其他</w:t>
      </w:r>
      <w:r w:rsidR="00C65036" w:rsidRPr="00C65036">
        <w:rPr>
          <w:rFonts w:ascii="仿宋_GB2312" w:eastAsia="仿宋_GB2312" w:hint="eastAsia"/>
          <w:sz w:val="28"/>
          <w:szCs w:val="28"/>
        </w:rPr>
        <w:t>支出</w:t>
      </w:r>
      <w:r w:rsidR="00C65036">
        <w:rPr>
          <w:rFonts w:ascii="仿宋_GB2312" w:eastAsia="仿宋_GB2312" w:hint="eastAsia"/>
          <w:sz w:val="28"/>
          <w:szCs w:val="28"/>
        </w:rPr>
        <w:t>3</w:t>
      </w:r>
      <w:r>
        <w:rPr>
          <w:rFonts w:ascii="仿宋_GB2312" w:eastAsia="仿宋_GB2312" w:hint="eastAsia"/>
          <w:sz w:val="28"/>
          <w:szCs w:val="28"/>
        </w:rPr>
        <w:t>万元，占本年财政拨款支出</w:t>
      </w:r>
      <w:r w:rsidR="00C65036">
        <w:rPr>
          <w:rFonts w:ascii="仿宋_GB2312" w:eastAsia="仿宋_GB2312" w:hint="eastAsia"/>
          <w:sz w:val="28"/>
          <w:szCs w:val="28"/>
        </w:rPr>
        <w:t>100</w:t>
      </w:r>
      <w:r>
        <w:rPr>
          <w:rFonts w:ascii="仿宋_GB2312" w:eastAsia="仿宋_GB2312" w:hint="eastAsia"/>
          <w:sz w:val="28"/>
          <w:szCs w:val="28"/>
        </w:rPr>
        <w:t>%。</w:t>
      </w:r>
    </w:p>
    <w:p w14:paraId="600EA0CE" w14:textId="77777777" w:rsidR="00601EFB" w:rsidRDefault="00CB7B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2C3BF899" w14:textId="77777777" w:rsidR="00601EFB" w:rsidRDefault="00C65036">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“其他</w:t>
      </w:r>
      <w:r w:rsidR="00CB7B5E">
        <w:rPr>
          <w:rFonts w:ascii="仿宋_GB2312" w:eastAsia="仿宋_GB2312" w:hint="eastAsia"/>
          <w:sz w:val="28"/>
          <w:szCs w:val="28"/>
        </w:rPr>
        <w:t>支出”（类，下同）2024年度年初预算</w:t>
      </w:r>
      <w:r>
        <w:rPr>
          <w:rFonts w:ascii="仿宋_GB2312" w:eastAsia="仿宋_GB2312" w:hint="eastAsia"/>
          <w:sz w:val="28"/>
          <w:szCs w:val="28"/>
        </w:rPr>
        <w:t>3</w:t>
      </w:r>
      <w:r w:rsidR="00CB7B5E">
        <w:rPr>
          <w:rFonts w:ascii="仿宋_GB2312" w:eastAsia="仿宋_GB2312" w:hint="eastAsia"/>
          <w:sz w:val="28"/>
          <w:szCs w:val="28"/>
        </w:rPr>
        <w:t>万元，2024年度决算</w:t>
      </w:r>
      <w:r>
        <w:rPr>
          <w:rFonts w:ascii="仿宋_GB2312" w:eastAsia="仿宋_GB2312" w:hint="eastAsia"/>
          <w:sz w:val="28"/>
          <w:szCs w:val="28"/>
        </w:rPr>
        <w:t>3</w:t>
      </w:r>
      <w:r w:rsidR="00CB7B5E">
        <w:rPr>
          <w:rFonts w:ascii="仿宋_GB2312" w:eastAsia="仿宋_GB2312" w:hint="eastAsia"/>
          <w:sz w:val="28"/>
          <w:szCs w:val="28"/>
        </w:rPr>
        <w:t>万元，完成年初预算的</w:t>
      </w:r>
      <w:r>
        <w:rPr>
          <w:rFonts w:ascii="仿宋_GB2312" w:eastAsia="仿宋_GB2312" w:hint="eastAsia"/>
          <w:sz w:val="28"/>
          <w:szCs w:val="28"/>
        </w:rPr>
        <w:t>100</w:t>
      </w:r>
      <w:r w:rsidR="00CB7B5E">
        <w:rPr>
          <w:rFonts w:ascii="仿宋_GB2312" w:eastAsia="仿宋_GB2312" w:hint="eastAsia"/>
          <w:sz w:val="28"/>
          <w:szCs w:val="28"/>
        </w:rPr>
        <w:t>%。其中：</w:t>
      </w:r>
    </w:p>
    <w:p w14:paraId="13BCBF6E" w14:textId="77777777" w:rsidR="00601EFB" w:rsidRDefault="00CB7B5E">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w:t>
      </w:r>
      <w:r w:rsidR="00C65036" w:rsidRPr="00C65036">
        <w:rPr>
          <w:rFonts w:ascii="仿宋_GB2312" w:eastAsia="仿宋_GB2312" w:hint="eastAsia"/>
          <w:sz w:val="28"/>
          <w:szCs w:val="28"/>
        </w:rPr>
        <w:t>彩票公益金安排的支出</w:t>
      </w:r>
      <w:r>
        <w:rPr>
          <w:rFonts w:ascii="仿宋_GB2312" w:eastAsia="仿宋_GB2312" w:hint="eastAsia"/>
          <w:sz w:val="28"/>
          <w:szCs w:val="28"/>
        </w:rPr>
        <w:t>”（款，下同）2024年度年初预算</w:t>
      </w:r>
      <w:r w:rsidR="00C65036">
        <w:rPr>
          <w:rFonts w:ascii="仿宋_GB2312" w:eastAsia="仿宋_GB2312" w:hint="eastAsia"/>
          <w:sz w:val="28"/>
          <w:szCs w:val="28"/>
        </w:rPr>
        <w:t>3</w:t>
      </w:r>
      <w:r>
        <w:rPr>
          <w:rFonts w:ascii="仿宋_GB2312" w:eastAsia="仿宋_GB2312" w:hint="eastAsia"/>
          <w:sz w:val="28"/>
          <w:szCs w:val="28"/>
        </w:rPr>
        <w:t>万元，2024年度决算</w:t>
      </w:r>
      <w:r w:rsidR="00C65036">
        <w:rPr>
          <w:rFonts w:ascii="仿宋_GB2312" w:eastAsia="仿宋_GB2312" w:hint="eastAsia"/>
          <w:sz w:val="28"/>
          <w:szCs w:val="28"/>
        </w:rPr>
        <w:t>3</w:t>
      </w:r>
      <w:r>
        <w:rPr>
          <w:rFonts w:ascii="仿宋_GB2312" w:eastAsia="仿宋_GB2312" w:hint="eastAsia"/>
          <w:sz w:val="28"/>
          <w:szCs w:val="28"/>
        </w:rPr>
        <w:t>万元，完成年初预算的</w:t>
      </w:r>
      <w:r w:rsidR="00C65036">
        <w:rPr>
          <w:rFonts w:ascii="仿宋_GB2312" w:eastAsia="仿宋_GB2312" w:hint="eastAsia"/>
          <w:sz w:val="28"/>
          <w:szCs w:val="28"/>
        </w:rPr>
        <w:t>100</w:t>
      </w:r>
      <w:r>
        <w:rPr>
          <w:rFonts w:ascii="仿宋_GB2312" w:eastAsia="仿宋_GB2312" w:hint="eastAsia"/>
          <w:sz w:val="28"/>
          <w:szCs w:val="28"/>
        </w:rPr>
        <w:t>%。</w:t>
      </w:r>
    </w:p>
    <w:p w14:paraId="4B089B21" w14:textId="77777777" w:rsidR="00601EFB" w:rsidRDefault="00CB7B5E" w:rsidP="003C1C05">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2434155C" w14:textId="77777777" w:rsidR="00601EFB" w:rsidRDefault="00CB7B5E" w:rsidP="003C1C05">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7D243220" w14:textId="77777777" w:rsidR="00601EFB" w:rsidRDefault="00CB7B5E" w:rsidP="003C1C0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0A3EF4E" w14:textId="77777777" w:rsidR="00601EFB" w:rsidRDefault="00CB7B5E" w:rsidP="003C1C0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5599.37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5C2082F0" w14:textId="77777777" w:rsidR="00601EFB" w:rsidRDefault="00CB7B5E">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664C17EA" w14:textId="77777777" w:rsidR="00601EFB" w:rsidRDefault="00CB7B5E">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103E46F9" w14:textId="77777777" w:rsidR="00601EFB" w:rsidRDefault="00CB7B5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0358590" w14:textId="77777777" w:rsidR="00601EFB" w:rsidRDefault="00CB7B5E">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14:paraId="6051CD9C" w14:textId="77777777" w:rsidR="00601EFB" w:rsidRDefault="00CB7B5E">
      <w:pPr>
        <w:spacing w:line="560" w:lineRule="exact"/>
        <w:ind w:firstLine="600"/>
        <w:rPr>
          <w:rFonts w:ascii="仿宋_GB2312" w:eastAsia="仿宋_GB2312"/>
          <w:sz w:val="28"/>
          <w:szCs w:val="28"/>
        </w:rPr>
      </w:pPr>
      <w:r>
        <w:rPr>
          <w:rFonts w:ascii="仿宋_GB2312" w:eastAsia="仿宋_GB2312" w:hint="eastAsia"/>
          <w:sz w:val="28"/>
          <w:szCs w:val="28"/>
        </w:rPr>
        <w:lastRenderedPageBreak/>
        <w:t>1.因公出国（境）费用。</w:t>
      </w:r>
      <w:bookmarkStart w:id="23" w:name="OLE_LINK84"/>
      <w:bookmarkStart w:id="24" w:name="OLE_LINK85"/>
      <w:r w:rsidR="00C65036">
        <w:rPr>
          <w:rFonts w:ascii="仿宋_GB2312" w:eastAsia="仿宋_GB2312" w:hint="eastAsia"/>
          <w:sz w:val="28"/>
          <w:szCs w:val="28"/>
        </w:rPr>
        <w:t>本单位无此项经费</w:t>
      </w:r>
      <w:r>
        <w:rPr>
          <w:rFonts w:ascii="仿宋_GB2312" w:eastAsia="仿宋_GB2312" w:hint="eastAsia"/>
          <w:sz w:val="28"/>
          <w:szCs w:val="28"/>
        </w:rPr>
        <w:t>。</w:t>
      </w:r>
      <w:bookmarkEnd w:id="23"/>
      <w:bookmarkEnd w:id="24"/>
    </w:p>
    <w:p w14:paraId="3D49D3E1" w14:textId="77777777" w:rsidR="00601EFB" w:rsidRDefault="00CB7B5E">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C65036">
        <w:rPr>
          <w:rFonts w:ascii="仿宋_GB2312" w:eastAsia="仿宋_GB2312" w:hint="eastAsia"/>
          <w:sz w:val="28"/>
          <w:szCs w:val="28"/>
        </w:rPr>
        <w:t>本单位无此项经费。</w:t>
      </w:r>
    </w:p>
    <w:p w14:paraId="54524264" w14:textId="77777777" w:rsidR="00601EFB" w:rsidRDefault="00CB7B5E">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w:t>
      </w:r>
      <w:r w:rsidR="00C65036">
        <w:rPr>
          <w:rFonts w:ascii="仿宋_GB2312" w:eastAsia="仿宋_GB2312" w:hint="eastAsia"/>
          <w:sz w:val="28"/>
          <w:szCs w:val="28"/>
        </w:rPr>
        <w:t>本单位无此项经费。</w:t>
      </w:r>
    </w:p>
    <w:p w14:paraId="72C9E67E" w14:textId="77777777" w:rsidR="00601EFB" w:rsidRDefault="00CB7B5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469C6CC1" w14:textId="77777777" w:rsidR="00C65036" w:rsidRDefault="00C65036">
      <w:pPr>
        <w:ind w:left="540"/>
        <w:rPr>
          <w:rFonts w:ascii="仿宋_GB2312" w:eastAsia="仿宋_GB2312"/>
          <w:sz w:val="28"/>
          <w:szCs w:val="28"/>
        </w:rPr>
      </w:pPr>
      <w:r w:rsidRPr="00C65036">
        <w:rPr>
          <w:rFonts w:ascii="仿宋_GB2312" w:eastAsia="仿宋_GB2312" w:hint="eastAsia"/>
          <w:sz w:val="28"/>
          <w:szCs w:val="28"/>
        </w:rPr>
        <w:t>我单位不在机关运行经费统计范围之内。</w:t>
      </w:r>
    </w:p>
    <w:p w14:paraId="7A05010D" w14:textId="77777777" w:rsidR="00601EFB" w:rsidRDefault="00CB7B5E">
      <w:pPr>
        <w:ind w:left="540"/>
        <w:rPr>
          <w:rFonts w:ascii="黑体" w:eastAsia="黑体"/>
          <w:sz w:val="28"/>
          <w:szCs w:val="28"/>
        </w:rPr>
      </w:pPr>
      <w:r>
        <w:rPr>
          <w:rFonts w:ascii="黑体" w:eastAsia="黑体" w:hint="eastAsia"/>
          <w:sz w:val="28"/>
          <w:szCs w:val="28"/>
        </w:rPr>
        <w:t>三、政府采购支出情况</w:t>
      </w:r>
    </w:p>
    <w:p w14:paraId="2D0640DE" w14:textId="77777777" w:rsidR="00601EFB" w:rsidRDefault="00CB7B5E" w:rsidP="003C1C05">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99.41</w:t>
      </w:r>
      <w:r>
        <w:rPr>
          <w:rFonts w:ascii="仿宋_GB2312" w:eastAsia="仿宋_GB2312" w:hint="eastAsia"/>
          <w:sz w:val="28"/>
          <w:szCs w:val="28"/>
        </w:rPr>
        <w:t>万元，其中：政府采购货物支出</w:t>
      </w:r>
      <w:r>
        <w:rPr>
          <w:rFonts w:ascii="仿宋_GB2312" w:eastAsia="仿宋_GB2312"/>
          <w:sz w:val="28"/>
          <w:szCs w:val="28"/>
        </w:rPr>
        <w:t>42.17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57.23</w:t>
      </w:r>
      <w:r>
        <w:rPr>
          <w:rFonts w:ascii="仿宋_GB2312" w:eastAsia="仿宋_GB2312" w:hint="eastAsia"/>
          <w:sz w:val="28"/>
          <w:szCs w:val="28"/>
        </w:rPr>
        <w:t>万元。授予中小企业合同金额</w:t>
      </w:r>
      <w:r>
        <w:rPr>
          <w:rFonts w:ascii="仿宋_GB2312" w:eastAsia="仿宋_GB2312"/>
          <w:sz w:val="28"/>
          <w:szCs w:val="28"/>
        </w:rPr>
        <w:t>99.41</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44.66</w:t>
      </w:r>
      <w:r>
        <w:rPr>
          <w:rFonts w:ascii="仿宋_GB2312" w:eastAsia="仿宋_GB2312" w:hint="eastAsia"/>
          <w:sz w:val="28"/>
          <w:szCs w:val="28"/>
        </w:rPr>
        <w:t>万元，占政府采购支出总额的</w:t>
      </w:r>
      <w:r>
        <w:rPr>
          <w:rFonts w:ascii="仿宋_GB2312" w:eastAsia="仿宋_GB2312"/>
          <w:sz w:val="28"/>
          <w:szCs w:val="28"/>
        </w:rPr>
        <w:t>44.93</w:t>
      </w:r>
      <w:r>
        <w:rPr>
          <w:rFonts w:ascii="仿宋_GB2312" w:eastAsia="仿宋_GB2312" w:hint="eastAsia"/>
          <w:sz w:val="28"/>
          <w:szCs w:val="28"/>
        </w:rPr>
        <w:t>%。</w:t>
      </w:r>
    </w:p>
    <w:p w14:paraId="63F342E9" w14:textId="77777777" w:rsidR="00601EFB" w:rsidRDefault="00CB7B5E">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065AE2AE" w14:textId="77777777" w:rsidR="00601EFB" w:rsidRDefault="00CB7B5E">
      <w:pPr>
        <w:ind w:firstLineChars="200" w:firstLine="560"/>
        <w:rPr>
          <w:rFonts w:ascii="仿宋_GB2312" w:eastAsia="仿宋_GB2312"/>
          <w:sz w:val="32"/>
          <w:szCs w:val="32"/>
        </w:rPr>
      </w:pPr>
      <w:r>
        <w:rPr>
          <w:rFonts w:ascii="仿宋_GB2312" w:eastAsia="仿宋_GB2312" w:hint="eastAsia"/>
          <w:sz w:val="28"/>
          <w:szCs w:val="28"/>
        </w:rPr>
        <w:t>截至12月31日，北京第二实验小学玉桃园分校共有车辆0台；单位价值100万元（含）以上的设备0台（套）。</w:t>
      </w:r>
    </w:p>
    <w:p w14:paraId="67B6CE41" w14:textId="77777777" w:rsidR="00601EFB" w:rsidRDefault="00CB7B5E" w:rsidP="003C1C0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6B13716C" w14:textId="77777777" w:rsidR="00601EFB" w:rsidRDefault="00CB7B5E" w:rsidP="003C1C05">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63F325F5" w14:textId="77777777" w:rsidR="00601EFB" w:rsidRDefault="00CB7B5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2040D3C" w14:textId="77777777" w:rsidR="00601EFB" w:rsidRDefault="00CB7B5E">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707C797B" w14:textId="77777777" w:rsidR="00601EFB" w:rsidRDefault="00CB7B5E">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14:paraId="724D56D9" w14:textId="77777777" w:rsidR="00601EFB" w:rsidRDefault="00CB7B5E">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C09BAA5" w14:textId="77777777" w:rsidR="00601EFB" w:rsidRDefault="00CB7B5E">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C4A1080" w14:textId="77777777" w:rsidR="00601EFB" w:rsidRDefault="00CB7B5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0067E010" w14:textId="77777777" w:rsidR="001F02C6" w:rsidRDefault="00CB7B5E" w:rsidP="001F02C6">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C0B65F5" w14:textId="77777777" w:rsidR="00601EFB" w:rsidRPr="001F02C6" w:rsidRDefault="001F02C6" w:rsidP="001F02C6">
      <w:pPr>
        <w:ind w:firstLineChars="150" w:firstLine="420"/>
        <w:rPr>
          <w:rFonts w:ascii="仿宋_GB2312" w:eastAsia="仿宋_GB2312"/>
          <w:sz w:val="28"/>
          <w:szCs w:val="28"/>
        </w:rPr>
      </w:pPr>
      <w:r>
        <w:rPr>
          <w:rFonts w:ascii="仿宋_GB2312" w:eastAsia="仿宋_GB2312" w:hint="eastAsia"/>
          <w:sz w:val="28"/>
          <w:szCs w:val="28"/>
        </w:rPr>
        <w:t>7.</w:t>
      </w:r>
      <w:r w:rsidRPr="001F02C6">
        <w:rPr>
          <w:rFonts w:ascii="仿宋_GB2312" w:eastAsia="仿宋_GB2312" w:hint="eastAsia"/>
          <w:sz w:val="28"/>
          <w:szCs w:val="28"/>
        </w:rPr>
        <w:t>我</w:t>
      </w:r>
      <w:r w:rsidR="00CB7B5E" w:rsidRPr="001F02C6">
        <w:rPr>
          <w:rFonts w:ascii="仿宋_GB2312" w:eastAsia="仿宋_GB2312" w:hint="eastAsia"/>
          <w:sz w:val="28"/>
          <w:szCs w:val="28"/>
        </w:rPr>
        <w:t>单位需根据自身业务职能，补充当年使用的所有支出功能分类项级科目名词解释，</w:t>
      </w:r>
      <w:r w:rsidRPr="001F02C6">
        <w:rPr>
          <w:rFonts w:ascii="仿宋_GB2312" w:eastAsia="仿宋_GB2312" w:hint="eastAsia"/>
          <w:sz w:val="28"/>
          <w:szCs w:val="28"/>
        </w:rPr>
        <w:t>如下</w:t>
      </w:r>
      <w:r w:rsidR="00CB7B5E" w:rsidRPr="001F02C6">
        <w:rPr>
          <w:rFonts w:ascii="仿宋_GB2312" w:eastAsia="仿宋_GB2312" w:hint="eastAsia"/>
          <w:sz w:val="28"/>
          <w:szCs w:val="28"/>
        </w:rPr>
        <w:t>：</w:t>
      </w:r>
    </w:p>
    <w:p w14:paraId="4C533EEC"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教育支出（类）普通教育（款）小学教育（项）：反映本部门举办的小学教育支出。</w:t>
      </w:r>
    </w:p>
    <w:p w14:paraId="30A1C092"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教育支出（类）特殊教育（款）特殊学校教育（项）：反映本部门举办盲童学校、聋哑学校、智力落后儿童学校、其</w:t>
      </w:r>
      <w:r w:rsidRPr="001F02C6">
        <w:rPr>
          <w:rFonts w:ascii="仿宋_GB2312" w:eastAsia="仿宋_GB2312" w:hint="eastAsia"/>
          <w:sz w:val="28"/>
          <w:szCs w:val="28"/>
        </w:rPr>
        <w:lastRenderedPageBreak/>
        <w:t>他生理缺陷儿童学校的支出。</w:t>
      </w:r>
    </w:p>
    <w:p w14:paraId="48657CE7"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教育支出（类）进修及培训（款）培训支出（项）：反映本部门安排的用于培训的支出。</w:t>
      </w:r>
    </w:p>
    <w:p w14:paraId="787577EA"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4D864F95"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社会保障和就业支出（类）行政事业单位养老支出（款）事业单位离退休（项）：反映事业单位开支的离退休经费。</w:t>
      </w:r>
    </w:p>
    <w:p w14:paraId="34A7DF78"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2734DE5B"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324301C8"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4FA81C63"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7F55EDC8"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1E902079"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lastRenderedPageBreak/>
        <w:t>住房保障支出（类）住房改革支出（款）住房公积金（项）：反映行政事业单位按人力资源和社会保障部、财政部规定的基本工资和津贴补贴以及规定比例为职工缴纳的住房公积金。</w:t>
      </w:r>
    </w:p>
    <w:p w14:paraId="1A3A7D87"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50EE6707" w14:textId="77777777" w:rsidR="001F02C6" w:rsidRPr="001F02C6"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64F36037" w14:textId="77777777" w:rsidR="00601EFB" w:rsidRDefault="001F02C6" w:rsidP="001F02C6">
      <w:pPr>
        <w:ind w:firstLineChars="150" w:firstLine="420"/>
        <w:rPr>
          <w:rFonts w:ascii="仿宋_GB2312" w:eastAsia="仿宋_GB2312"/>
          <w:sz w:val="28"/>
          <w:szCs w:val="28"/>
        </w:rPr>
      </w:pPr>
      <w:r w:rsidRPr="001F02C6">
        <w:rPr>
          <w:rFonts w:ascii="仿宋_GB2312" w:eastAsia="仿宋_GB2312" w:hint="eastAsia"/>
          <w:sz w:val="28"/>
          <w:szCs w:val="28"/>
        </w:rPr>
        <w:t>其他支出（类）彩票公益金安排的支出（款）用于体</w:t>
      </w:r>
      <w:r w:rsidR="0082584E">
        <w:rPr>
          <w:rFonts w:ascii="仿宋_GB2312" w:eastAsia="仿宋_GB2312" w:hint="eastAsia"/>
          <w:sz w:val="28"/>
          <w:szCs w:val="28"/>
        </w:rPr>
        <w:t>育事业的彩票公益金支出（项）：反映用于体育事业的彩票公益金支出</w:t>
      </w:r>
      <w:r w:rsidR="00CB7B5E">
        <w:rPr>
          <w:rFonts w:ascii="仿宋_GB2312" w:eastAsia="仿宋_GB2312" w:hint="eastAsia"/>
          <w:sz w:val="28"/>
          <w:szCs w:val="28"/>
        </w:rPr>
        <w:t>。</w:t>
      </w:r>
    </w:p>
    <w:p w14:paraId="67BF14AA" w14:textId="77777777" w:rsidR="0082584E" w:rsidRDefault="0082584E">
      <w:pPr>
        <w:widowControl/>
        <w:jc w:val="left"/>
        <w:rPr>
          <w:rFonts w:ascii="黑体" w:eastAsia="黑体"/>
          <w:sz w:val="32"/>
          <w:szCs w:val="32"/>
        </w:rPr>
      </w:pPr>
      <w:r>
        <w:rPr>
          <w:rFonts w:ascii="黑体" w:eastAsia="黑体"/>
          <w:sz w:val="32"/>
          <w:szCs w:val="32"/>
        </w:rPr>
        <w:br w:type="page"/>
      </w:r>
    </w:p>
    <w:p w14:paraId="2888B32C" w14:textId="77777777" w:rsidR="00601EFB" w:rsidRDefault="00CB7B5E">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14:paraId="1F4E6AAA" w14:textId="77777777" w:rsidR="00601EFB" w:rsidRDefault="00601EFB">
      <w:pPr>
        <w:ind w:firstLineChars="200" w:firstLine="560"/>
        <w:rPr>
          <w:rFonts w:ascii="黑体" w:eastAsia="黑体"/>
          <w:sz w:val="28"/>
          <w:szCs w:val="28"/>
          <w:highlight w:val="yellow"/>
        </w:rPr>
      </w:pPr>
    </w:p>
    <w:p w14:paraId="3CEC3ABB" w14:textId="77777777" w:rsidR="00FE79C1" w:rsidRDefault="00FE79C1" w:rsidP="00FE79C1">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D95FAB0" w14:textId="77777777" w:rsidR="00FE79C1" w:rsidRDefault="00FE79C1" w:rsidP="00FE79C1">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0DBF1B37" w14:textId="77777777" w:rsidR="00FE79C1" w:rsidRDefault="00FE79C1" w:rsidP="00FE79C1">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783C852" w14:textId="77777777" w:rsidR="00FE79C1" w:rsidRDefault="00FE79C1" w:rsidP="00FE79C1">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78AC0AED" w14:textId="5ED3F9AC" w:rsidR="005914B3" w:rsidRPr="005914B3" w:rsidRDefault="00FE79C1" w:rsidP="005914B3">
      <w:pPr>
        <w:spacing w:line="480" w:lineRule="exact"/>
        <w:rPr>
          <w:rFonts w:ascii="仿宋_GB2312" w:eastAsia="仿宋_GB2312" w:hAnsi="仿宋_GB2312" w:cs="仿宋_GB2312"/>
          <w:sz w:val="32"/>
          <w:szCs w:val="32"/>
        </w:rPr>
      </w:pPr>
      <w:r>
        <w:rPr>
          <w:rFonts w:ascii="黑体" w:eastAsia="黑体" w:hint="eastAsia"/>
          <w:sz w:val="28"/>
          <w:szCs w:val="28"/>
        </w:rPr>
        <w:t xml:space="preserve"> （</w:t>
      </w:r>
      <w:r w:rsidR="005914B3">
        <w:rPr>
          <w:rFonts w:ascii="黑体" w:eastAsia="黑体" w:hint="eastAsia"/>
          <w:sz w:val="28"/>
          <w:szCs w:val="28"/>
        </w:rPr>
        <w:t>注：有中央转移支付的一级预算部门，公开“一、二、三、四”；没有中央转移支付的一级预算部门，公开“一、二、三”；二级预算单位仅公开“三”。）</w:t>
      </w:r>
    </w:p>
    <w:p w14:paraId="7B2C2626" w14:textId="77777777" w:rsidR="005914B3" w:rsidRDefault="005914B3" w:rsidP="005914B3">
      <w:pPr>
        <w:spacing w:line="480" w:lineRule="exact"/>
        <w:rPr>
          <w:rFonts w:ascii="仿宋_GB2312" w:eastAsia="仿宋_GB2312" w:hAnsi="仿宋_GB2312" w:cs="仿宋_GB2312" w:hint="eastAsia"/>
          <w:sz w:val="32"/>
          <w:szCs w:val="32"/>
        </w:rPr>
      </w:pPr>
    </w:p>
    <w:p w14:paraId="4BAC3966" w14:textId="77777777" w:rsidR="00601EFB" w:rsidRDefault="00601EFB">
      <w:pPr>
        <w:spacing w:line="480" w:lineRule="exact"/>
      </w:pPr>
    </w:p>
    <w:p w14:paraId="2922D739" w14:textId="77777777" w:rsidR="00D7693A" w:rsidRPr="00D7693A" w:rsidRDefault="00D7693A" w:rsidP="00D7693A">
      <w:pPr>
        <w:ind w:left="1121"/>
        <w:rPr>
          <w:rFonts w:ascii="华文中宋" w:eastAsia="华文中宋" w:hAnsi="华文中宋" w:hint="eastAsia"/>
          <w:b/>
          <w:bCs/>
          <w:color w:val="C00000"/>
          <w:sz w:val="56"/>
          <w:szCs w:val="56"/>
        </w:rPr>
      </w:pPr>
    </w:p>
    <w:p w14:paraId="38A75F07" w14:textId="77777777" w:rsidR="00D7693A" w:rsidRDefault="00D7693A" w:rsidP="00D7693A">
      <w:pPr>
        <w:ind w:firstLineChars="150" w:firstLine="420"/>
        <w:jc w:val="right"/>
        <w:rPr>
          <w:rFonts w:ascii="仿宋_GB2312" w:eastAsia="仿宋_GB2312"/>
          <w:sz w:val="28"/>
          <w:szCs w:val="28"/>
        </w:rPr>
      </w:pPr>
    </w:p>
    <w:p w14:paraId="07F567AA" w14:textId="77777777" w:rsidR="00D7693A" w:rsidRPr="00D7693A" w:rsidRDefault="00FA3037" w:rsidP="007F5BE6">
      <w:pPr>
        <w:wordWrap w:val="0"/>
        <w:ind w:firstLineChars="150" w:firstLine="420"/>
        <w:jc w:val="right"/>
        <w:rPr>
          <w:rFonts w:ascii="仿宋_GB2312" w:eastAsia="仿宋_GB2312"/>
          <w:sz w:val="28"/>
          <w:szCs w:val="28"/>
        </w:rPr>
      </w:pPr>
      <w:r>
        <w:rPr>
          <w:rFonts w:ascii="仿宋_GB2312" w:eastAsia="仿宋_GB2312" w:hint="eastAsia"/>
          <w:sz w:val="28"/>
          <w:szCs w:val="28"/>
        </w:rPr>
        <w:t xml:space="preserve"> </w:t>
      </w:r>
      <w:r w:rsidR="00D7693A">
        <w:rPr>
          <w:rFonts w:ascii="仿宋_GB2312" w:eastAsia="仿宋_GB2312" w:hint="eastAsia"/>
          <w:sz w:val="28"/>
          <w:szCs w:val="28"/>
        </w:rPr>
        <w:t xml:space="preserve"> </w:t>
      </w:r>
      <w:r w:rsidR="00D55FEF">
        <w:rPr>
          <w:rFonts w:ascii="仿宋_GB2312" w:eastAsia="仿宋_GB2312" w:hint="eastAsia"/>
          <w:sz w:val="28"/>
          <w:szCs w:val="28"/>
        </w:rPr>
        <w:t xml:space="preserve">    </w:t>
      </w:r>
    </w:p>
    <w:p w14:paraId="6C96893F" w14:textId="77777777" w:rsidR="00D7693A" w:rsidRPr="00D7693A" w:rsidRDefault="00D7693A" w:rsidP="00D7693A">
      <w:pPr>
        <w:ind w:left="1121"/>
        <w:rPr>
          <w:rFonts w:ascii="华文中宋" w:eastAsia="华文中宋" w:hAnsi="华文中宋" w:hint="eastAsia"/>
          <w:b/>
          <w:bCs/>
          <w:color w:val="C00000"/>
          <w:sz w:val="56"/>
          <w:szCs w:val="56"/>
        </w:rPr>
      </w:pPr>
    </w:p>
    <w:p w14:paraId="661C2155" w14:textId="77777777" w:rsidR="00D7693A" w:rsidRPr="00D7693A" w:rsidRDefault="00D7693A" w:rsidP="00D7693A">
      <w:pPr>
        <w:ind w:left="1121"/>
      </w:pPr>
    </w:p>
    <w:sectPr w:rsidR="00D7693A" w:rsidRPr="00D7693A">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16B77" w14:textId="77777777" w:rsidR="00813964" w:rsidRDefault="00813964">
      <w:r>
        <w:separator/>
      </w:r>
    </w:p>
  </w:endnote>
  <w:endnote w:type="continuationSeparator" w:id="0">
    <w:p w14:paraId="1E9033F7" w14:textId="77777777" w:rsidR="00813964" w:rsidRDefault="00813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B1245" w14:textId="77777777" w:rsidR="00601EFB" w:rsidRDefault="00CB7B5E">
    <w:pPr>
      <w:pStyle w:val="a7"/>
      <w:framePr w:wrap="around" w:vAnchor="text" w:hAnchor="margin" w:xAlign="center" w:y="1"/>
      <w:rPr>
        <w:rStyle w:val="ad"/>
      </w:rPr>
    </w:pPr>
    <w:r>
      <w:fldChar w:fldCharType="begin"/>
    </w:r>
    <w:r>
      <w:rPr>
        <w:rStyle w:val="ad"/>
      </w:rPr>
      <w:instrText xml:space="preserve">PAGE  </w:instrText>
    </w:r>
    <w:r>
      <w:fldChar w:fldCharType="separate"/>
    </w:r>
    <w:r w:rsidR="007F5BE6">
      <w:rPr>
        <w:rStyle w:val="ad"/>
        <w:noProof/>
      </w:rPr>
      <w:t>1</w:t>
    </w:r>
    <w:r>
      <w:fldChar w:fldCharType="end"/>
    </w:r>
  </w:p>
  <w:p w14:paraId="6378C34C" w14:textId="77777777" w:rsidR="00601EFB" w:rsidRDefault="00601EF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2E8C9" w14:textId="77777777" w:rsidR="00601EFB" w:rsidRDefault="00CB7B5E">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782938D7" w14:textId="77777777" w:rsidR="00601EFB" w:rsidRDefault="00601EF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0A362" w14:textId="77777777" w:rsidR="00601EFB" w:rsidRDefault="00CB7B5E">
    <w:pPr>
      <w:pStyle w:val="a7"/>
      <w:framePr w:wrap="around" w:vAnchor="text" w:hAnchor="margin" w:xAlign="center" w:y="1"/>
      <w:rPr>
        <w:rStyle w:val="ad"/>
      </w:rPr>
    </w:pPr>
    <w:r>
      <w:fldChar w:fldCharType="begin"/>
    </w:r>
    <w:r>
      <w:rPr>
        <w:rStyle w:val="ad"/>
      </w:rPr>
      <w:instrText xml:space="preserve">PAGE  </w:instrText>
    </w:r>
    <w:r>
      <w:fldChar w:fldCharType="separate"/>
    </w:r>
    <w:r w:rsidR="007F5BE6">
      <w:rPr>
        <w:rStyle w:val="ad"/>
        <w:noProof/>
      </w:rPr>
      <w:t>4</w:t>
    </w:r>
    <w:r>
      <w:fldChar w:fldCharType="end"/>
    </w:r>
  </w:p>
  <w:p w14:paraId="4E18BA12" w14:textId="77777777" w:rsidR="00601EFB" w:rsidRDefault="00601E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255C5" w14:textId="77777777" w:rsidR="00813964" w:rsidRDefault="00813964">
      <w:r>
        <w:separator/>
      </w:r>
    </w:p>
  </w:footnote>
  <w:footnote w:type="continuationSeparator" w:id="0">
    <w:p w14:paraId="5AD003F7" w14:textId="77777777" w:rsidR="00813964" w:rsidRDefault="00813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1915F9"/>
    <w:multiLevelType w:val="singleLevel"/>
    <w:tmpl w:val="8D7E84BE"/>
    <w:lvl w:ilvl="0">
      <w:start w:val="1"/>
      <w:numFmt w:val="chineseCounting"/>
      <w:suff w:val="nothing"/>
      <w:lvlText w:val="%1、"/>
      <w:lvlJc w:val="left"/>
      <w:rPr>
        <w:rFonts w:hint="eastAsia"/>
      </w:rPr>
    </w:lvl>
  </w:abstractNum>
  <w:abstractNum w:abstractNumId="1" w15:restartNumberingAfterBreak="0">
    <w:nsid w:val="7EE02C15"/>
    <w:multiLevelType w:val="singleLevel"/>
    <w:tmpl w:val="8D7E84BE"/>
    <w:lvl w:ilvl="0">
      <w:start w:val="1"/>
      <w:numFmt w:val="chineseCounting"/>
      <w:suff w:val="nothing"/>
      <w:lvlText w:val="%1、"/>
      <w:lvlJc w:val="left"/>
      <w:rPr>
        <w:rFonts w:hint="eastAsia"/>
      </w:rPr>
    </w:lvl>
  </w:abstractNum>
  <w:num w:numId="1" w16cid:durableId="675155629">
    <w:abstractNumId w:val="0"/>
  </w:num>
  <w:num w:numId="2" w16cid:durableId="15886605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EFB"/>
    <w:rsid w:val="001F02C6"/>
    <w:rsid w:val="002676AC"/>
    <w:rsid w:val="003A10EB"/>
    <w:rsid w:val="003C1C05"/>
    <w:rsid w:val="0051401E"/>
    <w:rsid w:val="00555E33"/>
    <w:rsid w:val="0055668C"/>
    <w:rsid w:val="005914B3"/>
    <w:rsid w:val="00601EFB"/>
    <w:rsid w:val="006A45E0"/>
    <w:rsid w:val="006D4D8F"/>
    <w:rsid w:val="007F5BE6"/>
    <w:rsid w:val="00813964"/>
    <w:rsid w:val="0082584E"/>
    <w:rsid w:val="0099468F"/>
    <w:rsid w:val="00AF4FB2"/>
    <w:rsid w:val="00BA6B0D"/>
    <w:rsid w:val="00C65036"/>
    <w:rsid w:val="00CA5D6F"/>
    <w:rsid w:val="00CB7B5E"/>
    <w:rsid w:val="00CE695D"/>
    <w:rsid w:val="00D55FEF"/>
    <w:rsid w:val="00D7693A"/>
    <w:rsid w:val="00E838F0"/>
    <w:rsid w:val="00FA1094"/>
    <w:rsid w:val="00FA3037"/>
    <w:rsid w:val="00FD72A7"/>
    <w:rsid w:val="00FE1DD7"/>
    <w:rsid w:val="00FE7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C0E75C"/>
  <w15:docId w15:val="{6FE70BF5-2330-4A26-B240-650C50A3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4637988">
      <w:bodyDiv w:val="1"/>
      <w:marLeft w:val="0"/>
      <w:marRight w:val="0"/>
      <w:marTop w:val="0"/>
      <w:marBottom w:val="0"/>
      <w:divBdr>
        <w:top w:val="none" w:sz="0" w:space="0" w:color="auto"/>
        <w:left w:val="none" w:sz="0" w:space="0" w:color="auto"/>
        <w:bottom w:val="none" w:sz="0" w:space="0" w:color="auto"/>
        <w:right w:val="none" w:sz="0" w:space="0" w:color="auto"/>
      </w:divBdr>
    </w:div>
    <w:div w:id="1780221864">
      <w:bodyDiv w:val="1"/>
      <w:marLeft w:val="0"/>
      <w:marRight w:val="0"/>
      <w:marTop w:val="0"/>
      <w:marBottom w:val="0"/>
      <w:divBdr>
        <w:top w:val="none" w:sz="0" w:space="0" w:color="auto"/>
        <w:left w:val="none" w:sz="0" w:space="0" w:color="auto"/>
        <w:bottom w:val="none" w:sz="0" w:space="0" w:color="auto"/>
        <w:right w:val="none" w:sz="0" w:space="0" w:color="auto"/>
      </w:divBdr>
    </w:div>
    <w:div w:id="2066249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297C-45E7-9D0D-79AA3189DCB5}"/>
              </c:ext>
            </c:extLst>
          </c:dPt>
          <c:dPt>
            <c:idx val="1"/>
            <c:bubble3D val="0"/>
            <c:extLst>
              <c:ext xmlns:c16="http://schemas.microsoft.com/office/drawing/2014/chart" uri="{C3380CC4-5D6E-409C-BE32-E72D297353CC}">
                <c16:uniqueId val="{00000001-297C-45E7-9D0D-79AA3189DCB5}"/>
              </c:ext>
            </c:extLst>
          </c:dPt>
          <c:dPt>
            <c:idx val="2"/>
            <c:bubble3D val="0"/>
            <c:extLst>
              <c:ext xmlns:c16="http://schemas.microsoft.com/office/drawing/2014/chart" uri="{C3380CC4-5D6E-409C-BE32-E72D297353CC}">
                <c16:uniqueId val="{00000002-297C-45E7-9D0D-79AA3189DCB5}"/>
              </c:ext>
            </c:extLst>
          </c:dPt>
          <c:dPt>
            <c:idx val="3"/>
            <c:bubble3D val="0"/>
            <c:extLst>
              <c:ext xmlns:c16="http://schemas.microsoft.com/office/drawing/2014/chart" uri="{C3380CC4-5D6E-409C-BE32-E72D297353CC}">
                <c16:uniqueId val="{00000003-297C-45E7-9D0D-79AA3189DCB5}"/>
              </c:ext>
            </c:extLst>
          </c:dPt>
          <c:dPt>
            <c:idx val="4"/>
            <c:bubble3D val="0"/>
            <c:extLst>
              <c:ext xmlns:c16="http://schemas.microsoft.com/office/drawing/2014/chart" uri="{C3380CC4-5D6E-409C-BE32-E72D297353CC}">
                <c16:uniqueId val="{00000004-297C-45E7-9D0D-79AA3189DCB5}"/>
              </c:ext>
            </c:extLst>
          </c:dPt>
          <c:dPt>
            <c:idx val="5"/>
            <c:bubble3D val="0"/>
            <c:extLst>
              <c:ext xmlns:c16="http://schemas.microsoft.com/office/drawing/2014/chart" uri="{C3380CC4-5D6E-409C-BE32-E72D297353CC}">
                <c16:uniqueId val="{00000005-297C-45E7-9D0D-79AA3189DCB5}"/>
              </c:ext>
            </c:extLst>
          </c:dPt>
          <c:dLbls>
            <c:dLbl>
              <c:idx val="1"/>
              <c:delete val="1"/>
              <c:extLst>
                <c:ext xmlns:c15="http://schemas.microsoft.com/office/drawing/2012/chart" uri="{CE6537A1-D6FC-4f65-9D91-7224C49458BB}"/>
                <c:ext xmlns:c16="http://schemas.microsoft.com/office/drawing/2014/chart" uri="{C3380CC4-5D6E-409C-BE32-E72D297353CC}">
                  <c16:uniqueId val="{00000001-297C-45E7-9D0D-79AA3189DCB5}"/>
                </c:ext>
              </c:extLst>
            </c:dLbl>
            <c:dLbl>
              <c:idx val="2"/>
              <c:delete val="1"/>
              <c:extLst>
                <c:ext xmlns:c15="http://schemas.microsoft.com/office/drawing/2012/chart" uri="{CE6537A1-D6FC-4f65-9D91-7224C49458BB}"/>
                <c:ext xmlns:c16="http://schemas.microsoft.com/office/drawing/2014/chart" uri="{C3380CC4-5D6E-409C-BE32-E72D297353CC}">
                  <c16:uniqueId val="{00000002-297C-45E7-9D0D-79AA3189DCB5}"/>
                </c:ext>
              </c:extLst>
            </c:dLbl>
            <c:dLbl>
              <c:idx val="3"/>
              <c:delete val="1"/>
              <c:extLst>
                <c:ext xmlns:c15="http://schemas.microsoft.com/office/drawing/2012/chart" uri="{CE6537A1-D6FC-4f65-9D91-7224C49458BB}"/>
                <c:ext xmlns:c16="http://schemas.microsoft.com/office/drawing/2014/chart" uri="{C3380CC4-5D6E-409C-BE32-E72D297353CC}">
                  <c16:uniqueId val="{00000003-297C-45E7-9D0D-79AA3189DCB5}"/>
                </c:ext>
              </c:extLst>
            </c:dLbl>
            <c:dLbl>
              <c:idx val="4"/>
              <c:delete val="1"/>
              <c:extLst>
                <c:ext xmlns:c15="http://schemas.microsoft.com/office/drawing/2012/chart" uri="{CE6537A1-D6FC-4f65-9D91-7224C49458BB}"/>
                <c:ext xmlns:c16="http://schemas.microsoft.com/office/drawing/2014/chart" uri="{C3380CC4-5D6E-409C-BE32-E72D297353CC}">
                  <c16:uniqueId val="{00000004-297C-45E7-9D0D-79AA3189DCB5}"/>
                </c:ext>
              </c:extLst>
            </c:dLbl>
            <c:dLbl>
              <c:idx val="5"/>
              <c:delete val="1"/>
              <c:extLst>
                <c:ext xmlns:c15="http://schemas.microsoft.com/office/drawing/2012/chart" uri="{CE6537A1-D6FC-4f65-9D91-7224C49458BB}"/>
                <c:ext xmlns:c16="http://schemas.microsoft.com/office/drawing/2014/chart" uri="{C3380CC4-5D6E-409C-BE32-E72D297353CC}">
                  <c16:uniqueId val="{00000005-297C-45E7-9D0D-79AA3189DCB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6107.35</c:v>
                </c:pt>
                <c:pt idx="1">
                  <c:v>0</c:v>
                </c:pt>
                <c:pt idx="2">
                  <c:v>0</c:v>
                </c:pt>
                <c:pt idx="3">
                  <c:v>0</c:v>
                </c:pt>
                <c:pt idx="4">
                  <c:v>0</c:v>
                </c:pt>
                <c:pt idx="5">
                  <c:v>0</c:v>
                </c:pt>
              </c:numCache>
            </c:numRef>
          </c:val>
          <c:extLst>
            <c:ext xmlns:c16="http://schemas.microsoft.com/office/drawing/2014/chart" uri="{C3380CC4-5D6E-409C-BE32-E72D297353CC}">
              <c16:uniqueId val="{00000006-297C-45E7-9D0D-79AA3189DCB5}"/>
            </c:ext>
          </c:extLst>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C2CB-4467-B29B-003678FF58A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C2CB-4467-B29B-003678FF58A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C2CB-4467-B29B-003678FF58A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C2CB-4467-B29B-003678FF58A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C2CB-4467-B29B-003678FF58A5}"/>
              </c:ext>
            </c:extLst>
          </c:dPt>
          <c:dLbls>
            <c:dLbl>
              <c:idx val="2"/>
              <c:delete val="1"/>
              <c:extLst>
                <c:ext xmlns:c15="http://schemas.microsoft.com/office/drawing/2012/chart" uri="{CE6537A1-D6FC-4f65-9D91-7224C49458BB}"/>
                <c:ext xmlns:c16="http://schemas.microsoft.com/office/drawing/2014/chart" uri="{C3380CC4-5D6E-409C-BE32-E72D297353CC}">
                  <c16:uniqueId val="{00000005-C2CB-4467-B29B-003678FF58A5}"/>
                </c:ext>
              </c:extLst>
            </c:dLbl>
            <c:dLbl>
              <c:idx val="3"/>
              <c:delete val="1"/>
              <c:extLst>
                <c:ext xmlns:c15="http://schemas.microsoft.com/office/drawing/2012/chart" uri="{CE6537A1-D6FC-4f65-9D91-7224C49458BB}"/>
                <c:ext xmlns:c16="http://schemas.microsoft.com/office/drawing/2014/chart" uri="{C3380CC4-5D6E-409C-BE32-E72D297353CC}">
                  <c16:uniqueId val="{00000007-C2CB-4467-B29B-003678FF58A5}"/>
                </c:ext>
              </c:extLst>
            </c:dLbl>
            <c:dLbl>
              <c:idx val="4"/>
              <c:delete val="1"/>
              <c:extLst>
                <c:ext xmlns:c15="http://schemas.microsoft.com/office/drawing/2012/chart" uri="{CE6537A1-D6FC-4f65-9D91-7224C49458BB}"/>
                <c:ext xmlns:c16="http://schemas.microsoft.com/office/drawing/2014/chart" uri="{C3380CC4-5D6E-409C-BE32-E72D297353CC}">
                  <c16:uniqueId val="{00000009-C2CB-4467-B29B-003678FF58A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5599.37</c:v>
                </c:pt>
                <c:pt idx="1">
                  <c:v>507.97</c:v>
                </c:pt>
                <c:pt idx="2">
                  <c:v>0</c:v>
                </c:pt>
                <c:pt idx="3">
                  <c:v>0</c:v>
                </c:pt>
                <c:pt idx="4">
                  <c:v>0</c:v>
                </c:pt>
              </c:numCache>
            </c:numRef>
          </c:val>
          <c:extLst>
            <c:ext xmlns:c16="http://schemas.microsoft.com/office/drawing/2014/chart" uri="{C3380CC4-5D6E-409C-BE32-E72D297353CC}">
              <c16:uniqueId val="{0000000A-C2CB-4467-B29B-003678FF58A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1"/>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14</Pages>
  <Words>2501</Words>
  <Characters>2802</Characters>
  <Application>Microsoft Office Word</Application>
  <DocSecurity>0</DocSecurity>
  <Lines>103</Lines>
  <Paragraphs>110</Paragraphs>
  <ScaleCrop>false</ScaleCrop>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Xiaofeng Lu</cp:lastModifiedBy>
  <cp:revision>41</cp:revision>
  <cp:lastPrinted>2025-08-25T06:33:00Z</cp:lastPrinted>
  <dcterms:created xsi:type="dcterms:W3CDTF">2017-07-11T15:16:00Z</dcterms:created>
  <dcterms:modified xsi:type="dcterms:W3CDTF">2025-08-27T04:17:00Z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46c345e95c63485b8441cb55b6d1f9e1_23</vt:lpwstr>
  </property>
  <property fmtid="{D5CDD505-2E9C-101B-9397-08002B2CF9AE}" pid="4" name="KSOTemplateDocerSaveRecord">
    <vt:lpwstr>eyJoZGlkIjoiMzFhMDlmODM4NDM3ZTUzZTJhOWRjZWIxNmVkMjQxNTMiLCJ1c2VySWQiOiIxMTQwMjc4MDE0In0=</vt:lpwstr>
  </property>
</Properties>
</file>