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879C95" w14:textId="77777777" w:rsidR="00BA7556" w:rsidRDefault="00BA7556">
      <w:pPr>
        <w:jc w:val="center"/>
        <w:textAlignment w:val="baseline"/>
        <w:rPr>
          <w:rFonts w:ascii="仿宋_GB2312" w:eastAsia="仿宋_GB2312"/>
          <w:b/>
          <w:sz w:val="32"/>
          <w:szCs w:val="32"/>
        </w:rPr>
      </w:pPr>
    </w:p>
    <w:p w14:paraId="7C8ED8B1" w14:textId="77777777" w:rsidR="00BA7556" w:rsidRDefault="00BA7556">
      <w:pPr>
        <w:jc w:val="center"/>
        <w:textAlignment w:val="baseline"/>
        <w:rPr>
          <w:rFonts w:ascii="黑体" w:eastAsia="黑体"/>
          <w:sz w:val="72"/>
          <w:szCs w:val="72"/>
        </w:rPr>
      </w:pPr>
    </w:p>
    <w:p w14:paraId="0F1BF2F8" w14:textId="77777777" w:rsidR="00BA7556" w:rsidRDefault="00BA7556">
      <w:pPr>
        <w:jc w:val="center"/>
        <w:textAlignment w:val="baseline"/>
        <w:rPr>
          <w:rFonts w:ascii="黑体" w:eastAsia="黑体"/>
          <w:sz w:val="72"/>
          <w:szCs w:val="72"/>
        </w:rPr>
      </w:pPr>
    </w:p>
    <w:p w14:paraId="3E44C087" w14:textId="77777777" w:rsidR="00BA7556" w:rsidRDefault="00BA7556">
      <w:pPr>
        <w:jc w:val="center"/>
        <w:textAlignment w:val="baseline"/>
        <w:rPr>
          <w:rFonts w:ascii="黑体" w:eastAsia="黑体"/>
          <w:sz w:val="72"/>
          <w:szCs w:val="72"/>
        </w:rPr>
      </w:pPr>
    </w:p>
    <w:p w14:paraId="6E9AC9DD" w14:textId="77777777" w:rsidR="00BA7556" w:rsidRDefault="00BA7556">
      <w:pPr>
        <w:jc w:val="center"/>
        <w:textAlignment w:val="baseline"/>
        <w:rPr>
          <w:rFonts w:ascii="黑体" w:eastAsia="黑体"/>
          <w:sz w:val="72"/>
          <w:szCs w:val="72"/>
        </w:rPr>
      </w:pPr>
    </w:p>
    <w:p w14:paraId="433F26C9" w14:textId="77777777" w:rsidR="00BA7556" w:rsidRDefault="00E725C1">
      <w:pPr>
        <w:jc w:val="center"/>
        <w:textAlignment w:val="baseline"/>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68BFBE77" w14:textId="77777777" w:rsidR="00BA7556" w:rsidRDefault="00BA7556">
      <w:pPr>
        <w:jc w:val="center"/>
        <w:textAlignment w:val="baseline"/>
        <w:rPr>
          <w:rFonts w:ascii="黑体" w:eastAsia="黑体"/>
          <w:sz w:val="52"/>
          <w:szCs w:val="52"/>
        </w:rPr>
      </w:pPr>
    </w:p>
    <w:p w14:paraId="1EFAC615" w14:textId="77777777" w:rsidR="00BA7556" w:rsidRDefault="00BA7556">
      <w:pPr>
        <w:jc w:val="center"/>
        <w:textAlignment w:val="baseline"/>
        <w:rPr>
          <w:rFonts w:ascii="黑体" w:eastAsia="黑体"/>
          <w:sz w:val="52"/>
          <w:szCs w:val="52"/>
        </w:rPr>
      </w:pPr>
    </w:p>
    <w:p w14:paraId="158DC7DB" w14:textId="77777777" w:rsidR="00BA7556" w:rsidRDefault="00BA7556">
      <w:pPr>
        <w:jc w:val="center"/>
        <w:textAlignment w:val="baseline"/>
        <w:rPr>
          <w:rFonts w:ascii="黑体" w:eastAsia="黑体"/>
          <w:sz w:val="52"/>
          <w:szCs w:val="52"/>
        </w:rPr>
      </w:pPr>
    </w:p>
    <w:p w14:paraId="7B38E72F" w14:textId="77777777" w:rsidR="00BA7556" w:rsidRDefault="00BA7556">
      <w:pPr>
        <w:jc w:val="center"/>
        <w:textAlignment w:val="baseline"/>
        <w:rPr>
          <w:rFonts w:ascii="黑体" w:eastAsia="黑体"/>
          <w:sz w:val="52"/>
          <w:szCs w:val="52"/>
        </w:rPr>
      </w:pPr>
    </w:p>
    <w:p w14:paraId="5109F2FB" w14:textId="77777777" w:rsidR="00BA7556" w:rsidRDefault="00BA7556">
      <w:pPr>
        <w:jc w:val="center"/>
        <w:textAlignment w:val="baseline"/>
        <w:rPr>
          <w:rFonts w:ascii="黑体" w:eastAsia="黑体"/>
          <w:sz w:val="32"/>
          <w:szCs w:val="32"/>
        </w:rPr>
      </w:pPr>
    </w:p>
    <w:p w14:paraId="05BB593C" w14:textId="77777777" w:rsidR="00BA7556" w:rsidRDefault="00E725C1">
      <w:pPr>
        <w:spacing w:line="500" w:lineRule="exact"/>
        <w:ind w:firstLine="645"/>
        <w:jc w:val="center"/>
        <w:textAlignment w:val="baseline"/>
        <w:rPr>
          <w:rFonts w:ascii="宋体" w:hAnsi="宋体" w:cs="宋体"/>
          <w:b/>
          <w:bCs/>
          <w:kern w:val="0"/>
          <w:sz w:val="44"/>
          <w:szCs w:val="36"/>
        </w:rPr>
      </w:pPr>
      <w:r>
        <w:rPr>
          <w:rFonts w:ascii="宋体" w:hAnsi="宋体" w:cs="宋体" w:hint="eastAsia"/>
          <w:b/>
          <w:bCs/>
          <w:kern w:val="0"/>
          <w:sz w:val="44"/>
          <w:szCs w:val="36"/>
        </w:rPr>
        <w:lastRenderedPageBreak/>
        <w:t>目    录</w:t>
      </w:r>
    </w:p>
    <w:p w14:paraId="7F5B024C" w14:textId="77777777" w:rsidR="00BA7556" w:rsidRDefault="00BA7556">
      <w:pPr>
        <w:spacing w:line="500" w:lineRule="exact"/>
        <w:ind w:firstLine="645"/>
        <w:jc w:val="center"/>
        <w:textAlignment w:val="baseline"/>
        <w:rPr>
          <w:rFonts w:ascii="宋体" w:hAnsi="宋体" w:cs="宋体"/>
          <w:b/>
          <w:bCs/>
          <w:kern w:val="0"/>
          <w:sz w:val="36"/>
          <w:szCs w:val="36"/>
        </w:rPr>
      </w:pPr>
    </w:p>
    <w:p w14:paraId="617423F4" w14:textId="77777777" w:rsidR="00BA7556" w:rsidRDefault="00E725C1">
      <w:pPr>
        <w:tabs>
          <w:tab w:val="center" w:pos="6979"/>
        </w:tabs>
        <w:spacing w:line="500" w:lineRule="exact"/>
        <w:ind w:firstLineChars="400" w:firstLine="1600"/>
        <w:jc w:val="left"/>
        <w:textAlignment w:val="baseline"/>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14:paraId="3F943BB4" w14:textId="77777777" w:rsidR="00BA7556" w:rsidRDefault="00E725C1">
      <w:pPr>
        <w:tabs>
          <w:tab w:val="center" w:pos="6979"/>
        </w:tabs>
        <w:spacing w:line="500" w:lineRule="exact"/>
        <w:ind w:firstLineChars="600" w:firstLine="2400"/>
        <w:jc w:val="left"/>
        <w:textAlignment w:val="baseline"/>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34C35018" w14:textId="77777777" w:rsidR="00BA7556" w:rsidRDefault="00E725C1">
      <w:pPr>
        <w:tabs>
          <w:tab w:val="center" w:pos="6979"/>
        </w:tabs>
        <w:spacing w:line="500" w:lineRule="exact"/>
        <w:ind w:firstLineChars="600" w:firstLine="2400"/>
        <w:jc w:val="left"/>
        <w:textAlignment w:val="baseline"/>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43E46B2E" w14:textId="77777777" w:rsidR="00BA7556" w:rsidRDefault="00E725C1">
      <w:pPr>
        <w:tabs>
          <w:tab w:val="center" w:pos="6979"/>
        </w:tabs>
        <w:spacing w:line="500" w:lineRule="exact"/>
        <w:ind w:firstLineChars="600" w:firstLine="2400"/>
        <w:jc w:val="left"/>
        <w:textAlignment w:val="baseline"/>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2CF0A1F9" w14:textId="77777777" w:rsidR="00BA7556" w:rsidRDefault="00E725C1">
      <w:pPr>
        <w:tabs>
          <w:tab w:val="center" w:pos="6979"/>
        </w:tabs>
        <w:spacing w:line="500" w:lineRule="exact"/>
        <w:ind w:firstLineChars="600" w:firstLine="2400"/>
        <w:jc w:val="left"/>
        <w:textAlignment w:val="baseline"/>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26829444" w14:textId="77777777" w:rsidR="00BA7556" w:rsidRDefault="00E725C1">
      <w:pPr>
        <w:tabs>
          <w:tab w:val="center" w:pos="6979"/>
        </w:tabs>
        <w:spacing w:line="500" w:lineRule="exact"/>
        <w:ind w:firstLineChars="600" w:firstLine="2400"/>
        <w:jc w:val="left"/>
        <w:textAlignment w:val="baseline"/>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7A7EC120" w14:textId="77777777" w:rsidR="00BA7556" w:rsidRDefault="00E725C1">
      <w:pPr>
        <w:tabs>
          <w:tab w:val="center" w:pos="6979"/>
        </w:tabs>
        <w:spacing w:line="500" w:lineRule="exact"/>
        <w:ind w:firstLineChars="600" w:firstLine="2400"/>
        <w:jc w:val="left"/>
        <w:textAlignment w:val="baseline"/>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6BC3F351" w14:textId="77777777" w:rsidR="00BA7556" w:rsidRDefault="00E725C1">
      <w:pPr>
        <w:tabs>
          <w:tab w:val="center" w:pos="6979"/>
        </w:tabs>
        <w:spacing w:line="500" w:lineRule="exact"/>
        <w:ind w:firstLineChars="600" w:firstLine="2400"/>
        <w:jc w:val="left"/>
        <w:textAlignment w:val="baseline"/>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575A4CA8" w14:textId="77777777" w:rsidR="00BA7556" w:rsidRDefault="00E725C1">
      <w:pPr>
        <w:tabs>
          <w:tab w:val="center" w:pos="6979"/>
        </w:tabs>
        <w:spacing w:line="500" w:lineRule="exact"/>
        <w:ind w:firstLineChars="600" w:firstLine="2400"/>
        <w:jc w:val="left"/>
        <w:textAlignment w:val="baseline"/>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3E3BA7F7" w14:textId="77777777" w:rsidR="00BA7556" w:rsidRDefault="00E725C1">
      <w:pPr>
        <w:tabs>
          <w:tab w:val="center" w:pos="6979"/>
        </w:tabs>
        <w:spacing w:line="500" w:lineRule="exact"/>
        <w:ind w:firstLineChars="600" w:firstLine="2400"/>
        <w:jc w:val="left"/>
        <w:textAlignment w:val="baseline"/>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11A78DE4" w14:textId="77777777" w:rsidR="00BA7556" w:rsidRDefault="00E725C1">
      <w:pPr>
        <w:tabs>
          <w:tab w:val="center" w:pos="6979"/>
        </w:tabs>
        <w:spacing w:line="500" w:lineRule="exact"/>
        <w:ind w:firstLineChars="600" w:firstLine="2400"/>
        <w:jc w:val="left"/>
        <w:textAlignment w:val="baseline"/>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63FB3187" w14:textId="77777777" w:rsidR="00BA7556" w:rsidRDefault="00E725C1">
      <w:pPr>
        <w:tabs>
          <w:tab w:val="center" w:pos="6979"/>
        </w:tabs>
        <w:spacing w:line="500" w:lineRule="exact"/>
        <w:ind w:firstLineChars="600" w:firstLine="2400"/>
        <w:jc w:val="left"/>
        <w:textAlignment w:val="baseline"/>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14:paraId="36A7EFBF" w14:textId="77777777" w:rsidR="00BA7556" w:rsidRDefault="00E725C1">
      <w:pPr>
        <w:tabs>
          <w:tab w:val="center" w:pos="6979"/>
        </w:tabs>
        <w:spacing w:line="500" w:lineRule="exact"/>
        <w:ind w:firstLineChars="600" w:firstLine="2400"/>
        <w:jc w:val="left"/>
        <w:textAlignment w:val="baseline"/>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63A534D9" w14:textId="77777777" w:rsidR="00BA7556" w:rsidRDefault="00E725C1">
      <w:pPr>
        <w:tabs>
          <w:tab w:val="center" w:pos="6979"/>
        </w:tabs>
        <w:spacing w:line="500" w:lineRule="exact"/>
        <w:ind w:firstLineChars="400" w:firstLine="1600"/>
        <w:jc w:val="left"/>
        <w:textAlignment w:val="baseline"/>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53E94717" w14:textId="77777777" w:rsidR="00BA7556" w:rsidRDefault="00E725C1">
      <w:pPr>
        <w:tabs>
          <w:tab w:val="center" w:pos="6979"/>
        </w:tabs>
        <w:spacing w:line="500" w:lineRule="exact"/>
        <w:ind w:firstLineChars="400" w:firstLine="1600"/>
        <w:jc w:val="left"/>
        <w:textAlignment w:val="baseline"/>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37592A87" w14:textId="77777777" w:rsidR="00BA7556" w:rsidRDefault="00E725C1">
      <w:pPr>
        <w:tabs>
          <w:tab w:val="center" w:pos="6979"/>
        </w:tabs>
        <w:spacing w:line="500" w:lineRule="exact"/>
        <w:ind w:firstLineChars="400" w:firstLine="1600"/>
        <w:jc w:val="left"/>
        <w:textAlignment w:val="baseline"/>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14:paraId="72C14978" w14:textId="77777777" w:rsidR="00BA7556" w:rsidRDefault="00BA7556">
      <w:pPr>
        <w:tabs>
          <w:tab w:val="center" w:pos="6979"/>
        </w:tabs>
        <w:spacing w:before="156" w:after="156"/>
        <w:jc w:val="center"/>
        <w:textAlignment w:val="baseline"/>
        <w:rPr>
          <w:rFonts w:ascii="宋体" w:hAnsi="宋体" w:cs="宋体"/>
          <w:b/>
          <w:bCs/>
          <w:spacing w:val="40"/>
          <w:kern w:val="0"/>
          <w:sz w:val="32"/>
          <w:szCs w:val="32"/>
        </w:rPr>
      </w:pPr>
    </w:p>
    <w:p w14:paraId="7C2C64EB" w14:textId="77777777" w:rsidR="00BA7556" w:rsidRDefault="00BA7556">
      <w:pPr>
        <w:tabs>
          <w:tab w:val="center" w:pos="6979"/>
        </w:tabs>
        <w:spacing w:before="156" w:after="156"/>
        <w:jc w:val="center"/>
        <w:textAlignment w:val="baseline"/>
        <w:rPr>
          <w:rFonts w:ascii="宋体" w:hAnsi="宋体" w:cs="宋体"/>
          <w:b/>
          <w:bCs/>
          <w:spacing w:val="40"/>
          <w:kern w:val="0"/>
          <w:sz w:val="32"/>
          <w:szCs w:val="32"/>
        </w:rPr>
      </w:pPr>
    </w:p>
    <w:p w14:paraId="4E2893F7" w14:textId="77777777" w:rsidR="00BA7556" w:rsidRDefault="00BA7556">
      <w:pPr>
        <w:tabs>
          <w:tab w:val="center" w:pos="6979"/>
        </w:tabs>
        <w:spacing w:before="156" w:after="156"/>
        <w:jc w:val="center"/>
        <w:textAlignment w:val="baseline"/>
        <w:rPr>
          <w:rFonts w:ascii="宋体" w:hAnsi="宋体" w:cs="宋体"/>
          <w:b/>
          <w:bCs/>
          <w:spacing w:val="40"/>
          <w:kern w:val="0"/>
          <w:sz w:val="32"/>
          <w:szCs w:val="32"/>
        </w:rPr>
      </w:pPr>
    </w:p>
    <w:p w14:paraId="05C149AB" w14:textId="77777777" w:rsidR="00BA7556" w:rsidRDefault="00BA7556">
      <w:pPr>
        <w:tabs>
          <w:tab w:val="center" w:pos="6979"/>
        </w:tabs>
        <w:spacing w:before="156" w:after="156"/>
        <w:jc w:val="center"/>
        <w:textAlignment w:val="baseline"/>
        <w:rPr>
          <w:rFonts w:ascii="宋体" w:hAnsi="宋体" w:cs="宋体"/>
          <w:b/>
          <w:bCs/>
          <w:spacing w:val="40"/>
          <w:kern w:val="0"/>
          <w:sz w:val="32"/>
          <w:szCs w:val="32"/>
        </w:rPr>
      </w:pPr>
    </w:p>
    <w:p w14:paraId="6333DDEA" w14:textId="77777777" w:rsidR="00BA7556" w:rsidRDefault="00BA7556">
      <w:pPr>
        <w:tabs>
          <w:tab w:val="center" w:pos="6979"/>
        </w:tabs>
        <w:spacing w:before="156" w:after="156"/>
        <w:jc w:val="center"/>
        <w:textAlignment w:val="baseline"/>
        <w:rPr>
          <w:rFonts w:ascii="宋体" w:hAnsi="宋体" w:cs="宋体"/>
          <w:b/>
          <w:bCs/>
          <w:spacing w:val="40"/>
          <w:kern w:val="0"/>
          <w:sz w:val="32"/>
          <w:szCs w:val="32"/>
        </w:rPr>
      </w:pPr>
    </w:p>
    <w:p w14:paraId="57D54E12" w14:textId="77777777" w:rsidR="00BA7556" w:rsidRDefault="00E725C1">
      <w:pPr>
        <w:tabs>
          <w:tab w:val="center" w:pos="6979"/>
        </w:tabs>
        <w:spacing w:before="156" w:after="156"/>
        <w:jc w:val="center"/>
        <w:textAlignment w:val="baseline"/>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14:paraId="2D20F03E" w14:textId="77777777" w:rsidR="00BA7556" w:rsidRDefault="00E725C1">
      <w:pPr>
        <w:pStyle w:val="2"/>
        <w:spacing w:before="312" w:after="312"/>
        <w:textAlignment w:val="baseline"/>
        <w:rPr>
          <w:b w:val="0"/>
          <w:bCs w:val="0"/>
        </w:rPr>
        <w:sectPr w:rsidR="00BA7556">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63AD3CFC" w14:textId="77777777" w:rsidR="00BA7556" w:rsidRDefault="00E725C1">
      <w:pPr>
        <w:tabs>
          <w:tab w:val="center" w:pos="6979"/>
        </w:tabs>
        <w:spacing w:before="156" w:after="156"/>
        <w:jc w:val="center"/>
        <w:textAlignment w:val="baseline"/>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08096DCF" w14:textId="77777777" w:rsidR="00BA7556" w:rsidRDefault="00E725C1">
      <w:pPr>
        <w:tabs>
          <w:tab w:val="center" w:pos="6979"/>
        </w:tabs>
        <w:spacing w:line="580" w:lineRule="exact"/>
        <w:ind w:firstLineChars="196" w:firstLine="551"/>
        <w:textAlignment w:val="baseline"/>
        <w:rPr>
          <w:rFonts w:ascii="黑体" w:eastAsia="黑体"/>
          <w:b/>
          <w:sz w:val="28"/>
          <w:szCs w:val="28"/>
        </w:rPr>
      </w:pPr>
      <w:r>
        <w:rPr>
          <w:rFonts w:ascii="黑体" w:eastAsia="黑体" w:hint="eastAsia"/>
          <w:b/>
          <w:sz w:val="28"/>
          <w:szCs w:val="28"/>
        </w:rPr>
        <w:t>一、部门/单位基本情况</w:t>
      </w:r>
    </w:p>
    <w:p w14:paraId="121DCA28" w14:textId="2C83F888" w:rsidR="003F3C54" w:rsidRDefault="003F3C54" w:rsidP="003F3C54">
      <w:pPr>
        <w:tabs>
          <w:tab w:val="center" w:pos="6979"/>
        </w:tabs>
        <w:spacing w:line="580" w:lineRule="exact"/>
        <w:ind w:firstLineChars="150" w:firstLine="420"/>
        <w:textAlignment w:val="baseline"/>
        <w:rPr>
          <w:rFonts w:ascii="仿宋_GB2312" w:eastAsia="仿宋_GB2312"/>
          <w:sz w:val="28"/>
          <w:szCs w:val="28"/>
        </w:rPr>
      </w:pPr>
      <w:r>
        <w:rPr>
          <w:rFonts w:ascii="仿宋_GB2312" w:eastAsia="仿宋_GB2312" w:hint="eastAsia"/>
          <w:sz w:val="28"/>
          <w:szCs w:val="28"/>
        </w:rPr>
        <w:t>北京市西城区</w:t>
      </w:r>
      <w:proofErr w:type="gramStart"/>
      <w:r>
        <w:rPr>
          <w:rFonts w:ascii="仿宋_GB2312" w:eastAsia="仿宋_GB2312" w:hint="eastAsia"/>
          <w:sz w:val="28"/>
          <w:szCs w:val="28"/>
        </w:rPr>
        <w:t>宏庙小学</w:t>
      </w:r>
      <w:proofErr w:type="gramEnd"/>
      <w:r>
        <w:rPr>
          <w:rFonts w:ascii="仿宋_GB2312" w:eastAsia="仿宋_GB2312" w:hint="eastAsia"/>
          <w:sz w:val="28"/>
          <w:szCs w:val="28"/>
        </w:rPr>
        <w:t>为全额补助事业单位，位于北京市西城区西单北大</w:t>
      </w:r>
      <w:proofErr w:type="gramStart"/>
      <w:r>
        <w:rPr>
          <w:rFonts w:ascii="仿宋_GB2312" w:eastAsia="仿宋_GB2312" w:hint="eastAsia"/>
          <w:sz w:val="28"/>
          <w:szCs w:val="28"/>
        </w:rPr>
        <w:t>街宏庙</w:t>
      </w:r>
      <w:proofErr w:type="gramEnd"/>
      <w:r>
        <w:rPr>
          <w:rFonts w:ascii="仿宋_GB2312" w:eastAsia="仿宋_GB2312" w:hint="eastAsia"/>
          <w:sz w:val="28"/>
          <w:szCs w:val="28"/>
        </w:rPr>
        <w:t>胡同13号。部门主要职责：监督学校的收入与支出，提高资金的使用效率，保证财务管理的规范化，定期编报财务报表，有效的履行预测职能。</w:t>
      </w:r>
    </w:p>
    <w:p w14:paraId="2B52A523" w14:textId="77777777" w:rsidR="00BA7556" w:rsidRDefault="00E725C1">
      <w:pPr>
        <w:tabs>
          <w:tab w:val="center" w:pos="6979"/>
        </w:tabs>
        <w:spacing w:line="580" w:lineRule="exact"/>
        <w:textAlignment w:val="baseline"/>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1C960C07" w14:textId="77777777" w:rsidR="00BA7556" w:rsidRDefault="00E725C1">
      <w:pPr>
        <w:tabs>
          <w:tab w:val="center" w:pos="6979"/>
        </w:tabs>
        <w:spacing w:line="580" w:lineRule="exact"/>
        <w:ind w:firstLine="570"/>
        <w:textAlignment w:val="baseline"/>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6918.01</w:t>
      </w:r>
      <w:r>
        <w:rPr>
          <w:rFonts w:ascii="仿宋_GB2312" w:eastAsia="仿宋_GB2312" w:hint="eastAsia"/>
          <w:sz w:val="28"/>
          <w:szCs w:val="28"/>
        </w:rPr>
        <w:t>万元，</w:t>
      </w:r>
      <w:r w:rsidR="003F3C54">
        <w:rPr>
          <w:rFonts w:ascii="仿宋_GB2312" w:eastAsia="仿宋_GB2312" w:hint="eastAsia"/>
          <w:sz w:val="28"/>
          <w:szCs w:val="28"/>
        </w:rPr>
        <w:t>比上年增加244.58万元，增长</w:t>
      </w:r>
      <w:r w:rsidR="003F3C54" w:rsidRPr="003F3C54">
        <w:rPr>
          <w:rFonts w:ascii="仿宋_GB2312" w:eastAsia="仿宋_GB2312"/>
          <w:sz w:val="28"/>
          <w:szCs w:val="28"/>
        </w:rPr>
        <w:t>3.67%</w:t>
      </w:r>
      <w:r w:rsidR="003F3C54">
        <w:rPr>
          <w:rFonts w:ascii="仿宋_GB2312" w:eastAsia="仿宋_GB2312" w:hint="eastAsia"/>
          <w:sz w:val="28"/>
          <w:szCs w:val="28"/>
        </w:rPr>
        <w:t>%。</w:t>
      </w:r>
    </w:p>
    <w:p w14:paraId="435839FD" w14:textId="77777777" w:rsidR="00BA7556" w:rsidRDefault="00E725C1">
      <w:pPr>
        <w:tabs>
          <w:tab w:val="center" w:pos="6979"/>
        </w:tabs>
        <w:spacing w:line="580" w:lineRule="exact"/>
        <w:ind w:firstLine="570"/>
        <w:textAlignment w:val="baseline"/>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2AB589C2" w14:textId="77777777" w:rsidR="00BA7556" w:rsidRDefault="00E725C1">
      <w:pPr>
        <w:tabs>
          <w:tab w:val="center" w:pos="6979"/>
        </w:tabs>
        <w:spacing w:line="580" w:lineRule="exact"/>
        <w:ind w:firstLine="570"/>
        <w:textAlignment w:val="baseline"/>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6918.01</w:t>
      </w:r>
      <w:r>
        <w:rPr>
          <w:rFonts w:ascii="仿宋_GB2312" w:eastAsia="仿宋_GB2312" w:hint="eastAsia"/>
          <w:sz w:val="28"/>
          <w:szCs w:val="28"/>
        </w:rPr>
        <w:t>万元，</w:t>
      </w:r>
      <w:r w:rsidR="003F3C54">
        <w:rPr>
          <w:rFonts w:ascii="仿宋_GB2312" w:eastAsia="仿宋_GB2312" w:hint="eastAsia"/>
          <w:sz w:val="28"/>
          <w:szCs w:val="28"/>
        </w:rPr>
        <w:t>比上年增加278.46万元，增长4.19%。</w:t>
      </w:r>
    </w:p>
    <w:p w14:paraId="1172B211" w14:textId="77777777" w:rsidR="00BA7556" w:rsidRDefault="00E725C1">
      <w:pPr>
        <w:tabs>
          <w:tab w:val="center" w:pos="6979"/>
        </w:tabs>
        <w:spacing w:line="580" w:lineRule="exact"/>
        <w:ind w:firstLineChars="200" w:firstLine="560"/>
        <w:textAlignment w:val="baseline"/>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6918.01</w:t>
      </w:r>
      <w:r>
        <w:rPr>
          <w:rFonts w:ascii="仿宋_GB2312" w:eastAsia="仿宋_GB2312" w:hint="eastAsia"/>
          <w:sz w:val="28"/>
          <w:szCs w:val="28"/>
        </w:rPr>
        <w:t>万元，占收入合计的100%。其中：一般公共预算财政拨款收入</w:t>
      </w:r>
      <w:r>
        <w:rPr>
          <w:rFonts w:ascii="仿宋_GB2312" w:eastAsia="仿宋_GB2312"/>
          <w:sz w:val="28"/>
          <w:szCs w:val="28"/>
        </w:rPr>
        <w:t>6911.01</w:t>
      </w:r>
      <w:r>
        <w:rPr>
          <w:rFonts w:ascii="仿宋_GB2312" w:eastAsia="仿宋_GB2312" w:hint="eastAsia"/>
          <w:sz w:val="28"/>
          <w:szCs w:val="28"/>
        </w:rPr>
        <w:t>万元，占收入合计的99.9%；政府性基金预算财政拨款收入</w:t>
      </w:r>
      <w:r>
        <w:rPr>
          <w:rFonts w:ascii="仿宋_GB2312" w:eastAsia="仿宋_GB2312"/>
          <w:sz w:val="28"/>
          <w:szCs w:val="28"/>
        </w:rPr>
        <w:t>7</w:t>
      </w:r>
      <w:r>
        <w:rPr>
          <w:rFonts w:ascii="仿宋_GB2312" w:eastAsia="仿宋_GB2312" w:hint="eastAsia"/>
          <w:sz w:val="28"/>
          <w:szCs w:val="28"/>
        </w:rPr>
        <w:t>万元，占收入合计的0.1%；国有资本经营预算财政拨款收入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782600CD" w14:textId="77777777" w:rsidR="00BA7556" w:rsidRDefault="00E725C1">
      <w:pPr>
        <w:tabs>
          <w:tab w:val="center" w:pos="6979"/>
        </w:tabs>
        <w:spacing w:line="580" w:lineRule="exact"/>
        <w:ind w:firstLineChars="200" w:firstLine="560"/>
        <w:textAlignment w:val="baseline"/>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64F9B560" w14:textId="77777777" w:rsidR="00BA7556" w:rsidRDefault="00E725C1">
      <w:pPr>
        <w:tabs>
          <w:tab w:val="center" w:pos="6979"/>
        </w:tabs>
        <w:spacing w:line="580" w:lineRule="exact"/>
        <w:ind w:firstLineChars="200" w:firstLine="560"/>
        <w:textAlignment w:val="baseline"/>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5AB01C49" w14:textId="77777777" w:rsidR="00BA7556" w:rsidRDefault="00E725C1">
      <w:pPr>
        <w:tabs>
          <w:tab w:val="center" w:pos="6979"/>
        </w:tabs>
        <w:spacing w:line="580" w:lineRule="exact"/>
        <w:ind w:firstLineChars="200" w:firstLine="560"/>
        <w:textAlignment w:val="baseline"/>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3139F263" w14:textId="77777777" w:rsidR="00BA7556" w:rsidRDefault="00E725C1">
      <w:pPr>
        <w:tabs>
          <w:tab w:val="center" w:pos="6979"/>
        </w:tabs>
        <w:spacing w:line="580" w:lineRule="exact"/>
        <w:ind w:firstLineChars="200" w:firstLine="560"/>
        <w:textAlignment w:val="baseline"/>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17149FF3" w14:textId="77777777" w:rsidR="00BA7556" w:rsidRDefault="00E725C1">
      <w:pPr>
        <w:tabs>
          <w:tab w:val="center" w:pos="6979"/>
        </w:tabs>
        <w:spacing w:line="580" w:lineRule="exact"/>
        <w:ind w:firstLineChars="200" w:firstLine="560"/>
        <w:textAlignment w:val="baseline"/>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43CE50A7" w14:textId="77777777" w:rsidR="00BA7556" w:rsidRDefault="00E725C1">
      <w:pPr>
        <w:pStyle w:val="2"/>
        <w:spacing w:before="312" w:after="312"/>
        <w:jc w:val="center"/>
        <w:textAlignment w:val="baseline"/>
      </w:pPr>
      <w:r>
        <w:rPr>
          <w:rFonts w:ascii="仿宋_GB2312" w:eastAsia="仿宋_GB2312" w:hint="eastAsia"/>
          <w:color w:val="000000"/>
          <w:sz w:val="32"/>
        </w:rPr>
        <w:lastRenderedPageBreak/>
        <w:t>图1：收入决算</w:t>
      </w:r>
    </w:p>
    <w:p w14:paraId="5CF8DD40" w14:textId="77777777" w:rsidR="00BA7556" w:rsidRDefault="00E725C1">
      <w:pPr>
        <w:pStyle w:val="a3"/>
        <w:ind w:firstLine="420"/>
        <w:jc w:val="center"/>
        <w:textAlignment w:val="baseline"/>
      </w:pPr>
      <w:r>
        <w:rPr>
          <w:noProof/>
        </w:rPr>
        <w:drawing>
          <wp:inline distT="0" distB="0" distL="114300" distR="114300" wp14:anchorId="6EF9D9F9" wp14:editId="022C1C86">
            <wp:extent cx="4036695" cy="2328545"/>
            <wp:effectExtent l="0" t="0" r="0" b="0"/>
            <wp:docPr id="1027"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24CBE22" w14:textId="77777777" w:rsidR="00BA7556" w:rsidRDefault="00E725C1">
      <w:pPr>
        <w:tabs>
          <w:tab w:val="center" w:pos="6979"/>
        </w:tabs>
        <w:spacing w:line="580" w:lineRule="exact"/>
        <w:ind w:firstLine="570"/>
        <w:textAlignment w:val="baseline"/>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65270F0B" w14:textId="77777777" w:rsidR="00BA7556" w:rsidRDefault="00E725C1">
      <w:pPr>
        <w:tabs>
          <w:tab w:val="center" w:pos="6979"/>
        </w:tabs>
        <w:spacing w:line="580" w:lineRule="exact"/>
        <w:ind w:firstLine="570"/>
        <w:textAlignment w:val="baseline"/>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6918.01</w:t>
      </w:r>
      <w:r>
        <w:rPr>
          <w:rFonts w:ascii="仿宋_GB2312" w:eastAsia="仿宋_GB2312" w:hint="eastAsia"/>
          <w:sz w:val="28"/>
          <w:szCs w:val="28"/>
        </w:rPr>
        <w:t>万元，</w:t>
      </w:r>
      <w:r w:rsidR="003F3C54">
        <w:rPr>
          <w:rFonts w:ascii="仿宋_GB2312" w:eastAsia="仿宋_GB2312" w:hint="eastAsia"/>
          <w:sz w:val="28"/>
          <w:szCs w:val="28"/>
        </w:rPr>
        <w:t>比上年增加278.46万元，增长4.19%，</w:t>
      </w:r>
      <w:r>
        <w:rPr>
          <w:rFonts w:ascii="仿宋_GB2312" w:eastAsia="仿宋_GB2312" w:hint="eastAsia"/>
          <w:sz w:val="28"/>
          <w:szCs w:val="28"/>
        </w:rPr>
        <w:t>其中：基本支出</w:t>
      </w:r>
      <w:r>
        <w:rPr>
          <w:rFonts w:ascii="仿宋_GB2312" w:eastAsia="仿宋_GB2312"/>
          <w:sz w:val="28"/>
          <w:szCs w:val="28"/>
        </w:rPr>
        <w:t>6283.56</w:t>
      </w:r>
      <w:r>
        <w:rPr>
          <w:rFonts w:ascii="仿宋_GB2312" w:eastAsia="仿宋_GB2312" w:hint="eastAsia"/>
          <w:sz w:val="28"/>
          <w:szCs w:val="28"/>
        </w:rPr>
        <w:t>万元，占支出合计的90.83%；项目支出</w:t>
      </w:r>
      <w:r>
        <w:rPr>
          <w:rFonts w:ascii="仿宋_GB2312" w:eastAsia="仿宋_GB2312"/>
          <w:sz w:val="28"/>
          <w:szCs w:val="28"/>
        </w:rPr>
        <w:t>634.45</w:t>
      </w:r>
      <w:r>
        <w:rPr>
          <w:rFonts w:ascii="仿宋_GB2312" w:eastAsia="仿宋_GB2312" w:hint="eastAsia"/>
          <w:sz w:val="28"/>
          <w:szCs w:val="28"/>
        </w:rPr>
        <w:t>万元，占支出合计的9.17%;上缴上级支出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0A1CC101" w14:textId="77777777" w:rsidR="00BA7556" w:rsidRDefault="00E725C1">
      <w:pPr>
        <w:pStyle w:val="2"/>
        <w:spacing w:before="312" w:after="312"/>
        <w:ind w:firstLine="642"/>
        <w:jc w:val="center"/>
        <w:textAlignment w:val="baseline"/>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0C24EA68" w14:textId="77777777" w:rsidR="00BA7556" w:rsidRDefault="00E725C1">
      <w:pPr>
        <w:jc w:val="center"/>
        <w:textAlignment w:val="baseline"/>
        <w:rPr>
          <w:rFonts w:ascii="黑体" w:eastAsia="黑体"/>
          <w:b/>
          <w:sz w:val="28"/>
          <w:szCs w:val="28"/>
        </w:rPr>
      </w:pPr>
      <w:r>
        <w:rPr>
          <w:noProof/>
        </w:rPr>
        <w:drawing>
          <wp:inline distT="0" distB="0" distL="114300" distR="114300" wp14:anchorId="714EE5EB" wp14:editId="7AD74CC6">
            <wp:extent cx="4572000" cy="2743200"/>
            <wp:effectExtent l="0" t="0" r="0" b="0"/>
            <wp:docPr id="1029"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F413D3E" w14:textId="77777777" w:rsidR="00BA7556" w:rsidRDefault="00E725C1">
      <w:pPr>
        <w:tabs>
          <w:tab w:val="center" w:pos="6979"/>
        </w:tabs>
        <w:spacing w:line="580" w:lineRule="exact"/>
        <w:ind w:firstLineChars="196" w:firstLine="551"/>
        <w:textAlignment w:val="baseline"/>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04D76CD6" w14:textId="77777777" w:rsidR="00BA7556" w:rsidRDefault="00E725C1">
      <w:pPr>
        <w:tabs>
          <w:tab w:val="center" w:pos="6979"/>
        </w:tabs>
        <w:spacing w:line="580" w:lineRule="exact"/>
        <w:ind w:firstLine="570"/>
        <w:textAlignment w:val="baseline"/>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6918.01</w:t>
      </w:r>
      <w:r>
        <w:rPr>
          <w:rFonts w:ascii="仿宋_GB2312" w:eastAsia="仿宋_GB2312" w:hint="eastAsia"/>
          <w:sz w:val="28"/>
          <w:szCs w:val="28"/>
        </w:rPr>
        <w:t>万元，</w:t>
      </w:r>
      <w:r w:rsidR="003F3C54">
        <w:rPr>
          <w:rFonts w:ascii="仿宋_GB2312" w:eastAsia="仿宋_GB2312" w:hint="eastAsia"/>
          <w:sz w:val="28"/>
          <w:szCs w:val="28"/>
        </w:rPr>
        <w:t>比上年增加278.46万元，增长4.19%。主要原因：在职人员工资增加112.55万元，离退休人员经费增加14.65万元，社保缴费增加70.4万元，公积金增加27.5万元，公用经费增加37.04万元，项目经费较去年新增扩班课桌椅经费36.30万元，信息化建设广播系统设备购置经费53.17万元，政府性基金预算安排体育传统</w:t>
      </w:r>
      <w:proofErr w:type="gramStart"/>
      <w:r w:rsidR="003F3C54">
        <w:rPr>
          <w:rFonts w:ascii="仿宋_GB2312" w:eastAsia="仿宋_GB2312" w:hint="eastAsia"/>
          <w:sz w:val="28"/>
          <w:szCs w:val="28"/>
        </w:rPr>
        <w:t>校经费</w:t>
      </w:r>
      <w:proofErr w:type="gramEnd"/>
      <w:r w:rsidR="003F3C54">
        <w:rPr>
          <w:rFonts w:ascii="仿宋_GB2312" w:eastAsia="仿宋_GB2312" w:hint="eastAsia"/>
          <w:sz w:val="28"/>
          <w:szCs w:val="28"/>
        </w:rPr>
        <w:t>7万元，减少消防改造工程25.00万元等。</w:t>
      </w:r>
    </w:p>
    <w:p w14:paraId="57770437" w14:textId="77777777" w:rsidR="00BA7556" w:rsidRDefault="00E725C1">
      <w:pPr>
        <w:tabs>
          <w:tab w:val="center" w:pos="6979"/>
        </w:tabs>
        <w:spacing w:line="580" w:lineRule="exact"/>
        <w:ind w:firstLineChars="196" w:firstLine="551"/>
        <w:textAlignment w:val="baseline"/>
        <w:rPr>
          <w:rFonts w:ascii="黑体" w:eastAsia="黑体"/>
          <w:b/>
          <w:sz w:val="28"/>
          <w:szCs w:val="28"/>
        </w:rPr>
      </w:pPr>
      <w:r>
        <w:rPr>
          <w:rFonts w:ascii="黑体" w:eastAsia="黑体" w:hint="eastAsia"/>
          <w:b/>
          <w:sz w:val="28"/>
          <w:szCs w:val="28"/>
        </w:rPr>
        <w:t>四、一般公共预算财政拨款支出决算情况说明</w:t>
      </w:r>
    </w:p>
    <w:p w14:paraId="0BE98DD9" w14:textId="77777777" w:rsidR="00BA7556" w:rsidRDefault="00E725C1">
      <w:pPr>
        <w:spacing w:line="580" w:lineRule="exact"/>
        <w:ind w:firstLineChars="200" w:firstLine="560"/>
        <w:jc w:val="left"/>
        <w:textAlignment w:val="baseline"/>
        <w:rPr>
          <w:rFonts w:ascii="仿宋_GB2312" w:eastAsia="仿宋_GB2312"/>
          <w:sz w:val="28"/>
          <w:szCs w:val="28"/>
        </w:rPr>
      </w:pPr>
      <w:r>
        <w:rPr>
          <w:rFonts w:ascii="仿宋_GB2312" w:eastAsia="仿宋_GB2312" w:hint="eastAsia"/>
          <w:sz w:val="28"/>
          <w:szCs w:val="28"/>
        </w:rPr>
        <w:t>（一）一般公共预算财政拨款支出决算总体情况</w:t>
      </w:r>
    </w:p>
    <w:p w14:paraId="19F36579" w14:textId="77777777" w:rsidR="00BA7556" w:rsidRDefault="00E725C1">
      <w:pPr>
        <w:tabs>
          <w:tab w:val="center" w:pos="6979"/>
        </w:tabs>
        <w:spacing w:line="580" w:lineRule="exact"/>
        <w:ind w:firstLineChars="200" w:firstLine="560"/>
        <w:textAlignment w:val="baseline"/>
        <w:rPr>
          <w:rFonts w:ascii="仿宋_GB2312" w:eastAsia="仿宋_GB2312"/>
          <w:sz w:val="28"/>
          <w:szCs w:val="28"/>
        </w:rPr>
      </w:pPr>
      <w:r>
        <w:rPr>
          <w:rFonts w:ascii="仿宋_GB2312" w:eastAsia="仿宋_GB2312" w:hint="eastAsia"/>
          <w:sz w:val="28"/>
          <w:szCs w:val="28"/>
        </w:rPr>
        <w:lastRenderedPageBreak/>
        <w:t>2024年度一般公共预算财政拨款支出</w:t>
      </w:r>
      <w:r>
        <w:rPr>
          <w:rFonts w:ascii="仿宋_GB2312" w:eastAsia="仿宋_GB2312"/>
          <w:sz w:val="28"/>
          <w:szCs w:val="28"/>
        </w:rPr>
        <w:t>6911.01</w:t>
      </w:r>
      <w:r>
        <w:rPr>
          <w:rFonts w:ascii="仿宋_GB2312" w:eastAsia="仿宋_GB2312" w:hint="eastAsia"/>
          <w:sz w:val="28"/>
          <w:szCs w:val="28"/>
        </w:rPr>
        <w:t>万元，主要用于以下方面（按大类）：</w:t>
      </w:r>
      <w:r w:rsidR="00BE69B7">
        <w:rPr>
          <w:rFonts w:ascii="仿宋_GB2312" w:eastAsia="仿宋_GB2312" w:hint="eastAsia"/>
          <w:sz w:val="28"/>
          <w:szCs w:val="28"/>
        </w:rPr>
        <w:t>教育支出4769.87万元，占本年财政拨款支出69.02%； 社会保障和就业支出892.87万元，占本年财政拨款支出12.92%；卫生健康支出433.89万元，占本年财政拨款支出6.28%；住房保障支出814.38万元，占本年财政拨款支出11.78%。</w:t>
      </w:r>
    </w:p>
    <w:p w14:paraId="298889CE" w14:textId="77777777" w:rsidR="00BA7556" w:rsidRDefault="00E725C1">
      <w:pPr>
        <w:spacing w:line="580" w:lineRule="exact"/>
        <w:ind w:firstLineChars="200" w:firstLine="560"/>
        <w:jc w:val="left"/>
        <w:textAlignment w:val="baseline"/>
        <w:rPr>
          <w:rFonts w:ascii="仿宋_GB2312" w:eastAsia="仿宋_GB2312"/>
          <w:sz w:val="28"/>
          <w:szCs w:val="28"/>
        </w:rPr>
      </w:pPr>
      <w:r>
        <w:rPr>
          <w:rFonts w:ascii="仿宋_GB2312" w:eastAsia="仿宋_GB2312" w:hint="eastAsia"/>
          <w:sz w:val="28"/>
          <w:szCs w:val="28"/>
        </w:rPr>
        <w:t>（二）一般公共预算财政拨款支出决算具体情况</w:t>
      </w:r>
    </w:p>
    <w:p w14:paraId="761B7C2C" w14:textId="77777777" w:rsidR="00BE69B7" w:rsidRDefault="00BE69B7" w:rsidP="00BE69B7">
      <w:pPr>
        <w:spacing w:line="580" w:lineRule="exact"/>
        <w:ind w:firstLineChars="200" w:firstLine="560"/>
        <w:jc w:val="left"/>
        <w:textAlignment w:val="baseline"/>
        <w:rPr>
          <w:rFonts w:ascii="仿宋_GB2312" w:eastAsia="仿宋_GB2312"/>
          <w:sz w:val="28"/>
          <w:szCs w:val="28"/>
        </w:rPr>
      </w:pPr>
      <w:r>
        <w:rPr>
          <w:rFonts w:ascii="仿宋_GB2312" w:eastAsia="仿宋_GB2312" w:hint="eastAsia"/>
          <w:sz w:val="28"/>
          <w:szCs w:val="28"/>
        </w:rPr>
        <w:t>1、“教育支出”（类）2024年度年初预算4518.47万元，2024年度决算4769.87万元，完成年初预算的105.56%。其中：</w:t>
      </w:r>
    </w:p>
    <w:p w14:paraId="1777AA1C" w14:textId="28858EED" w:rsidR="00BE69B7" w:rsidRDefault="00BE69B7" w:rsidP="00BE69B7">
      <w:pPr>
        <w:spacing w:line="580" w:lineRule="exact"/>
        <w:ind w:firstLineChars="200" w:firstLine="560"/>
        <w:textAlignment w:val="baseline"/>
        <w:rPr>
          <w:rFonts w:ascii="仿宋_GB2312" w:eastAsia="仿宋_GB2312"/>
          <w:sz w:val="28"/>
        </w:rPr>
      </w:pPr>
      <w:r>
        <w:rPr>
          <w:rFonts w:ascii="仿宋_GB2312" w:eastAsia="仿宋_GB2312" w:hint="eastAsia"/>
          <w:sz w:val="28"/>
          <w:szCs w:val="28"/>
        </w:rPr>
        <w:t>“普通教育”（款）2024年度年初预算4505.21万元，2024年度决算4766.55万元，完成年初预算的105.80%。主要原因：</w:t>
      </w:r>
      <w:r w:rsidR="00EF7819">
        <w:rPr>
          <w:rFonts w:ascii="仿宋_GB2312" w:eastAsia="仿宋_GB2312" w:hint="eastAsia"/>
          <w:sz w:val="28"/>
          <w:szCs w:val="28"/>
        </w:rPr>
        <w:t>本年中追加了</w:t>
      </w:r>
      <w:r>
        <w:rPr>
          <w:rFonts w:ascii="仿宋_GB2312" w:eastAsia="仿宋_GB2312" w:hint="eastAsia"/>
          <w:sz w:val="28"/>
          <w:szCs w:val="28"/>
        </w:rPr>
        <w:t>基本支出</w:t>
      </w:r>
      <w:r w:rsidR="00EF7819">
        <w:rPr>
          <w:rFonts w:ascii="仿宋_GB2312" w:eastAsia="仿宋_GB2312" w:hint="eastAsia"/>
          <w:sz w:val="28"/>
          <w:szCs w:val="28"/>
        </w:rPr>
        <w:t>，主要是</w:t>
      </w:r>
      <w:r>
        <w:rPr>
          <w:rFonts w:ascii="仿宋_GB2312" w:eastAsia="仿宋_GB2312" w:hint="eastAsia"/>
          <w:sz w:val="28"/>
          <w:szCs w:val="28"/>
        </w:rPr>
        <w:t>在职人员绩效工资及津贴补贴，</w:t>
      </w:r>
      <w:r w:rsidR="00EF7819">
        <w:rPr>
          <w:rFonts w:ascii="仿宋_GB2312" w:eastAsia="仿宋_GB2312" w:hint="eastAsia"/>
          <w:sz w:val="28"/>
          <w:szCs w:val="28"/>
        </w:rPr>
        <w:t>还</w:t>
      </w:r>
      <w:r>
        <w:rPr>
          <w:rFonts w:ascii="仿宋_GB2312" w:eastAsia="仿宋_GB2312" w:hint="eastAsia"/>
          <w:sz w:val="28"/>
          <w:szCs w:val="28"/>
        </w:rPr>
        <w:t>追加项目经费。</w:t>
      </w:r>
    </w:p>
    <w:p w14:paraId="64C5AD0A" w14:textId="26C8E7F3" w:rsidR="00BE69B7" w:rsidRDefault="00BE69B7" w:rsidP="00BE69B7">
      <w:pPr>
        <w:spacing w:line="580" w:lineRule="exact"/>
        <w:ind w:firstLineChars="200" w:firstLine="560"/>
        <w:textAlignment w:val="baseline"/>
        <w:rPr>
          <w:rFonts w:ascii="仿宋_GB2312" w:eastAsia="仿宋_GB2312"/>
          <w:sz w:val="28"/>
        </w:rPr>
      </w:pPr>
      <w:r>
        <w:rPr>
          <w:rFonts w:ascii="仿宋_GB2312" w:eastAsia="仿宋_GB2312" w:hint="eastAsia"/>
          <w:sz w:val="28"/>
          <w:szCs w:val="28"/>
        </w:rPr>
        <w:t>“特殊教育”（款）2024年度年初预算2.38万元，2024年度决算2.38万元，完成年初预算的100%。</w:t>
      </w:r>
    </w:p>
    <w:p w14:paraId="0E8C53AB" w14:textId="4807D2C8" w:rsidR="00BE69B7" w:rsidRDefault="00BE69B7" w:rsidP="00BE69B7">
      <w:pPr>
        <w:spacing w:line="580" w:lineRule="exact"/>
        <w:ind w:firstLineChars="200" w:firstLine="560"/>
        <w:textAlignment w:val="baseline"/>
        <w:rPr>
          <w:rFonts w:ascii="仿宋_GB2312" w:eastAsia="仿宋_GB2312"/>
          <w:sz w:val="28"/>
          <w:szCs w:val="28"/>
        </w:rPr>
      </w:pPr>
      <w:r>
        <w:rPr>
          <w:rFonts w:ascii="仿宋_GB2312" w:eastAsia="仿宋_GB2312" w:hint="eastAsia"/>
          <w:sz w:val="28"/>
          <w:szCs w:val="28"/>
        </w:rPr>
        <w:t>“进修及培训”（款）2024年度年初预算10.88万元，2024年度决算0.94万元，完成年初预算的8.64%。主要原因：本</w:t>
      </w:r>
      <w:r w:rsidR="00EF7819">
        <w:rPr>
          <w:rFonts w:ascii="仿宋_GB2312" w:eastAsia="仿宋_GB2312" w:hint="eastAsia"/>
          <w:sz w:val="28"/>
          <w:szCs w:val="28"/>
        </w:rPr>
        <w:t>年度</w:t>
      </w:r>
      <w:r>
        <w:rPr>
          <w:rFonts w:ascii="仿宋_GB2312" w:eastAsia="仿宋_GB2312" w:hint="eastAsia"/>
          <w:sz w:val="28"/>
          <w:szCs w:val="28"/>
        </w:rPr>
        <w:t>安排</w:t>
      </w:r>
      <w:r w:rsidR="00EF7819">
        <w:rPr>
          <w:rFonts w:ascii="仿宋_GB2312" w:eastAsia="仿宋_GB2312" w:hint="eastAsia"/>
          <w:sz w:val="28"/>
          <w:szCs w:val="28"/>
        </w:rPr>
        <w:t>的教师</w:t>
      </w:r>
      <w:r>
        <w:rPr>
          <w:rFonts w:ascii="仿宋_GB2312" w:eastAsia="仿宋_GB2312" w:hint="eastAsia"/>
          <w:sz w:val="28"/>
          <w:szCs w:val="28"/>
        </w:rPr>
        <w:t>培训项目</w:t>
      </w:r>
      <w:r w:rsidR="00EF7819">
        <w:rPr>
          <w:rFonts w:ascii="仿宋_GB2312" w:eastAsia="仿宋_GB2312" w:hint="eastAsia"/>
          <w:sz w:val="28"/>
          <w:szCs w:val="28"/>
        </w:rPr>
        <w:t>较少</w:t>
      </w:r>
      <w:r>
        <w:rPr>
          <w:rFonts w:ascii="仿宋_GB2312" w:eastAsia="仿宋_GB2312" w:hint="eastAsia"/>
          <w:sz w:val="28"/>
          <w:szCs w:val="28"/>
        </w:rPr>
        <w:t>，</w:t>
      </w:r>
      <w:r w:rsidR="00EF7819">
        <w:rPr>
          <w:rFonts w:ascii="仿宋_GB2312" w:eastAsia="仿宋_GB2312" w:hint="eastAsia"/>
          <w:sz w:val="28"/>
          <w:szCs w:val="28"/>
        </w:rPr>
        <w:t>经费</w:t>
      </w:r>
      <w:r>
        <w:rPr>
          <w:rFonts w:ascii="仿宋_GB2312" w:eastAsia="仿宋_GB2312" w:hint="eastAsia"/>
          <w:sz w:val="28"/>
          <w:szCs w:val="28"/>
        </w:rPr>
        <w:t>支出</w:t>
      </w:r>
      <w:r w:rsidR="00EF7819">
        <w:rPr>
          <w:rFonts w:ascii="仿宋_GB2312" w:eastAsia="仿宋_GB2312" w:hint="eastAsia"/>
          <w:sz w:val="28"/>
          <w:szCs w:val="28"/>
        </w:rPr>
        <w:t>较</w:t>
      </w:r>
      <w:r>
        <w:rPr>
          <w:rFonts w:ascii="仿宋_GB2312" w:eastAsia="仿宋_GB2312" w:hint="eastAsia"/>
          <w:sz w:val="28"/>
          <w:szCs w:val="28"/>
        </w:rPr>
        <w:t>少。</w:t>
      </w:r>
    </w:p>
    <w:p w14:paraId="38728457" w14:textId="77777777" w:rsidR="00BE69B7" w:rsidRDefault="00BE69B7" w:rsidP="00BE69B7">
      <w:pPr>
        <w:spacing w:line="580" w:lineRule="exact"/>
        <w:ind w:firstLineChars="200" w:firstLine="560"/>
        <w:textAlignment w:val="baseline"/>
        <w:rPr>
          <w:rFonts w:ascii="仿宋_GB2312" w:eastAsia="仿宋_GB2312"/>
          <w:sz w:val="28"/>
          <w:szCs w:val="28"/>
        </w:rPr>
      </w:pPr>
      <w:r>
        <w:rPr>
          <w:rFonts w:ascii="仿宋_GB2312" w:eastAsia="仿宋_GB2312" w:hint="eastAsia"/>
          <w:sz w:val="28"/>
          <w:szCs w:val="28"/>
        </w:rPr>
        <w:t>2、“社会保障和就业”（类）2024年度年初预算846.02万元，2024年度决算892.87万元，完成年初预算的105.54%。其中：</w:t>
      </w:r>
    </w:p>
    <w:p w14:paraId="1C4BC072" w14:textId="77777777" w:rsidR="00BE69B7" w:rsidRDefault="00BE69B7" w:rsidP="00BE69B7">
      <w:pPr>
        <w:spacing w:line="580" w:lineRule="exact"/>
        <w:ind w:firstLineChars="200" w:firstLine="560"/>
        <w:textAlignment w:val="baseline"/>
        <w:rPr>
          <w:rFonts w:ascii="仿宋_GB2312" w:eastAsia="仿宋_GB2312"/>
          <w:sz w:val="28"/>
        </w:rPr>
      </w:pPr>
      <w:r>
        <w:rPr>
          <w:rFonts w:ascii="仿宋_GB2312" w:eastAsia="仿宋_GB2312" w:hint="eastAsia"/>
          <w:sz w:val="28"/>
          <w:szCs w:val="28"/>
        </w:rPr>
        <w:t>“行政事业单位养老支出”（款）2024年度年初预算846.02万元，2024年度决算875.86万元，完成年初预算的103.53%。主要原因：我校新增在职教师4人。</w:t>
      </w:r>
    </w:p>
    <w:p w14:paraId="212289CB" w14:textId="77777777" w:rsidR="00BE69B7" w:rsidRDefault="00BE69B7" w:rsidP="00BE69B7">
      <w:pPr>
        <w:spacing w:line="580" w:lineRule="exact"/>
        <w:ind w:firstLineChars="200" w:firstLine="560"/>
        <w:textAlignment w:val="baseline"/>
        <w:rPr>
          <w:rFonts w:ascii="仿宋_GB2312" w:eastAsia="仿宋_GB2312"/>
          <w:sz w:val="28"/>
        </w:rPr>
      </w:pPr>
      <w:r>
        <w:rPr>
          <w:rFonts w:ascii="仿宋_GB2312" w:eastAsia="仿宋_GB2312"/>
          <w:sz w:val="28"/>
          <w:szCs w:val="28"/>
        </w:rPr>
        <w:t>“</w:t>
      </w:r>
      <w:r>
        <w:rPr>
          <w:rFonts w:ascii="仿宋_GB2312" w:eastAsia="仿宋_GB2312" w:hint="eastAsia"/>
          <w:sz w:val="28"/>
          <w:szCs w:val="28"/>
        </w:rPr>
        <w:t>抚恤</w:t>
      </w:r>
      <w:r>
        <w:rPr>
          <w:rFonts w:ascii="仿宋_GB2312" w:eastAsia="仿宋_GB2312"/>
          <w:sz w:val="28"/>
          <w:szCs w:val="28"/>
        </w:rPr>
        <w:t>”</w:t>
      </w:r>
      <w:r>
        <w:rPr>
          <w:rFonts w:ascii="仿宋_GB2312" w:eastAsia="仿宋_GB2312" w:hint="eastAsia"/>
          <w:sz w:val="28"/>
          <w:szCs w:val="28"/>
        </w:rPr>
        <w:t>（款）2024年度年初预算0万元，2024年度决算17.01万元。主要原因：有一名退休教师去世。</w:t>
      </w:r>
    </w:p>
    <w:p w14:paraId="450CE2F3" w14:textId="77777777" w:rsidR="00BE69B7" w:rsidRDefault="00BE69B7" w:rsidP="00BE69B7">
      <w:pPr>
        <w:spacing w:line="580" w:lineRule="exact"/>
        <w:ind w:firstLineChars="200" w:firstLine="560"/>
        <w:textAlignment w:val="baseline"/>
        <w:rPr>
          <w:rFonts w:ascii="仿宋_GB2312" w:eastAsia="仿宋_GB2312"/>
          <w:sz w:val="28"/>
        </w:rPr>
      </w:pPr>
      <w:r>
        <w:rPr>
          <w:rFonts w:ascii="仿宋_GB2312" w:eastAsia="仿宋_GB2312" w:hint="eastAsia"/>
          <w:sz w:val="28"/>
          <w:szCs w:val="28"/>
        </w:rPr>
        <w:lastRenderedPageBreak/>
        <w:t>3、</w:t>
      </w:r>
      <w:r>
        <w:rPr>
          <w:rFonts w:ascii="仿宋_GB2312" w:eastAsia="仿宋_GB2312"/>
          <w:sz w:val="28"/>
          <w:szCs w:val="28"/>
        </w:rPr>
        <w:t>“</w:t>
      </w:r>
      <w:r>
        <w:rPr>
          <w:rFonts w:ascii="仿宋_GB2312" w:eastAsia="仿宋_GB2312" w:hint="eastAsia"/>
          <w:sz w:val="28"/>
          <w:szCs w:val="28"/>
        </w:rPr>
        <w:t>卫生健康支出</w:t>
      </w:r>
      <w:r>
        <w:rPr>
          <w:rFonts w:ascii="仿宋_GB2312" w:eastAsia="仿宋_GB2312"/>
          <w:sz w:val="28"/>
          <w:szCs w:val="28"/>
        </w:rPr>
        <w:t>”</w:t>
      </w:r>
      <w:r>
        <w:rPr>
          <w:rFonts w:ascii="仿宋_GB2312" w:eastAsia="仿宋_GB2312"/>
          <w:sz w:val="28"/>
          <w:szCs w:val="28"/>
        </w:rPr>
        <w:t>（类）2024年度年初预算406.82万元，2024年度决算433.89万元，完成年初预算的106.66%。</w:t>
      </w:r>
      <w:r>
        <w:rPr>
          <w:rFonts w:ascii="仿宋_GB2312" w:eastAsia="仿宋_GB2312" w:hint="eastAsia"/>
          <w:sz w:val="28"/>
          <w:szCs w:val="28"/>
        </w:rPr>
        <w:t>其中：</w:t>
      </w:r>
    </w:p>
    <w:p w14:paraId="1A6B5294" w14:textId="77777777" w:rsidR="00BE69B7" w:rsidRDefault="00BE69B7" w:rsidP="00BE69B7">
      <w:pPr>
        <w:spacing w:line="580" w:lineRule="exact"/>
        <w:ind w:firstLineChars="200" w:firstLine="560"/>
        <w:textAlignment w:val="baseline"/>
        <w:rPr>
          <w:rFonts w:ascii="仿宋_GB2312" w:eastAsia="仿宋_GB2312"/>
          <w:sz w:val="28"/>
        </w:rPr>
      </w:pPr>
      <w:r>
        <w:rPr>
          <w:rFonts w:ascii="仿宋_GB2312" w:eastAsia="仿宋_GB2312"/>
          <w:sz w:val="28"/>
          <w:szCs w:val="28"/>
        </w:rPr>
        <w:t>“</w:t>
      </w:r>
      <w:r>
        <w:rPr>
          <w:rFonts w:ascii="仿宋_GB2312" w:eastAsia="仿宋_GB2312" w:hint="eastAsia"/>
          <w:sz w:val="28"/>
          <w:szCs w:val="28"/>
        </w:rPr>
        <w:t>行政事业单位医疗</w:t>
      </w:r>
      <w:r>
        <w:rPr>
          <w:rFonts w:ascii="仿宋_GB2312" w:eastAsia="仿宋_GB2312"/>
          <w:sz w:val="28"/>
          <w:szCs w:val="28"/>
        </w:rPr>
        <w:t>”</w:t>
      </w:r>
      <w:r>
        <w:rPr>
          <w:rFonts w:ascii="仿宋_GB2312" w:eastAsia="仿宋_GB2312" w:hint="eastAsia"/>
          <w:sz w:val="28"/>
          <w:szCs w:val="28"/>
        </w:rPr>
        <w:t>（款）2024年度年初预算406.82万元，2024年度决算433.89万元，完成年初预算的106.66%。主要原因：新增在职教师4人。</w:t>
      </w:r>
    </w:p>
    <w:p w14:paraId="224BCA7D" w14:textId="77777777" w:rsidR="00BE69B7" w:rsidRDefault="00BE69B7" w:rsidP="00BE69B7">
      <w:pPr>
        <w:spacing w:line="580" w:lineRule="exact"/>
        <w:ind w:firstLineChars="200" w:firstLine="560"/>
        <w:textAlignment w:val="baseline"/>
        <w:rPr>
          <w:rFonts w:ascii="仿宋_GB2312" w:eastAsia="仿宋_GB2312"/>
          <w:sz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住房保障支出</w:t>
      </w:r>
      <w:r>
        <w:rPr>
          <w:rFonts w:ascii="仿宋_GB2312" w:eastAsia="仿宋_GB2312"/>
          <w:sz w:val="28"/>
          <w:szCs w:val="28"/>
        </w:rPr>
        <w:t>”</w:t>
      </w:r>
      <w:r>
        <w:rPr>
          <w:rFonts w:ascii="仿宋_GB2312" w:eastAsia="仿宋_GB2312"/>
          <w:sz w:val="28"/>
          <w:szCs w:val="28"/>
        </w:rPr>
        <w:t>（类）2024年度年初预算800.52万元，2024年度决算814.38万元，完成年初预算的101.73%。</w:t>
      </w:r>
      <w:r>
        <w:rPr>
          <w:rFonts w:ascii="仿宋_GB2312" w:eastAsia="仿宋_GB2312" w:hint="eastAsia"/>
          <w:sz w:val="28"/>
          <w:szCs w:val="28"/>
        </w:rPr>
        <w:t>其中：</w:t>
      </w:r>
    </w:p>
    <w:p w14:paraId="50A3E544" w14:textId="77777777" w:rsidR="00BA7556" w:rsidRDefault="00BE69B7" w:rsidP="00BE69B7">
      <w:pPr>
        <w:spacing w:line="580" w:lineRule="exact"/>
        <w:ind w:firstLineChars="200" w:firstLine="560"/>
        <w:textAlignment w:val="baseline"/>
        <w:rPr>
          <w:rFonts w:ascii="仿宋_GB2312" w:eastAsia="仿宋_GB2312"/>
          <w:sz w:val="28"/>
          <w:szCs w:val="28"/>
        </w:rPr>
      </w:pPr>
      <w:r>
        <w:rPr>
          <w:rFonts w:ascii="仿宋_GB2312" w:eastAsia="仿宋_GB2312"/>
          <w:sz w:val="28"/>
          <w:szCs w:val="28"/>
        </w:rPr>
        <w:t>“</w:t>
      </w:r>
      <w:r>
        <w:rPr>
          <w:rFonts w:ascii="仿宋_GB2312" w:eastAsia="仿宋_GB2312" w:hint="eastAsia"/>
          <w:sz w:val="28"/>
          <w:szCs w:val="28"/>
        </w:rPr>
        <w:t>住房改革支出</w:t>
      </w:r>
      <w:r>
        <w:rPr>
          <w:rFonts w:ascii="仿宋_GB2312" w:eastAsia="仿宋_GB2312"/>
          <w:sz w:val="28"/>
          <w:szCs w:val="28"/>
        </w:rPr>
        <w:t>”</w:t>
      </w:r>
      <w:r>
        <w:rPr>
          <w:rFonts w:ascii="仿宋_GB2312" w:eastAsia="仿宋_GB2312" w:hint="eastAsia"/>
          <w:sz w:val="28"/>
          <w:szCs w:val="28"/>
        </w:rPr>
        <w:t>（款）2024年度年初预算800.52万元，2024年度决算814.38万元，完成年初预算的101.73%。主要原因：新增在职教师4人。</w:t>
      </w:r>
    </w:p>
    <w:p w14:paraId="3A9F42F6" w14:textId="77777777" w:rsidR="00BA7556" w:rsidRDefault="00E725C1">
      <w:pPr>
        <w:spacing w:line="580" w:lineRule="exact"/>
        <w:ind w:firstLineChars="200" w:firstLine="562"/>
        <w:textAlignment w:val="baseline"/>
        <w:rPr>
          <w:rFonts w:ascii="仿宋_GB2312" w:eastAsia="仿宋_GB2312"/>
          <w:sz w:val="28"/>
          <w:szCs w:val="28"/>
        </w:rPr>
      </w:pPr>
      <w:r>
        <w:rPr>
          <w:rFonts w:ascii="黑体" w:eastAsia="黑体" w:hint="eastAsia"/>
          <w:b/>
          <w:sz w:val="28"/>
          <w:szCs w:val="28"/>
        </w:rPr>
        <w:t>五、政府性基金预算财政拨款支出决算情况说明</w:t>
      </w:r>
    </w:p>
    <w:p w14:paraId="0AD8A85E" w14:textId="77777777" w:rsidR="00BA7556" w:rsidRDefault="00E725C1">
      <w:pPr>
        <w:spacing w:line="580" w:lineRule="exact"/>
        <w:ind w:firstLineChars="200" w:firstLine="560"/>
        <w:jc w:val="left"/>
        <w:textAlignment w:val="baseline"/>
        <w:rPr>
          <w:rFonts w:ascii="仿宋_GB2312" w:eastAsia="仿宋_GB2312"/>
          <w:sz w:val="28"/>
          <w:szCs w:val="28"/>
        </w:rPr>
      </w:pPr>
      <w:r>
        <w:rPr>
          <w:rFonts w:ascii="仿宋_GB2312" w:eastAsia="仿宋_GB2312" w:hint="eastAsia"/>
          <w:sz w:val="28"/>
          <w:szCs w:val="28"/>
        </w:rPr>
        <w:t>（一）政府性基金预算财政拨款支出决算总体情况</w:t>
      </w:r>
    </w:p>
    <w:p w14:paraId="34BFDF30" w14:textId="77777777" w:rsidR="00BE69B7" w:rsidRDefault="00BE69B7" w:rsidP="00BE69B7">
      <w:pPr>
        <w:tabs>
          <w:tab w:val="center" w:pos="6979"/>
        </w:tabs>
        <w:spacing w:line="580" w:lineRule="exact"/>
        <w:ind w:firstLineChars="200" w:firstLine="560"/>
        <w:textAlignment w:val="baseline"/>
        <w:rPr>
          <w:rFonts w:ascii="仿宋_GB2312" w:eastAsia="仿宋_GB2312"/>
          <w:sz w:val="28"/>
          <w:szCs w:val="28"/>
        </w:rPr>
      </w:pPr>
      <w:r>
        <w:rPr>
          <w:rFonts w:ascii="仿宋_GB2312" w:eastAsia="仿宋_GB2312" w:hint="eastAsia"/>
          <w:sz w:val="28"/>
          <w:szCs w:val="28"/>
        </w:rPr>
        <w:t>2024年度政府性基金预算财政拨款支出7万元，主要用于以下方面（按大类）：其他支出7.00万元，占本年财政拨款支出100%。</w:t>
      </w:r>
    </w:p>
    <w:p w14:paraId="3FE20164" w14:textId="77777777" w:rsidR="00BE69B7" w:rsidRDefault="00BE69B7" w:rsidP="00BE69B7">
      <w:pPr>
        <w:spacing w:line="580" w:lineRule="exact"/>
        <w:ind w:firstLineChars="200" w:firstLine="560"/>
        <w:jc w:val="left"/>
        <w:textAlignment w:val="baseline"/>
        <w:rPr>
          <w:rFonts w:ascii="仿宋_GB2312" w:eastAsia="仿宋_GB2312"/>
          <w:sz w:val="28"/>
          <w:szCs w:val="28"/>
        </w:rPr>
      </w:pPr>
      <w:r>
        <w:rPr>
          <w:rFonts w:ascii="仿宋_GB2312" w:eastAsia="仿宋_GB2312" w:hint="eastAsia"/>
          <w:sz w:val="28"/>
          <w:szCs w:val="28"/>
        </w:rPr>
        <w:t>（二）政府性基金预算财政拨款支出决算具体情况</w:t>
      </w:r>
    </w:p>
    <w:p w14:paraId="5C5C21B5" w14:textId="77777777" w:rsidR="00BE69B7" w:rsidRDefault="00BE69B7" w:rsidP="00BE69B7">
      <w:pPr>
        <w:spacing w:line="580" w:lineRule="exact"/>
        <w:ind w:firstLineChars="250" w:firstLine="700"/>
        <w:jc w:val="left"/>
        <w:textAlignment w:val="baseline"/>
        <w:rPr>
          <w:rFonts w:ascii="仿宋_GB2312" w:eastAsia="仿宋_GB2312"/>
          <w:sz w:val="28"/>
          <w:szCs w:val="28"/>
        </w:rPr>
      </w:pPr>
      <w:r>
        <w:rPr>
          <w:rFonts w:ascii="仿宋_GB2312" w:eastAsia="仿宋_GB2312" w:hint="eastAsia"/>
          <w:sz w:val="28"/>
          <w:szCs w:val="28"/>
        </w:rPr>
        <w:t>1、“其他支出”（类）2024年度年初预算7.00万元，2024年度决算7.00万元，完成年初预算的100%。其中：</w:t>
      </w:r>
    </w:p>
    <w:p w14:paraId="5586086D" w14:textId="77777777" w:rsidR="00BE69B7" w:rsidRDefault="00BE69B7" w:rsidP="00BE69B7">
      <w:pPr>
        <w:spacing w:line="580" w:lineRule="exact"/>
        <w:ind w:firstLineChars="200" w:firstLine="560"/>
        <w:textAlignment w:val="baseline"/>
        <w:rPr>
          <w:rFonts w:ascii="仿宋_GB2312" w:eastAsia="仿宋_GB2312"/>
          <w:sz w:val="28"/>
          <w:szCs w:val="28"/>
        </w:rPr>
      </w:pPr>
      <w:r>
        <w:rPr>
          <w:rFonts w:ascii="仿宋_GB2312" w:eastAsia="仿宋_GB2312" w:hint="eastAsia"/>
          <w:sz w:val="28"/>
          <w:szCs w:val="28"/>
        </w:rPr>
        <w:t>“彩票公益金安排的支出”（款）2024年度年初预算7.00万元，2024年度决算7.00万元，完成年初预算的100%。</w:t>
      </w:r>
    </w:p>
    <w:p w14:paraId="11FE181D" w14:textId="77777777" w:rsidR="00BA7556" w:rsidRDefault="00E725C1" w:rsidP="00BE69B7">
      <w:pPr>
        <w:spacing w:line="580" w:lineRule="exact"/>
        <w:ind w:firstLineChars="200" w:firstLine="562"/>
        <w:textAlignment w:val="baseline"/>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5BEFD432" w14:textId="77777777" w:rsidR="00BA7556" w:rsidRDefault="00E725C1">
      <w:pPr>
        <w:ind w:firstLineChars="192" w:firstLine="538"/>
        <w:textAlignment w:val="baseline"/>
        <w:rPr>
          <w:rFonts w:ascii="仿宋_GB2312" w:eastAsia="仿宋_GB2312"/>
          <w:sz w:val="28"/>
          <w:szCs w:val="28"/>
        </w:rPr>
      </w:pPr>
      <w:r>
        <w:rPr>
          <w:rFonts w:ascii="仿宋_GB2312" w:eastAsia="仿宋_GB2312" w:hint="eastAsia"/>
          <w:sz w:val="28"/>
          <w:szCs w:val="28"/>
        </w:rPr>
        <w:lastRenderedPageBreak/>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1AAC5CD4" w14:textId="77777777" w:rsidR="00BA7556" w:rsidRDefault="00E725C1">
      <w:pPr>
        <w:spacing w:line="580" w:lineRule="exact"/>
        <w:ind w:firstLineChars="196" w:firstLine="551"/>
        <w:textAlignment w:val="baseline"/>
        <w:rPr>
          <w:rFonts w:ascii="黑体" w:eastAsia="黑体"/>
          <w:sz w:val="28"/>
          <w:szCs w:val="28"/>
        </w:rPr>
      </w:pPr>
      <w:r>
        <w:rPr>
          <w:rFonts w:ascii="黑体" w:eastAsia="黑体" w:hint="eastAsia"/>
          <w:b/>
          <w:sz w:val="28"/>
          <w:szCs w:val="28"/>
        </w:rPr>
        <w:t>七、财政拨款基本支出决算情况说明</w:t>
      </w:r>
    </w:p>
    <w:p w14:paraId="6172029C" w14:textId="77777777" w:rsidR="00BA7556" w:rsidRDefault="00E725C1">
      <w:pPr>
        <w:tabs>
          <w:tab w:val="center" w:pos="6979"/>
        </w:tabs>
        <w:spacing w:line="580" w:lineRule="exact"/>
        <w:ind w:firstLineChars="196" w:firstLine="549"/>
        <w:textAlignment w:val="baseline"/>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6283.56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6DDB1374" w14:textId="77777777" w:rsidR="00BA7556" w:rsidRDefault="00E725C1">
      <w:pPr>
        <w:spacing w:line="580" w:lineRule="exact"/>
        <w:textAlignment w:val="baseline"/>
        <w:rPr>
          <w:rFonts w:ascii="宋体" w:hAnsi="宋体"/>
          <w:b/>
          <w:spacing w:val="40"/>
          <w:sz w:val="32"/>
          <w:szCs w:val="32"/>
        </w:rPr>
      </w:pPr>
      <w:r>
        <w:rPr>
          <w:rFonts w:ascii="仿宋_GB2312" w:eastAsia="仿宋_GB2312"/>
          <w:b/>
          <w:sz w:val="32"/>
          <w:szCs w:val="32"/>
        </w:rPr>
        <w:tab/>
      </w:r>
    </w:p>
    <w:p w14:paraId="088641DB" w14:textId="77777777" w:rsidR="00BA7556" w:rsidRDefault="00E725C1">
      <w:pPr>
        <w:tabs>
          <w:tab w:val="center" w:pos="6979"/>
        </w:tabs>
        <w:jc w:val="center"/>
        <w:textAlignment w:val="baseline"/>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219913A6" w14:textId="77777777" w:rsidR="00BA7556" w:rsidRDefault="00E725C1">
      <w:pPr>
        <w:spacing w:line="560" w:lineRule="exact"/>
        <w:ind w:firstLineChars="200" w:firstLine="560"/>
        <w:textAlignment w:val="baseline"/>
        <w:rPr>
          <w:rFonts w:ascii="黑体" w:eastAsia="黑体"/>
          <w:sz w:val="28"/>
          <w:szCs w:val="28"/>
        </w:rPr>
      </w:pPr>
      <w:r>
        <w:rPr>
          <w:rFonts w:ascii="黑体" w:eastAsia="黑体" w:hint="eastAsia"/>
          <w:sz w:val="28"/>
          <w:szCs w:val="28"/>
        </w:rPr>
        <w:t>一、“三公”经费财政拨款决算情况</w:t>
      </w:r>
    </w:p>
    <w:p w14:paraId="08939DC7" w14:textId="77777777" w:rsidR="00BA7556" w:rsidRDefault="00E725C1">
      <w:pPr>
        <w:spacing w:line="560" w:lineRule="exact"/>
        <w:ind w:firstLine="600"/>
        <w:textAlignment w:val="baseline"/>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0.58</w:t>
      </w:r>
      <w:r>
        <w:rPr>
          <w:rFonts w:ascii="仿宋_GB2312" w:eastAsia="仿宋_GB2312" w:hint="eastAsia"/>
          <w:sz w:val="28"/>
          <w:szCs w:val="28"/>
        </w:rPr>
        <w:t>万元，比2024年度“三公”经费财政拨款年初预算</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2.12</w:t>
      </w:r>
      <w:r>
        <w:rPr>
          <w:rFonts w:ascii="仿宋_GB2312" w:eastAsia="仿宋_GB2312" w:hint="eastAsia"/>
          <w:sz w:val="28"/>
          <w:szCs w:val="28"/>
        </w:rPr>
        <w:t>万元。其中：</w:t>
      </w:r>
    </w:p>
    <w:p w14:paraId="22187FEF" w14:textId="77777777" w:rsidR="00BA7556" w:rsidRDefault="00E725C1">
      <w:pPr>
        <w:spacing w:line="560" w:lineRule="exact"/>
        <w:ind w:firstLine="600"/>
        <w:textAlignment w:val="baseline"/>
        <w:rPr>
          <w:rFonts w:ascii="仿宋_GB2312" w:eastAsia="仿宋_GB2312"/>
          <w:sz w:val="28"/>
          <w:szCs w:val="28"/>
        </w:rPr>
      </w:pPr>
      <w:r>
        <w:rPr>
          <w:rFonts w:ascii="仿宋_GB2312" w:eastAsia="仿宋_GB2312" w:hint="eastAsia"/>
          <w:sz w:val="28"/>
          <w:szCs w:val="28"/>
        </w:rPr>
        <w:t>1.因公出国（境）费用。</w:t>
      </w:r>
      <w:r w:rsidR="00BE69B7">
        <w:rPr>
          <w:rFonts w:ascii="仿宋_GB2312" w:eastAsia="仿宋_GB2312" w:hint="eastAsia"/>
          <w:sz w:val="28"/>
          <w:szCs w:val="28"/>
        </w:rPr>
        <w:t>本单位无此项经费。</w:t>
      </w:r>
    </w:p>
    <w:p w14:paraId="20F0C6D9" w14:textId="77777777" w:rsidR="00BA7556" w:rsidRDefault="00E725C1">
      <w:pPr>
        <w:spacing w:line="560" w:lineRule="exact"/>
        <w:ind w:firstLine="600"/>
        <w:textAlignment w:val="baseline"/>
        <w:rPr>
          <w:rFonts w:ascii="仿宋_GB2312" w:eastAsia="仿宋_GB2312"/>
          <w:sz w:val="28"/>
          <w:szCs w:val="28"/>
        </w:rPr>
      </w:pPr>
      <w:r>
        <w:rPr>
          <w:rFonts w:ascii="仿宋_GB2312" w:eastAsia="仿宋_GB2312" w:hint="eastAsia"/>
          <w:sz w:val="28"/>
          <w:szCs w:val="28"/>
        </w:rPr>
        <w:t>2.公务接待费。</w:t>
      </w:r>
      <w:r w:rsidR="00BE69B7">
        <w:rPr>
          <w:rFonts w:ascii="仿宋_GB2312" w:eastAsia="仿宋_GB2312" w:hint="eastAsia"/>
          <w:sz w:val="28"/>
          <w:szCs w:val="28"/>
        </w:rPr>
        <w:t>本单位无此项经费。</w:t>
      </w:r>
    </w:p>
    <w:p w14:paraId="50093033" w14:textId="77777777" w:rsidR="00BA7556" w:rsidRDefault="00E725C1">
      <w:pPr>
        <w:spacing w:line="560" w:lineRule="exact"/>
        <w:ind w:firstLineChars="200" w:firstLine="560"/>
        <w:textAlignment w:val="baseline"/>
        <w:rPr>
          <w:rFonts w:ascii="仿宋_GB2312" w:eastAsia="仿宋_GB2312"/>
          <w:sz w:val="28"/>
          <w:szCs w:val="28"/>
        </w:rPr>
      </w:pPr>
      <w:r>
        <w:rPr>
          <w:rFonts w:ascii="仿宋_GB2312" w:eastAsia="仿宋_GB2312" w:hint="eastAsia"/>
          <w:sz w:val="28"/>
          <w:szCs w:val="28"/>
        </w:rPr>
        <w:lastRenderedPageBreak/>
        <w:t>3.公务用车购置及运行维护费。2024年度决算数</w:t>
      </w:r>
      <w:r>
        <w:rPr>
          <w:rFonts w:ascii="仿宋_GB2312" w:eastAsia="仿宋_GB2312"/>
          <w:sz w:val="28"/>
          <w:szCs w:val="28"/>
        </w:rPr>
        <w:t>0.58</w:t>
      </w:r>
      <w:r>
        <w:rPr>
          <w:rFonts w:ascii="仿宋_GB2312" w:eastAsia="仿宋_GB2312" w:hint="eastAsia"/>
          <w:sz w:val="28"/>
          <w:szCs w:val="28"/>
        </w:rPr>
        <w:t>万元，比2024年度年初预算数</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2.12</w:t>
      </w:r>
      <w:r>
        <w:rPr>
          <w:rFonts w:ascii="仿宋_GB2312" w:eastAsia="仿宋_GB2312" w:hint="eastAsia"/>
          <w:sz w:val="28"/>
          <w:szCs w:val="28"/>
        </w:rPr>
        <w:t>万元。其中，公务用车购置费2024年度决算数0万元，主要原因：</w:t>
      </w:r>
      <w:r w:rsidR="00BE69B7">
        <w:rPr>
          <w:rFonts w:ascii="仿宋_GB2312" w:eastAsia="仿宋_GB2312" w:hint="eastAsia"/>
          <w:sz w:val="28"/>
          <w:szCs w:val="28"/>
        </w:rPr>
        <w:t>本年未购置公务车</w:t>
      </w:r>
      <w:r>
        <w:rPr>
          <w:rFonts w:ascii="仿宋_GB2312" w:eastAsia="仿宋_GB2312" w:hint="eastAsia"/>
          <w:sz w:val="28"/>
          <w:szCs w:val="28"/>
        </w:rPr>
        <w:t>，2024年度购置0辆。公务用车运行维护费2024年度决算数0.58万元，主要原因：</w:t>
      </w:r>
      <w:r w:rsidR="00D4121D" w:rsidRPr="00D4121D">
        <w:rPr>
          <w:rFonts w:ascii="仿宋_GB2312" w:eastAsia="仿宋_GB2312" w:hint="eastAsia"/>
          <w:sz w:val="28"/>
          <w:szCs w:val="28"/>
        </w:rPr>
        <w:t>按照三</w:t>
      </w:r>
      <w:proofErr w:type="gramStart"/>
      <w:r w:rsidR="00D4121D" w:rsidRPr="00D4121D">
        <w:rPr>
          <w:rFonts w:ascii="仿宋_GB2312" w:eastAsia="仿宋_GB2312" w:hint="eastAsia"/>
          <w:sz w:val="28"/>
          <w:szCs w:val="28"/>
        </w:rPr>
        <w:t>公经费</w:t>
      </w:r>
      <w:proofErr w:type="gramEnd"/>
      <w:r w:rsidR="00D4121D" w:rsidRPr="00D4121D">
        <w:rPr>
          <w:rFonts w:ascii="仿宋_GB2312" w:eastAsia="仿宋_GB2312" w:hint="eastAsia"/>
          <w:sz w:val="28"/>
          <w:szCs w:val="28"/>
        </w:rPr>
        <w:t>逐年递减的要求，进一步落实中央、北京市的有关厉行节约、压缩财政成本等规定，把勤俭节约落实到实处，坚决杜绝各种铺张浪费。2024年度公务用车运行维护支出主要是按规定保留的公务用车的燃料费、维修费、过桥过路费、保险费、安全奖励费用等支出</w:t>
      </w:r>
      <w:r>
        <w:rPr>
          <w:rFonts w:ascii="仿宋_GB2312" w:eastAsia="仿宋_GB2312" w:hint="eastAsia"/>
          <w:sz w:val="28"/>
          <w:szCs w:val="28"/>
        </w:rPr>
        <w:t>。2024年度公务用车保有量</w:t>
      </w:r>
      <w:r>
        <w:rPr>
          <w:rFonts w:ascii="仿宋_GB2312" w:eastAsia="仿宋_GB2312"/>
          <w:sz w:val="28"/>
          <w:szCs w:val="28"/>
        </w:rPr>
        <w:t>1</w:t>
      </w:r>
      <w:r>
        <w:rPr>
          <w:rFonts w:ascii="仿宋_GB2312" w:eastAsia="仿宋_GB2312" w:hint="eastAsia"/>
          <w:sz w:val="28"/>
          <w:szCs w:val="28"/>
        </w:rPr>
        <w:t>辆。</w:t>
      </w:r>
    </w:p>
    <w:p w14:paraId="0B8AE54E" w14:textId="77777777" w:rsidR="00BA7556" w:rsidRDefault="00E725C1">
      <w:pPr>
        <w:tabs>
          <w:tab w:val="center" w:pos="6979"/>
        </w:tabs>
        <w:ind w:firstLineChars="198" w:firstLine="554"/>
        <w:textAlignment w:val="baseline"/>
        <w:rPr>
          <w:rFonts w:ascii="黑体" w:eastAsia="黑体"/>
          <w:sz w:val="28"/>
          <w:szCs w:val="28"/>
        </w:rPr>
      </w:pPr>
      <w:r>
        <w:rPr>
          <w:rFonts w:ascii="黑体" w:eastAsia="黑体" w:hint="eastAsia"/>
          <w:sz w:val="28"/>
          <w:szCs w:val="28"/>
        </w:rPr>
        <w:t>二、机关运行经费支出情况</w:t>
      </w:r>
    </w:p>
    <w:p w14:paraId="6A8B8D77" w14:textId="77777777" w:rsidR="00BA7556" w:rsidRDefault="00D4121D">
      <w:pPr>
        <w:ind w:firstLineChars="192" w:firstLine="538"/>
        <w:textAlignment w:val="baseline"/>
        <w:rPr>
          <w:rFonts w:ascii="仿宋_GB2312" w:eastAsia="仿宋_GB2312"/>
          <w:sz w:val="28"/>
          <w:szCs w:val="28"/>
        </w:rPr>
      </w:pPr>
      <w:r>
        <w:rPr>
          <w:rFonts w:ascii="仿宋_GB2312" w:eastAsia="仿宋_GB2312" w:hint="eastAsia"/>
          <w:sz w:val="28"/>
          <w:szCs w:val="28"/>
        </w:rPr>
        <w:t>我单位不在机关运行经费统计范围内。</w:t>
      </w:r>
    </w:p>
    <w:p w14:paraId="06BF0DE9" w14:textId="77777777" w:rsidR="00BA7556" w:rsidRDefault="00E725C1">
      <w:pPr>
        <w:ind w:left="540"/>
        <w:textAlignment w:val="baseline"/>
        <w:rPr>
          <w:rFonts w:ascii="黑体" w:eastAsia="黑体"/>
          <w:sz w:val="28"/>
          <w:szCs w:val="28"/>
        </w:rPr>
      </w:pPr>
      <w:r>
        <w:rPr>
          <w:rFonts w:ascii="黑体" w:eastAsia="黑体" w:hint="eastAsia"/>
          <w:sz w:val="28"/>
          <w:szCs w:val="28"/>
        </w:rPr>
        <w:t>三、政府采购支出情况</w:t>
      </w:r>
      <w:bookmarkStart w:id="0" w:name="_GoBack"/>
      <w:bookmarkEnd w:id="0"/>
    </w:p>
    <w:p w14:paraId="6A856AE6" w14:textId="77777777" w:rsidR="00BA7556" w:rsidRDefault="00E725C1">
      <w:pPr>
        <w:ind w:firstLineChars="192" w:firstLine="538"/>
        <w:textAlignment w:val="baseline"/>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84.74</w:t>
      </w:r>
      <w:r>
        <w:rPr>
          <w:rFonts w:ascii="仿宋_GB2312" w:eastAsia="仿宋_GB2312" w:hint="eastAsia"/>
          <w:sz w:val="28"/>
          <w:szCs w:val="28"/>
        </w:rPr>
        <w:t>万元，其中：政府采购货物支出</w:t>
      </w:r>
      <w:r>
        <w:rPr>
          <w:rFonts w:ascii="仿宋_GB2312" w:eastAsia="仿宋_GB2312"/>
          <w:sz w:val="28"/>
          <w:szCs w:val="28"/>
        </w:rPr>
        <w:t>38.74</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46</w:t>
      </w:r>
      <w:r>
        <w:rPr>
          <w:rFonts w:ascii="仿宋_GB2312" w:eastAsia="仿宋_GB2312" w:hint="eastAsia"/>
          <w:sz w:val="28"/>
          <w:szCs w:val="28"/>
        </w:rPr>
        <w:t>万元。授予中小企业合同金额</w:t>
      </w:r>
      <w:r>
        <w:rPr>
          <w:rFonts w:ascii="仿宋_GB2312" w:eastAsia="仿宋_GB2312"/>
          <w:sz w:val="28"/>
          <w:szCs w:val="28"/>
        </w:rPr>
        <w:t>84.74</w:t>
      </w:r>
      <w:r>
        <w:rPr>
          <w:rFonts w:ascii="仿宋_GB2312" w:eastAsia="仿宋_GB2312" w:hint="eastAsia"/>
          <w:sz w:val="28"/>
          <w:szCs w:val="28"/>
        </w:rPr>
        <w:t>万元，占政府采购支出总额的100%，其中：授予小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1.8</w:t>
      </w:r>
      <w:r>
        <w:rPr>
          <w:rFonts w:ascii="仿宋_GB2312" w:eastAsia="仿宋_GB2312" w:hint="eastAsia"/>
          <w:sz w:val="28"/>
          <w:szCs w:val="28"/>
        </w:rPr>
        <w:t>万元，占政府采购支出总额的</w:t>
      </w:r>
      <w:r>
        <w:rPr>
          <w:rFonts w:ascii="仿宋_GB2312" w:eastAsia="仿宋_GB2312"/>
          <w:sz w:val="28"/>
          <w:szCs w:val="28"/>
        </w:rPr>
        <w:t>2.12</w:t>
      </w:r>
      <w:r>
        <w:rPr>
          <w:rFonts w:ascii="仿宋_GB2312" w:eastAsia="仿宋_GB2312" w:hint="eastAsia"/>
          <w:sz w:val="28"/>
          <w:szCs w:val="28"/>
        </w:rPr>
        <w:t>%。</w:t>
      </w:r>
    </w:p>
    <w:p w14:paraId="1B62EFCB" w14:textId="77777777" w:rsidR="00BA7556" w:rsidRDefault="00E725C1">
      <w:pPr>
        <w:ind w:firstLineChars="200" w:firstLine="560"/>
        <w:textAlignment w:val="baseline"/>
        <w:rPr>
          <w:rFonts w:ascii="黑体" w:eastAsia="黑体"/>
          <w:sz w:val="28"/>
          <w:szCs w:val="28"/>
          <w:highlight w:val="yellow"/>
        </w:rPr>
      </w:pPr>
      <w:r>
        <w:rPr>
          <w:rFonts w:ascii="黑体" w:eastAsia="黑体" w:hint="eastAsia"/>
          <w:sz w:val="28"/>
          <w:szCs w:val="28"/>
        </w:rPr>
        <w:t>四、国有资产占用情况</w:t>
      </w:r>
    </w:p>
    <w:p w14:paraId="3D960A59" w14:textId="77777777" w:rsidR="00BA7556" w:rsidRDefault="00E725C1">
      <w:pPr>
        <w:ind w:firstLineChars="200" w:firstLine="560"/>
        <w:textAlignment w:val="baseline"/>
        <w:rPr>
          <w:rFonts w:ascii="仿宋_GB2312" w:eastAsia="仿宋_GB2312"/>
          <w:sz w:val="32"/>
          <w:szCs w:val="32"/>
        </w:rPr>
      </w:pPr>
      <w:r>
        <w:rPr>
          <w:rFonts w:ascii="仿宋_GB2312" w:eastAsia="仿宋_GB2312" w:hint="eastAsia"/>
          <w:sz w:val="28"/>
          <w:szCs w:val="28"/>
        </w:rPr>
        <w:t>截至12月31日，北京市西城区</w:t>
      </w:r>
      <w:proofErr w:type="gramStart"/>
      <w:r>
        <w:rPr>
          <w:rFonts w:ascii="仿宋_GB2312" w:eastAsia="仿宋_GB2312" w:hint="eastAsia"/>
          <w:sz w:val="28"/>
          <w:szCs w:val="28"/>
        </w:rPr>
        <w:t>宏庙小学</w:t>
      </w:r>
      <w:proofErr w:type="gramEnd"/>
      <w:r>
        <w:rPr>
          <w:rFonts w:ascii="仿宋_GB2312" w:eastAsia="仿宋_GB2312" w:hint="eastAsia"/>
          <w:sz w:val="28"/>
          <w:szCs w:val="28"/>
        </w:rPr>
        <w:t>共有车辆1台；单位价值100万元（含）以上的设备0台（套）。</w:t>
      </w:r>
    </w:p>
    <w:p w14:paraId="4017DCBC" w14:textId="77777777" w:rsidR="00BA7556" w:rsidRDefault="00E725C1">
      <w:pPr>
        <w:ind w:firstLineChars="192" w:firstLine="538"/>
        <w:textAlignment w:val="baseline"/>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6E7C016B" w14:textId="77777777" w:rsidR="00BA7556" w:rsidRDefault="00E725C1">
      <w:pPr>
        <w:ind w:firstLineChars="192" w:firstLine="538"/>
        <w:textAlignment w:val="baseline"/>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264F6002" w14:textId="77777777" w:rsidR="00BA7556" w:rsidRDefault="00E725C1">
      <w:pPr>
        <w:ind w:firstLineChars="200" w:firstLine="560"/>
        <w:jc w:val="left"/>
        <w:textAlignment w:val="baseline"/>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4E22E333" w14:textId="77777777" w:rsidR="00BA7556" w:rsidRDefault="00E725C1">
      <w:pPr>
        <w:ind w:firstLineChars="200" w:firstLine="560"/>
        <w:textAlignment w:val="baseline"/>
        <w:rPr>
          <w:rFonts w:ascii="仿宋_GB2312" w:eastAsia="仿宋_GB2312"/>
          <w:sz w:val="28"/>
          <w:szCs w:val="28"/>
        </w:rPr>
      </w:pPr>
      <w:r>
        <w:rPr>
          <w:rFonts w:ascii="仿宋_GB2312" w:eastAsia="仿宋_GB2312" w:hint="eastAsia"/>
          <w:sz w:val="28"/>
          <w:szCs w:val="28"/>
        </w:rPr>
        <w:lastRenderedPageBreak/>
        <w:t>1.基本支出：指为保障机构正常运转、完成日常工作任务而发生的人员支出和公用支出。</w:t>
      </w:r>
    </w:p>
    <w:p w14:paraId="2B72F764" w14:textId="77777777" w:rsidR="00BA7556" w:rsidRDefault="00E725C1">
      <w:pPr>
        <w:ind w:firstLineChars="200" w:firstLine="560"/>
        <w:textAlignment w:val="baseline"/>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74898553" w14:textId="77777777" w:rsidR="00BA7556" w:rsidRDefault="00E725C1">
      <w:pPr>
        <w:ind w:firstLineChars="200" w:firstLine="560"/>
        <w:textAlignment w:val="baseline"/>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14:paraId="5ACCC4BA" w14:textId="77777777" w:rsidR="00BA7556" w:rsidRDefault="00E725C1">
      <w:pPr>
        <w:ind w:firstLineChars="200" w:firstLine="560"/>
        <w:textAlignment w:val="baseline"/>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7CA3EBE8" w14:textId="77777777" w:rsidR="00BA7556" w:rsidRDefault="00E725C1">
      <w:pPr>
        <w:ind w:firstLineChars="150" w:firstLine="420"/>
        <w:textAlignment w:val="baseline"/>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379E2967" w14:textId="77777777" w:rsidR="00BA7556" w:rsidRDefault="00E725C1">
      <w:pPr>
        <w:ind w:firstLineChars="150" w:firstLine="420"/>
        <w:textAlignment w:val="baseline"/>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9A733A7" w14:textId="77777777" w:rsidR="00BA7556" w:rsidRPr="00EF7819" w:rsidRDefault="00E725C1">
      <w:pPr>
        <w:ind w:firstLineChars="200" w:firstLine="560"/>
        <w:textAlignment w:val="baseline"/>
        <w:rPr>
          <w:rFonts w:ascii="仿宋_GB2312" w:eastAsia="仿宋_GB2312"/>
          <w:sz w:val="28"/>
          <w:szCs w:val="28"/>
        </w:rPr>
      </w:pPr>
      <w:r w:rsidRPr="00EF7819">
        <w:rPr>
          <w:rFonts w:ascii="仿宋_GB2312" w:eastAsia="仿宋_GB2312" w:hint="eastAsia"/>
          <w:sz w:val="28"/>
          <w:szCs w:val="28"/>
        </w:rPr>
        <w:t>7.各单位需根据自身业务职能，补充当年使用的所有支出功能分类项级科目名词解释，例如：</w:t>
      </w:r>
    </w:p>
    <w:p w14:paraId="2E756257" w14:textId="77777777" w:rsidR="00D4121D" w:rsidRPr="00D4121D" w:rsidRDefault="00D4121D" w:rsidP="00D4121D">
      <w:pPr>
        <w:pStyle w:val="ae"/>
        <w:numPr>
          <w:ilvl w:val="0"/>
          <w:numId w:val="2"/>
        </w:numPr>
        <w:ind w:left="720"/>
        <w:textAlignment w:val="baseline"/>
        <w:rPr>
          <w:rFonts w:ascii="仿宋_GB2312" w:eastAsia="仿宋_GB2312"/>
          <w:sz w:val="28"/>
          <w:szCs w:val="28"/>
        </w:rPr>
      </w:pPr>
      <w:r>
        <w:rPr>
          <w:rFonts w:ascii="仿宋_GB2312" w:eastAsia="仿宋_GB2312" w:hint="eastAsia"/>
          <w:kern w:val="0"/>
          <w:sz w:val="28"/>
          <w:szCs w:val="28"/>
        </w:rPr>
        <w:t>教育支出（类）普通教育（款）小学教育（项）：反映本部门举办的小学教育支出。</w:t>
      </w:r>
    </w:p>
    <w:p w14:paraId="684A60D2" w14:textId="77777777" w:rsidR="00D4121D" w:rsidRDefault="00D4121D" w:rsidP="00D4121D">
      <w:pPr>
        <w:pStyle w:val="ae"/>
        <w:numPr>
          <w:ilvl w:val="0"/>
          <w:numId w:val="2"/>
        </w:numPr>
        <w:ind w:left="720"/>
        <w:textAlignment w:val="baseline"/>
        <w:rPr>
          <w:rFonts w:ascii="仿宋_GB2312" w:eastAsia="仿宋_GB2312"/>
          <w:sz w:val="28"/>
          <w:szCs w:val="28"/>
        </w:rPr>
      </w:pPr>
      <w:r>
        <w:rPr>
          <w:rFonts w:ascii="仿宋_GB2312" w:eastAsia="仿宋_GB2312" w:hint="eastAsia"/>
          <w:sz w:val="28"/>
          <w:szCs w:val="28"/>
        </w:rPr>
        <w:lastRenderedPageBreak/>
        <w:t>教育支出（类）特殊教育（款）特殊学校教育（项）：反映本部门举办盲童学校、聋哑学校、智力落后儿童学校、其他生理缺陷儿童学校的支出。</w:t>
      </w:r>
    </w:p>
    <w:p w14:paraId="0871417E" w14:textId="77777777" w:rsidR="00D4121D" w:rsidRDefault="00D4121D" w:rsidP="00D4121D">
      <w:pPr>
        <w:pStyle w:val="ae"/>
        <w:numPr>
          <w:ilvl w:val="0"/>
          <w:numId w:val="2"/>
        </w:numPr>
        <w:ind w:left="720"/>
        <w:textAlignment w:val="baseline"/>
        <w:rPr>
          <w:rFonts w:ascii="仿宋_GB2312" w:eastAsia="仿宋_GB2312"/>
          <w:sz w:val="28"/>
          <w:szCs w:val="28"/>
        </w:rPr>
      </w:pPr>
      <w:r>
        <w:rPr>
          <w:rFonts w:ascii="仿宋_GB2312" w:eastAsia="仿宋_GB2312" w:hint="eastAsia"/>
          <w:sz w:val="28"/>
          <w:szCs w:val="28"/>
        </w:rPr>
        <w:t>教育支出（类）进修及培训（款）培训支出（项）：反映本部门安排的用于培训的支出。</w:t>
      </w:r>
    </w:p>
    <w:p w14:paraId="7BEA3325" w14:textId="77777777" w:rsidR="00D4121D" w:rsidRDefault="00D4121D" w:rsidP="00D4121D">
      <w:pPr>
        <w:pStyle w:val="ae"/>
        <w:numPr>
          <w:ilvl w:val="0"/>
          <w:numId w:val="2"/>
        </w:numPr>
        <w:ind w:left="720"/>
        <w:textAlignment w:val="baseline"/>
        <w:rPr>
          <w:rFonts w:ascii="仿宋_GB2312" w:eastAsia="仿宋_GB2312"/>
          <w:sz w:val="28"/>
          <w:szCs w:val="28"/>
        </w:rPr>
      </w:pPr>
      <w:r>
        <w:rPr>
          <w:rFonts w:ascii="仿宋_GB2312" w:eastAsia="仿宋_GB2312" w:hint="eastAsia"/>
          <w:sz w:val="28"/>
          <w:szCs w:val="28"/>
        </w:rPr>
        <w:t>社会保障和就业支出（类）行政事业单位养老支出（款）事业单位离退休（项）：反映事业单位开支的离退休经费。</w:t>
      </w:r>
    </w:p>
    <w:p w14:paraId="62B9115E" w14:textId="77777777" w:rsidR="00D4121D" w:rsidRDefault="00D4121D" w:rsidP="00D4121D">
      <w:pPr>
        <w:pStyle w:val="ae"/>
        <w:numPr>
          <w:ilvl w:val="0"/>
          <w:numId w:val="2"/>
        </w:numPr>
        <w:ind w:left="720"/>
        <w:textAlignment w:val="baseline"/>
        <w:rPr>
          <w:rFonts w:ascii="仿宋_GB2312" w:eastAsia="仿宋_GB2312"/>
          <w:sz w:val="28"/>
          <w:szCs w:val="28"/>
        </w:rPr>
      </w:pP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14:paraId="70DC37F6" w14:textId="77777777" w:rsidR="00D4121D" w:rsidRDefault="00D4121D" w:rsidP="00D4121D">
      <w:pPr>
        <w:pStyle w:val="ae"/>
        <w:numPr>
          <w:ilvl w:val="0"/>
          <w:numId w:val="2"/>
        </w:numPr>
        <w:ind w:left="720"/>
        <w:textAlignment w:val="baseline"/>
        <w:rPr>
          <w:rFonts w:ascii="仿宋_GB2312" w:eastAsia="仿宋_GB2312"/>
          <w:sz w:val="28"/>
          <w:szCs w:val="28"/>
        </w:rPr>
      </w:pP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14:paraId="4B5BB906" w14:textId="77777777" w:rsidR="00D4121D" w:rsidRPr="00D4121D" w:rsidRDefault="00D4121D" w:rsidP="00D4121D">
      <w:pPr>
        <w:pStyle w:val="ae"/>
        <w:numPr>
          <w:ilvl w:val="0"/>
          <w:numId w:val="2"/>
        </w:numPr>
        <w:ind w:left="720"/>
        <w:textAlignment w:val="baseline"/>
        <w:rPr>
          <w:rFonts w:ascii="仿宋_GB2312" w:eastAsia="仿宋_GB2312"/>
          <w:sz w:val="28"/>
          <w:szCs w:val="28"/>
        </w:rPr>
      </w:pPr>
      <w:r>
        <w:rPr>
          <w:rFonts w:ascii="仿宋_GB2312" w:eastAsia="仿宋_GB2312" w:hint="eastAsia"/>
          <w:kern w:val="0"/>
          <w:sz w:val="28"/>
          <w:szCs w:val="28"/>
        </w:rPr>
        <w:t>社会保障和就业支出（类）抚恤（款）死亡抚恤（项）：反映按规定用于烈士和牺牲、病故人员家属的一次性和定期抚恤金、丧葬补助费以及烈士褒扬金。</w:t>
      </w:r>
    </w:p>
    <w:p w14:paraId="18D6014F" w14:textId="77777777" w:rsidR="00D4121D" w:rsidRPr="00D4121D" w:rsidRDefault="00D4121D" w:rsidP="00D4121D">
      <w:pPr>
        <w:pStyle w:val="ae"/>
        <w:numPr>
          <w:ilvl w:val="0"/>
          <w:numId w:val="2"/>
        </w:numPr>
        <w:ind w:left="720"/>
        <w:textAlignment w:val="baseline"/>
        <w:rPr>
          <w:rFonts w:ascii="仿宋_GB2312" w:eastAsia="仿宋_GB2312"/>
          <w:sz w:val="28"/>
          <w:szCs w:val="28"/>
        </w:rPr>
      </w:pPr>
      <w:r>
        <w:rPr>
          <w:rFonts w:ascii="仿宋_GB2312" w:eastAsia="仿宋_GB2312" w:hint="eastAsia"/>
          <w:kern w:val="0"/>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64FCFD47" w14:textId="77777777" w:rsidR="00D4121D" w:rsidRDefault="00D4121D" w:rsidP="00D4121D">
      <w:pPr>
        <w:pStyle w:val="ae"/>
        <w:numPr>
          <w:ilvl w:val="0"/>
          <w:numId w:val="2"/>
        </w:numPr>
        <w:ind w:left="720"/>
        <w:textAlignment w:val="baseline"/>
        <w:rPr>
          <w:rFonts w:ascii="仿宋_GB2312" w:eastAsia="仿宋_GB2312"/>
          <w:sz w:val="28"/>
          <w:szCs w:val="28"/>
        </w:rPr>
      </w:pPr>
      <w:r>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14:paraId="588D74DE" w14:textId="77777777" w:rsidR="00D4121D" w:rsidRDefault="00D4121D" w:rsidP="00D4121D">
      <w:pPr>
        <w:pStyle w:val="ae"/>
        <w:numPr>
          <w:ilvl w:val="0"/>
          <w:numId w:val="2"/>
        </w:numPr>
        <w:ind w:left="720"/>
        <w:textAlignment w:val="baseline"/>
        <w:rPr>
          <w:rFonts w:ascii="仿宋_GB2312" w:eastAsia="仿宋_GB2312"/>
          <w:sz w:val="28"/>
          <w:szCs w:val="28"/>
        </w:rPr>
      </w:pPr>
      <w:r>
        <w:rPr>
          <w:rFonts w:ascii="仿宋_GB2312" w:eastAsia="仿宋_GB2312" w:hint="eastAsia"/>
          <w:sz w:val="28"/>
          <w:szCs w:val="28"/>
        </w:rPr>
        <w:lastRenderedPageBreak/>
        <w:t>住房保障支出（类）住房改革支出（款）提租补贴（项）：反映按房改政策规定的标准，行政事业单位向职工（含离退休人员）发放的租金补助。</w:t>
      </w:r>
    </w:p>
    <w:p w14:paraId="45C94DF4" w14:textId="77777777" w:rsidR="00D4121D" w:rsidRPr="00D4121D" w:rsidRDefault="00D4121D" w:rsidP="00D4121D">
      <w:pPr>
        <w:pStyle w:val="ae"/>
        <w:numPr>
          <w:ilvl w:val="0"/>
          <w:numId w:val="2"/>
        </w:numPr>
        <w:ind w:left="720"/>
        <w:textAlignment w:val="baseline"/>
        <w:rPr>
          <w:rFonts w:ascii="仿宋_GB2312" w:eastAsia="仿宋_GB2312"/>
          <w:sz w:val="28"/>
          <w:szCs w:val="28"/>
        </w:rPr>
      </w:pPr>
      <w:r>
        <w:rPr>
          <w:rFonts w:ascii="仿宋_GB2312" w:eastAsia="仿宋_GB2312" w:hint="eastAsia"/>
          <w:kern w:val="0"/>
          <w:sz w:val="28"/>
          <w:szCs w:val="28"/>
        </w:rPr>
        <w:t>住房保障支出（类）住房改革支出（款）购房补贴（项）：反映按房改政策规定的标准，行政事业单位向符合条件职工（含离退休人员）发放的用于购买住房的补贴。</w:t>
      </w:r>
    </w:p>
    <w:p w14:paraId="56C0534B" w14:textId="77777777" w:rsidR="00D4121D" w:rsidRPr="00D4121D" w:rsidRDefault="00D4121D" w:rsidP="00D4121D">
      <w:pPr>
        <w:pStyle w:val="ae"/>
        <w:numPr>
          <w:ilvl w:val="0"/>
          <w:numId w:val="2"/>
        </w:numPr>
        <w:ind w:left="720"/>
        <w:textAlignment w:val="baseline"/>
        <w:rPr>
          <w:rFonts w:ascii="仿宋_GB2312" w:eastAsia="仿宋_GB2312"/>
          <w:sz w:val="28"/>
          <w:szCs w:val="28"/>
        </w:rPr>
      </w:pPr>
      <w:r>
        <w:rPr>
          <w:rFonts w:ascii="仿宋_GB2312" w:eastAsia="仿宋_GB2312" w:hint="eastAsia"/>
          <w:kern w:val="0"/>
          <w:sz w:val="28"/>
          <w:szCs w:val="28"/>
        </w:rPr>
        <w:t>其他支出（类）彩票公益金安排的支出（款）用于体育事业的彩票公益金支出（项）：反映用于体育事业的彩票公益金支出。</w:t>
      </w:r>
    </w:p>
    <w:p w14:paraId="2B48534B" w14:textId="77777777" w:rsidR="00BA7556" w:rsidRPr="00D4121D" w:rsidRDefault="00BA7556">
      <w:pPr>
        <w:ind w:firstLineChars="200" w:firstLine="560"/>
        <w:textAlignment w:val="baseline"/>
        <w:rPr>
          <w:rFonts w:ascii="仿宋_GB2312" w:eastAsia="仿宋_GB2312"/>
          <w:sz w:val="28"/>
          <w:szCs w:val="28"/>
        </w:rPr>
      </w:pPr>
    </w:p>
    <w:p w14:paraId="10B01F11" w14:textId="77777777" w:rsidR="00BA7556" w:rsidRDefault="00BA7556">
      <w:pPr>
        <w:textAlignment w:val="baseline"/>
        <w:rPr>
          <w:rFonts w:ascii="黑体" w:eastAsia="黑体"/>
          <w:sz w:val="32"/>
          <w:szCs w:val="32"/>
        </w:rPr>
      </w:pPr>
    </w:p>
    <w:p w14:paraId="4FA49934" w14:textId="77777777" w:rsidR="00BA7556" w:rsidRDefault="00BA7556">
      <w:pPr>
        <w:tabs>
          <w:tab w:val="center" w:pos="6979"/>
        </w:tabs>
        <w:spacing w:line="380" w:lineRule="exact"/>
        <w:jc w:val="center"/>
        <w:textAlignment w:val="baseline"/>
        <w:rPr>
          <w:rFonts w:ascii="宋体" w:hAnsi="宋体" w:cs="宋体"/>
          <w:b/>
          <w:bCs/>
          <w:kern w:val="0"/>
          <w:sz w:val="28"/>
          <w:szCs w:val="28"/>
        </w:rPr>
      </w:pPr>
    </w:p>
    <w:p w14:paraId="78964B69" w14:textId="77777777" w:rsidR="00DC6814" w:rsidRPr="00DC6814" w:rsidRDefault="00DC6814" w:rsidP="00DC6814">
      <w:pPr>
        <w:pStyle w:val="2"/>
        <w:spacing w:before="312" w:after="312"/>
        <w:textAlignment w:val="baseline"/>
      </w:pPr>
    </w:p>
    <w:p w14:paraId="38D7EE16" w14:textId="77777777" w:rsidR="00BA7556" w:rsidRDefault="00BA7556">
      <w:pPr>
        <w:tabs>
          <w:tab w:val="center" w:pos="6979"/>
        </w:tabs>
        <w:spacing w:line="380" w:lineRule="exact"/>
        <w:jc w:val="center"/>
        <w:textAlignment w:val="baseline"/>
        <w:rPr>
          <w:rFonts w:ascii="宋体" w:hAnsi="宋体" w:cs="宋体"/>
          <w:b/>
          <w:bCs/>
          <w:kern w:val="0"/>
          <w:sz w:val="28"/>
          <w:szCs w:val="28"/>
        </w:rPr>
      </w:pPr>
    </w:p>
    <w:p w14:paraId="5213195A" w14:textId="77777777" w:rsidR="00C47FC8" w:rsidRPr="00C47FC8" w:rsidRDefault="00C47FC8" w:rsidP="00C47FC8">
      <w:pPr>
        <w:pStyle w:val="2"/>
        <w:spacing w:before="312" w:after="312"/>
        <w:textAlignment w:val="baseline"/>
      </w:pPr>
    </w:p>
    <w:p w14:paraId="4ED58E0B" w14:textId="77777777" w:rsidR="00BA7556" w:rsidRDefault="00BA7556">
      <w:pPr>
        <w:textAlignment w:val="baseline"/>
        <w:rPr>
          <w:rFonts w:ascii="黑体" w:eastAsia="黑体"/>
          <w:sz w:val="32"/>
          <w:szCs w:val="32"/>
        </w:rPr>
      </w:pPr>
    </w:p>
    <w:p w14:paraId="71B723D8" w14:textId="77777777" w:rsidR="00DC6814" w:rsidRPr="00DC6814" w:rsidRDefault="00DC6814" w:rsidP="00DC6814">
      <w:pPr>
        <w:textAlignment w:val="baseline"/>
        <w:rPr>
          <w:b/>
          <w:i/>
          <w:caps/>
        </w:rPr>
      </w:pPr>
    </w:p>
    <w:p w14:paraId="19E70C3C" w14:textId="77777777" w:rsidR="00BA7556" w:rsidRDefault="00BA7556">
      <w:pPr>
        <w:ind w:firstLineChars="200" w:firstLine="640"/>
        <w:jc w:val="center"/>
        <w:textAlignment w:val="baseline"/>
        <w:rPr>
          <w:rFonts w:ascii="黑体" w:eastAsia="黑体"/>
          <w:sz w:val="32"/>
          <w:szCs w:val="32"/>
        </w:rPr>
      </w:pPr>
    </w:p>
    <w:p w14:paraId="4FCD0987" w14:textId="77777777" w:rsidR="00BA7556" w:rsidRDefault="00E725C1">
      <w:pPr>
        <w:ind w:firstLineChars="200" w:firstLine="640"/>
        <w:jc w:val="center"/>
        <w:textAlignment w:val="baseline"/>
        <w:rPr>
          <w:rFonts w:ascii="黑体" w:eastAsia="黑体"/>
          <w:sz w:val="32"/>
          <w:szCs w:val="32"/>
        </w:rPr>
      </w:pPr>
      <w:r>
        <w:rPr>
          <w:rFonts w:ascii="黑体" w:eastAsia="黑体" w:hint="eastAsia"/>
          <w:sz w:val="32"/>
          <w:szCs w:val="32"/>
        </w:rPr>
        <w:t>第四部分  2024年度部门绩效评价情况</w:t>
      </w:r>
    </w:p>
    <w:p w14:paraId="07F34E92" w14:textId="77777777" w:rsidR="00BA7556" w:rsidRDefault="00BA7556">
      <w:pPr>
        <w:ind w:firstLineChars="200" w:firstLine="560"/>
        <w:textAlignment w:val="baseline"/>
        <w:rPr>
          <w:rFonts w:ascii="黑体" w:eastAsia="黑体"/>
          <w:sz w:val="28"/>
          <w:szCs w:val="28"/>
          <w:highlight w:val="yellow"/>
        </w:rPr>
      </w:pPr>
    </w:p>
    <w:p w14:paraId="1C19F84E" w14:textId="77777777" w:rsidR="00BA7556" w:rsidRDefault="00E725C1">
      <w:pPr>
        <w:numPr>
          <w:ilvl w:val="0"/>
          <w:numId w:val="1"/>
        </w:numPr>
        <w:ind w:firstLineChars="200" w:firstLine="560"/>
        <w:textAlignment w:val="baseline"/>
        <w:rPr>
          <w:rFonts w:ascii="黑体" w:eastAsia="黑体"/>
          <w:sz w:val="28"/>
          <w:szCs w:val="28"/>
        </w:rPr>
      </w:pPr>
      <w:r>
        <w:rPr>
          <w:rFonts w:ascii="黑体" w:eastAsia="黑体" w:hint="eastAsia"/>
          <w:sz w:val="28"/>
          <w:szCs w:val="28"/>
        </w:rPr>
        <w:t>部门整体绩效评价报告（参考模板详见附件）</w:t>
      </w:r>
    </w:p>
    <w:p w14:paraId="2B5783D5" w14:textId="77777777" w:rsidR="00BA7556" w:rsidRDefault="00E725C1">
      <w:pPr>
        <w:numPr>
          <w:ilvl w:val="0"/>
          <w:numId w:val="1"/>
        </w:numPr>
        <w:ind w:firstLineChars="200" w:firstLine="560"/>
        <w:textAlignment w:val="baseline"/>
        <w:rPr>
          <w:rFonts w:ascii="黑体" w:eastAsia="黑体"/>
          <w:sz w:val="28"/>
          <w:szCs w:val="28"/>
        </w:rPr>
      </w:pPr>
      <w:r>
        <w:rPr>
          <w:rFonts w:ascii="黑体" w:eastAsia="黑体" w:hint="eastAsia"/>
          <w:sz w:val="28"/>
          <w:szCs w:val="28"/>
        </w:rPr>
        <w:t>项目支出绩效评价报告（参考模板详见附件）</w:t>
      </w:r>
    </w:p>
    <w:p w14:paraId="57693E65" w14:textId="77777777" w:rsidR="00BA7556" w:rsidRDefault="00E725C1">
      <w:pPr>
        <w:numPr>
          <w:ilvl w:val="0"/>
          <w:numId w:val="1"/>
        </w:numPr>
        <w:ind w:firstLineChars="200" w:firstLine="560"/>
        <w:textAlignment w:val="baseline"/>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7B8B957C" w14:textId="77777777" w:rsidR="00BA7556" w:rsidRDefault="00E725C1">
      <w:pPr>
        <w:numPr>
          <w:ilvl w:val="0"/>
          <w:numId w:val="1"/>
        </w:numPr>
        <w:ind w:firstLineChars="200" w:firstLine="560"/>
        <w:textAlignment w:val="baseline"/>
        <w:rPr>
          <w:rFonts w:ascii="黑体" w:eastAsia="黑体"/>
          <w:sz w:val="28"/>
          <w:szCs w:val="28"/>
        </w:rPr>
      </w:pPr>
      <w:r>
        <w:rPr>
          <w:rFonts w:ascii="黑体" w:eastAsia="黑体" w:hint="eastAsia"/>
          <w:sz w:val="28"/>
          <w:szCs w:val="28"/>
        </w:rPr>
        <w:t>中央对北京XX转移支付预算执行情况绩效自评报告（参考提纲详见附件）</w:t>
      </w:r>
    </w:p>
    <w:p w14:paraId="34F2AC5C" w14:textId="77777777" w:rsidR="00BA7556" w:rsidRDefault="00E725C1">
      <w:pPr>
        <w:spacing w:line="480" w:lineRule="exact"/>
        <w:ind w:firstLine="420"/>
        <w:textAlignment w:val="baseline"/>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5CCB1811" w14:textId="77777777" w:rsidR="00BA7556" w:rsidRDefault="00BA7556">
      <w:pPr>
        <w:spacing w:line="480" w:lineRule="exact"/>
        <w:textAlignment w:val="baseline"/>
        <w:rPr>
          <w:rFonts w:ascii="仿宋_GB2312" w:eastAsia="仿宋_GB2312" w:hAnsi="仿宋_GB2312" w:cs="仿宋_GB2312"/>
          <w:sz w:val="32"/>
          <w:szCs w:val="32"/>
        </w:rPr>
      </w:pPr>
    </w:p>
    <w:p w14:paraId="76672B6D" w14:textId="77777777" w:rsidR="00BA7556" w:rsidRDefault="00BA7556">
      <w:pPr>
        <w:spacing w:line="480" w:lineRule="exact"/>
        <w:textAlignment w:val="baseline"/>
        <w:rPr>
          <w:b/>
          <w:i/>
          <w:caps/>
        </w:rPr>
      </w:pPr>
    </w:p>
    <w:sectPr w:rsidR="00BA7556">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11873F" w14:textId="77777777" w:rsidR="00D362A0" w:rsidRDefault="00D362A0">
      <w:r>
        <w:separator/>
      </w:r>
    </w:p>
  </w:endnote>
  <w:endnote w:type="continuationSeparator" w:id="0">
    <w:p w14:paraId="22C57115" w14:textId="77777777" w:rsidR="00D362A0" w:rsidRDefault="00D36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7A32C" w14:textId="77777777" w:rsidR="00BA7556" w:rsidRDefault="00E725C1">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0D6BCD8B" w14:textId="77777777" w:rsidR="00BA7556" w:rsidRDefault="00BA755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1984E" w14:textId="77777777" w:rsidR="00BA7556" w:rsidRDefault="00E725C1">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637C9537" w14:textId="77777777" w:rsidR="00BA7556" w:rsidRDefault="00BA7556">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F0CCF" w14:textId="77777777" w:rsidR="00BA7556" w:rsidRDefault="00E725C1">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2B8B34D2" w14:textId="77777777" w:rsidR="00BA7556" w:rsidRDefault="00BA755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43FAD" w14:textId="77777777" w:rsidR="00D362A0" w:rsidRDefault="00D362A0">
      <w:r>
        <w:separator/>
      </w:r>
    </w:p>
  </w:footnote>
  <w:footnote w:type="continuationSeparator" w:id="0">
    <w:p w14:paraId="7AE499B6" w14:textId="77777777" w:rsidR="00D362A0" w:rsidRDefault="00D362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312D1E"/>
    <w:multiLevelType w:val="singleLevel"/>
    <w:tmpl w:val="8D7E84BE"/>
    <w:lvl w:ilvl="0">
      <w:start w:val="1"/>
      <w:numFmt w:val="chineseCounting"/>
      <w:suff w:val="nothing"/>
      <w:lvlText w:val="%1、"/>
      <w:lvlJc w:val="left"/>
      <w:rPr>
        <w:rFonts w:hint="eastAsia"/>
      </w:rPr>
    </w:lvl>
  </w:abstractNum>
  <w:abstractNum w:abstractNumId="1" w15:restartNumberingAfterBreak="0">
    <w:nsid w:val="7B9B4398"/>
    <w:multiLevelType w:val="hybridMultilevel"/>
    <w:tmpl w:val="0F20A9CE"/>
    <w:lvl w:ilvl="0" w:tplc="57AE22B0">
      <w:start w:val="1"/>
      <w:numFmt w:val="decimal"/>
      <w:suff w:val="nothing"/>
      <w:lvlText w:val="%1)"/>
      <w:lvlJc w:val="left"/>
      <w:pPr>
        <w:ind w:left="0" w:firstLine="567"/>
      </w:pPr>
      <w:rPr>
        <w:rFonts w:hint="eastAsia"/>
      </w:rPr>
    </w:lvl>
    <w:lvl w:ilvl="1" w:tplc="04090019">
      <w:start w:val="1"/>
      <w:numFmt w:val="lowerLetter"/>
      <w:lvlText w:val="%2)"/>
      <w:lvlJc w:val="left"/>
      <w:pPr>
        <w:ind w:left="880" w:hanging="440"/>
      </w:pPr>
    </w:lvl>
    <w:lvl w:ilvl="2" w:tplc="0409001B">
      <w:start w:val="1"/>
      <w:numFmt w:val="lowerRoman"/>
      <w:lvlText w:val="%3."/>
      <w:lvlJc w:val="right"/>
      <w:pPr>
        <w:ind w:left="1320" w:hanging="440"/>
      </w:pPr>
    </w:lvl>
    <w:lvl w:ilvl="3" w:tplc="0409000F">
      <w:start w:val="1"/>
      <w:numFmt w:val="decimal"/>
      <w:lvlText w:val="%4."/>
      <w:lvlJc w:val="left"/>
      <w:pPr>
        <w:ind w:left="1760" w:hanging="440"/>
      </w:pPr>
    </w:lvl>
    <w:lvl w:ilvl="4" w:tplc="04090019">
      <w:start w:val="1"/>
      <w:numFmt w:val="lowerLetter"/>
      <w:lvlText w:val="%5)"/>
      <w:lvlJc w:val="left"/>
      <w:pPr>
        <w:ind w:left="2200" w:hanging="440"/>
      </w:pPr>
    </w:lvl>
    <w:lvl w:ilvl="5" w:tplc="0409001B">
      <w:start w:val="1"/>
      <w:numFmt w:val="lowerRoman"/>
      <w:lvlText w:val="%6."/>
      <w:lvlJc w:val="right"/>
      <w:pPr>
        <w:ind w:left="2640" w:hanging="440"/>
      </w:pPr>
    </w:lvl>
    <w:lvl w:ilvl="6" w:tplc="0409000F">
      <w:start w:val="1"/>
      <w:numFmt w:val="decimal"/>
      <w:lvlText w:val="%7."/>
      <w:lvlJc w:val="left"/>
      <w:pPr>
        <w:ind w:left="3080" w:hanging="440"/>
      </w:pPr>
    </w:lvl>
    <w:lvl w:ilvl="7" w:tplc="04090019">
      <w:start w:val="1"/>
      <w:numFmt w:val="lowerLetter"/>
      <w:lvlText w:val="%8)"/>
      <w:lvlJc w:val="left"/>
      <w:pPr>
        <w:ind w:left="3520" w:hanging="440"/>
      </w:pPr>
    </w:lvl>
    <w:lvl w:ilvl="8" w:tplc="0409001B">
      <w:start w:val="1"/>
      <w:numFmt w:val="lowerRoman"/>
      <w:lvlText w:val="%9."/>
      <w:lvlJc w:val="right"/>
      <w:pPr>
        <w:ind w:left="3960" w:hanging="440"/>
      </w:pPr>
    </w:lvl>
  </w:abstractNum>
  <w:num w:numId="1">
    <w:abstractNumId w:val="0"/>
  </w:num>
  <w:num w:numId="2">
    <w:abstractNumId w:val="1"/>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7556"/>
    <w:rsid w:val="00012384"/>
    <w:rsid w:val="001B5797"/>
    <w:rsid w:val="003F3C54"/>
    <w:rsid w:val="00531A7B"/>
    <w:rsid w:val="00583026"/>
    <w:rsid w:val="00B05364"/>
    <w:rsid w:val="00BA7556"/>
    <w:rsid w:val="00BE69B7"/>
    <w:rsid w:val="00C47FC8"/>
    <w:rsid w:val="00D362A0"/>
    <w:rsid w:val="00D4121D"/>
    <w:rsid w:val="00DC6814"/>
    <w:rsid w:val="00E725C1"/>
    <w:rsid w:val="00EF7819"/>
    <w:rsid w:val="00F67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CBB082"/>
  <w15:docId w15:val="{4AF74CF1-5C3B-4200-A7C0-E9E82023F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uiPriority w:val="9"/>
    <w:unhideWhenUsed/>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rsid w:val="00D4121D"/>
    <w:pPr>
      <w:ind w:left="720"/>
      <w:contextualSpacing/>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23701">
      <w:bodyDiv w:val="1"/>
      <w:marLeft w:val="0"/>
      <w:marRight w:val="0"/>
      <w:marTop w:val="0"/>
      <w:marBottom w:val="0"/>
      <w:divBdr>
        <w:top w:val="none" w:sz="0" w:space="0" w:color="auto"/>
        <w:left w:val="none" w:sz="0" w:space="0" w:color="auto"/>
        <w:bottom w:val="none" w:sz="0" w:space="0" w:color="auto"/>
        <w:right w:val="none" w:sz="0" w:space="0" w:color="auto"/>
      </w:divBdr>
    </w:div>
    <w:div w:id="82342678">
      <w:bodyDiv w:val="1"/>
      <w:marLeft w:val="0"/>
      <w:marRight w:val="0"/>
      <w:marTop w:val="0"/>
      <w:marBottom w:val="0"/>
      <w:divBdr>
        <w:top w:val="none" w:sz="0" w:space="0" w:color="auto"/>
        <w:left w:val="none" w:sz="0" w:space="0" w:color="auto"/>
        <w:bottom w:val="none" w:sz="0" w:space="0" w:color="auto"/>
        <w:right w:val="none" w:sz="0" w:space="0" w:color="auto"/>
      </w:divBdr>
    </w:div>
    <w:div w:id="790051973">
      <w:bodyDiv w:val="1"/>
      <w:marLeft w:val="0"/>
      <w:marRight w:val="0"/>
      <w:marTop w:val="0"/>
      <w:marBottom w:val="0"/>
      <w:divBdr>
        <w:top w:val="none" w:sz="0" w:space="0" w:color="auto"/>
        <w:left w:val="none" w:sz="0" w:space="0" w:color="auto"/>
        <w:bottom w:val="none" w:sz="0" w:space="0" w:color="auto"/>
        <w:right w:val="none" w:sz="0" w:space="0" w:color="auto"/>
      </w:divBdr>
    </w:div>
    <w:div w:id="978143898">
      <w:bodyDiv w:val="1"/>
      <w:marLeft w:val="0"/>
      <w:marRight w:val="0"/>
      <w:marTop w:val="0"/>
      <w:marBottom w:val="0"/>
      <w:divBdr>
        <w:top w:val="none" w:sz="0" w:space="0" w:color="auto"/>
        <w:left w:val="none" w:sz="0" w:space="0" w:color="auto"/>
        <w:bottom w:val="none" w:sz="0" w:space="0" w:color="auto"/>
        <w:right w:val="none" w:sz="0" w:space="0" w:color="auto"/>
      </w:divBdr>
    </w:div>
    <w:div w:id="1008557365">
      <w:bodyDiv w:val="1"/>
      <w:marLeft w:val="0"/>
      <w:marRight w:val="0"/>
      <w:marTop w:val="0"/>
      <w:marBottom w:val="0"/>
      <w:divBdr>
        <w:top w:val="none" w:sz="0" w:space="0" w:color="auto"/>
        <w:left w:val="none" w:sz="0" w:space="0" w:color="auto"/>
        <w:bottom w:val="none" w:sz="0" w:space="0" w:color="auto"/>
        <w:right w:val="none" w:sz="0" w:space="0" w:color="auto"/>
      </w:divBdr>
    </w:div>
    <w:div w:id="1364790865">
      <w:bodyDiv w:val="1"/>
      <w:marLeft w:val="0"/>
      <w:marRight w:val="0"/>
      <w:marTop w:val="0"/>
      <w:marBottom w:val="0"/>
      <w:divBdr>
        <w:top w:val="none" w:sz="0" w:space="0" w:color="auto"/>
        <w:left w:val="none" w:sz="0" w:space="0" w:color="auto"/>
        <w:bottom w:val="none" w:sz="0" w:space="0" w:color="auto"/>
        <w:right w:val="none" w:sz="0" w:space="0" w:color="auto"/>
      </w:divBdr>
    </w:div>
    <w:div w:id="1994865425">
      <w:bodyDiv w:val="1"/>
      <w:marLeft w:val="0"/>
      <w:marRight w:val="0"/>
      <w:marTop w:val="0"/>
      <w:marBottom w:val="0"/>
      <w:divBdr>
        <w:top w:val="none" w:sz="0" w:space="0" w:color="auto"/>
        <w:left w:val="none" w:sz="0" w:space="0" w:color="auto"/>
        <w:bottom w:val="none" w:sz="0" w:space="0" w:color="auto"/>
        <w:right w:val="none" w:sz="0" w:space="0" w:color="auto"/>
      </w:divBdr>
    </w:div>
    <w:div w:id="2117014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BC78-4410-A24D-438AF3481FA0}"/>
              </c:ext>
            </c:extLst>
          </c:dPt>
          <c:dPt>
            <c:idx val="1"/>
            <c:bubble3D val="0"/>
            <c:extLst>
              <c:ext xmlns:c16="http://schemas.microsoft.com/office/drawing/2014/chart" uri="{C3380CC4-5D6E-409C-BE32-E72D297353CC}">
                <c16:uniqueId val="{00000001-BC78-4410-A24D-438AF3481FA0}"/>
              </c:ext>
            </c:extLst>
          </c:dPt>
          <c:dPt>
            <c:idx val="2"/>
            <c:bubble3D val="0"/>
            <c:extLst>
              <c:ext xmlns:c16="http://schemas.microsoft.com/office/drawing/2014/chart" uri="{C3380CC4-5D6E-409C-BE32-E72D297353CC}">
                <c16:uniqueId val="{00000002-BC78-4410-A24D-438AF3481FA0}"/>
              </c:ext>
            </c:extLst>
          </c:dPt>
          <c:dPt>
            <c:idx val="3"/>
            <c:bubble3D val="0"/>
            <c:extLst>
              <c:ext xmlns:c16="http://schemas.microsoft.com/office/drawing/2014/chart" uri="{C3380CC4-5D6E-409C-BE32-E72D297353CC}">
                <c16:uniqueId val="{00000003-BC78-4410-A24D-438AF3481FA0}"/>
              </c:ext>
            </c:extLst>
          </c:dPt>
          <c:dPt>
            <c:idx val="4"/>
            <c:bubble3D val="0"/>
            <c:extLst>
              <c:ext xmlns:c16="http://schemas.microsoft.com/office/drawing/2014/chart" uri="{C3380CC4-5D6E-409C-BE32-E72D297353CC}">
                <c16:uniqueId val="{00000004-BC78-4410-A24D-438AF3481FA0}"/>
              </c:ext>
            </c:extLst>
          </c:dPt>
          <c:dPt>
            <c:idx val="5"/>
            <c:bubble3D val="0"/>
            <c:extLst>
              <c:ext xmlns:c16="http://schemas.microsoft.com/office/drawing/2014/chart" uri="{C3380CC4-5D6E-409C-BE32-E72D297353CC}">
                <c16:uniqueId val="{00000005-BC78-4410-A24D-438AF3481FA0}"/>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6918.01</c:v>
                </c:pt>
                <c:pt idx="1">
                  <c:v>0</c:v>
                </c:pt>
                <c:pt idx="2">
                  <c:v>0</c:v>
                </c:pt>
                <c:pt idx="3">
                  <c:v>0</c:v>
                </c:pt>
                <c:pt idx="4">
                  <c:v>0</c:v>
                </c:pt>
                <c:pt idx="5">
                  <c:v>0</c:v>
                </c:pt>
              </c:numCache>
            </c:numRef>
          </c:val>
          <c:extLst>
            <c:ext xmlns:c16="http://schemas.microsoft.com/office/drawing/2014/chart" uri="{C3380CC4-5D6E-409C-BE32-E72D297353CC}">
              <c16:uniqueId val="{00000006-BC78-4410-A24D-438AF3481FA0}"/>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E65A-463F-B0DE-08EE25898DBE}"/>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E65A-463F-B0DE-08EE25898DBE}"/>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E65A-463F-B0DE-08EE25898DBE}"/>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E65A-463F-B0DE-08EE25898DBE}"/>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E65A-463F-B0DE-08EE25898DBE}"/>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E65A-463F-B0DE-08EE25898DBE}"/>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E65A-463F-B0DE-08EE25898DBE}"/>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6283.56</c:v>
                </c:pt>
                <c:pt idx="1">
                  <c:v>634.45000000000005</c:v>
                </c:pt>
                <c:pt idx="2">
                  <c:v>0</c:v>
                </c:pt>
                <c:pt idx="3">
                  <c:v>0</c:v>
                </c:pt>
                <c:pt idx="4">
                  <c:v>0</c:v>
                </c:pt>
              </c:numCache>
            </c:numRef>
          </c:val>
          <c:extLst>
            <c:ext xmlns:c16="http://schemas.microsoft.com/office/drawing/2014/chart" uri="{C3380CC4-5D6E-409C-BE32-E72D297353CC}">
              <c16:uniqueId val="{0000000A-E65A-463F-B0DE-08EE25898DBE}"/>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1"/>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14</Pages>
  <Words>789</Words>
  <Characters>4500</Characters>
  <Application>Microsoft Office Word</Application>
  <DocSecurity>0</DocSecurity>
  <Lines>37</Lines>
  <Paragraphs>10</Paragraphs>
  <ScaleCrop>false</ScaleCrop>
  <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29</cp:revision>
  <cp:lastPrinted>2025-08-25T08:04:00Z</cp:lastPrinted>
  <dcterms:created xsi:type="dcterms:W3CDTF">2017-07-11T15:16:00Z</dcterms:created>
  <dcterms:modified xsi:type="dcterms:W3CDTF">2025-08-27T09:58:00Z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c4fc38be0a7a4254bfc53fa845bad467_23</vt:lpwstr>
  </property>
  <property fmtid="{D5CDD505-2E9C-101B-9397-08002B2CF9AE}" pid="4" name="KSOTemplateDocerSaveRecord">
    <vt:lpwstr>eyJoZGlkIjoiMzFhMDlmODM4NDM3ZTUzZTJhOWRjZWIxNmVkMjQxNTMiLCJ1c2VySWQiOiIxMTQwMjc4MDE0In0=</vt:lpwstr>
  </property>
</Properties>
</file>