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AD67E8" w14:textId="77777777" w:rsidR="00C13A50" w:rsidRDefault="00C13A50">
      <w:pPr>
        <w:jc w:val="center"/>
        <w:rPr>
          <w:rFonts w:ascii="仿宋_GB2312" w:eastAsia="仿宋_GB2312"/>
          <w:b/>
          <w:sz w:val="32"/>
          <w:szCs w:val="32"/>
        </w:rPr>
      </w:pPr>
    </w:p>
    <w:p w14:paraId="7F77D68A" w14:textId="77777777" w:rsidR="00C13A50" w:rsidRDefault="00C13A50">
      <w:pPr>
        <w:jc w:val="center"/>
        <w:rPr>
          <w:rFonts w:ascii="黑体" w:eastAsia="黑体"/>
          <w:sz w:val="72"/>
          <w:szCs w:val="72"/>
        </w:rPr>
      </w:pPr>
    </w:p>
    <w:p w14:paraId="336E733B" w14:textId="77777777" w:rsidR="00C13A50" w:rsidRDefault="00C13A50">
      <w:pPr>
        <w:jc w:val="center"/>
        <w:rPr>
          <w:rFonts w:ascii="黑体" w:eastAsia="黑体"/>
          <w:sz w:val="72"/>
          <w:szCs w:val="72"/>
        </w:rPr>
      </w:pPr>
    </w:p>
    <w:p w14:paraId="2F476518" w14:textId="77777777" w:rsidR="00C13A50" w:rsidRDefault="00C13A50">
      <w:pPr>
        <w:jc w:val="center"/>
        <w:rPr>
          <w:rFonts w:ascii="黑体" w:eastAsia="黑体"/>
          <w:sz w:val="72"/>
          <w:szCs w:val="72"/>
        </w:rPr>
      </w:pPr>
    </w:p>
    <w:p w14:paraId="60FE0835" w14:textId="77777777" w:rsidR="00C13A50" w:rsidRDefault="00C13A50">
      <w:pPr>
        <w:jc w:val="center"/>
        <w:rPr>
          <w:rFonts w:ascii="黑体" w:eastAsia="黑体"/>
          <w:sz w:val="72"/>
          <w:szCs w:val="72"/>
        </w:rPr>
      </w:pPr>
    </w:p>
    <w:p w14:paraId="0C8DC5D4" w14:textId="77777777" w:rsidR="00C13A50" w:rsidRDefault="00000000">
      <w:pPr>
        <w:jc w:val="center"/>
        <w:rPr>
          <w:rFonts w:ascii="黑体" w:eastAsia="黑体"/>
          <w:sz w:val="72"/>
          <w:szCs w:val="72"/>
        </w:rPr>
      </w:pPr>
      <w:r>
        <w:rPr>
          <w:rFonts w:ascii="黑体" w:eastAsia="黑体" w:hint="eastAsia"/>
          <w:sz w:val="72"/>
          <w:szCs w:val="72"/>
        </w:rPr>
        <w:t>2024年度部门决算（公开</w:t>
      </w:r>
      <w:r>
        <w:rPr>
          <w:rFonts w:ascii="黑体" w:eastAsia="黑体"/>
          <w:sz w:val="72"/>
          <w:szCs w:val="72"/>
        </w:rPr>
        <w:t>）</w:t>
      </w:r>
    </w:p>
    <w:p w14:paraId="35EB110F" w14:textId="77777777" w:rsidR="00C13A50" w:rsidRDefault="00C13A50">
      <w:pPr>
        <w:jc w:val="center"/>
        <w:rPr>
          <w:rFonts w:ascii="黑体" w:eastAsia="黑体"/>
          <w:sz w:val="52"/>
          <w:szCs w:val="52"/>
        </w:rPr>
      </w:pPr>
    </w:p>
    <w:p w14:paraId="15FA4B63" w14:textId="77777777" w:rsidR="00C13A50" w:rsidRDefault="00C13A50">
      <w:pPr>
        <w:jc w:val="center"/>
        <w:rPr>
          <w:rFonts w:ascii="黑体" w:eastAsia="黑体"/>
          <w:sz w:val="52"/>
          <w:szCs w:val="52"/>
        </w:rPr>
      </w:pPr>
    </w:p>
    <w:p w14:paraId="3E2ACDC3" w14:textId="77777777" w:rsidR="00C13A50" w:rsidRDefault="00C13A50">
      <w:pPr>
        <w:jc w:val="center"/>
        <w:rPr>
          <w:rFonts w:ascii="黑体" w:eastAsia="黑体"/>
          <w:sz w:val="52"/>
          <w:szCs w:val="52"/>
        </w:rPr>
      </w:pPr>
    </w:p>
    <w:p w14:paraId="0B247F8B" w14:textId="77777777" w:rsidR="00C13A50" w:rsidRDefault="00C13A50">
      <w:pPr>
        <w:jc w:val="center"/>
        <w:rPr>
          <w:rFonts w:ascii="黑体" w:eastAsia="黑体"/>
          <w:sz w:val="52"/>
          <w:szCs w:val="52"/>
        </w:rPr>
      </w:pPr>
    </w:p>
    <w:p w14:paraId="123DB8D6" w14:textId="77777777" w:rsidR="00C13A50" w:rsidRDefault="00C13A50">
      <w:pPr>
        <w:jc w:val="center"/>
        <w:rPr>
          <w:rFonts w:ascii="黑体" w:eastAsia="黑体"/>
          <w:sz w:val="32"/>
          <w:szCs w:val="32"/>
        </w:rPr>
      </w:pPr>
    </w:p>
    <w:p w14:paraId="64E8AC34" w14:textId="77777777" w:rsidR="00C13A50" w:rsidRDefault="00000000">
      <w:pPr>
        <w:spacing w:line="500" w:lineRule="exact"/>
        <w:ind w:firstLine="645"/>
        <w:jc w:val="center"/>
        <w:rPr>
          <w:rFonts w:ascii="宋体" w:hAnsi="宋体" w:cs="宋体" w:hint="eastAsia"/>
          <w:b/>
          <w:bCs/>
          <w:kern w:val="0"/>
          <w:sz w:val="44"/>
          <w:szCs w:val="36"/>
        </w:rPr>
      </w:pPr>
      <w:r>
        <w:rPr>
          <w:rFonts w:ascii="宋体" w:hAnsi="宋体" w:cs="宋体" w:hint="eastAsia"/>
          <w:b/>
          <w:bCs/>
          <w:kern w:val="0"/>
          <w:sz w:val="44"/>
          <w:szCs w:val="36"/>
        </w:rPr>
        <w:lastRenderedPageBreak/>
        <w:t>目    录</w:t>
      </w:r>
    </w:p>
    <w:p w14:paraId="4D232526" w14:textId="77777777" w:rsidR="00C13A50" w:rsidRDefault="00C13A50">
      <w:pPr>
        <w:spacing w:line="500" w:lineRule="exact"/>
        <w:ind w:firstLine="645"/>
        <w:jc w:val="center"/>
        <w:rPr>
          <w:rFonts w:ascii="宋体" w:hAnsi="宋体" w:cs="宋体" w:hint="eastAsia"/>
          <w:b/>
          <w:bCs/>
          <w:kern w:val="0"/>
          <w:sz w:val="36"/>
          <w:szCs w:val="36"/>
        </w:rPr>
      </w:pPr>
    </w:p>
    <w:p w14:paraId="58550FF9" w14:textId="77777777" w:rsidR="00C13A50" w:rsidRDefault="00000000">
      <w:pPr>
        <w:tabs>
          <w:tab w:val="center" w:pos="6979"/>
        </w:tabs>
        <w:spacing w:line="500" w:lineRule="exact"/>
        <w:ind w:firstLineChars="400" w:firstLine="1600"/>
        <w:jc w:val="left"/>
        <w:rPr>
          <w:rFonts w:ascii="宋体" w:hAnsi="宋体" w:cs="宋体" w:hint="eastAsia"/>
          <w:bCs/>
          <w:spacing w:val="40"/>
          <w:kern w:val="0"/>
          <w:sz w:val="32"/>
          <w:szCs w:val="32"/>
        </w:rPr>
      </w:pPr>
      <w:r>
        <w:rPr>
          <w:rFonts w:ascii="宋体" w:hAnsi="宋体" w:cs="宋体" w:hint="eastAsia"/>
          <w:bCs/>
          <w:spacing w:val="40"/>
          <w:kern w:val="0"/>
          <w:sz w:val="32"/>
          <w:szCs w:val="32"/>
        </w:rPr>
        <w:t>第一部分 2024年度部门决算报表</w:t>
      </w:r>
    </w:p>
    <w:p w14:paraId="5252B63F" w14:textId="77777777" w:rsidR="00C13A50" w:rsidRDefault="00000000">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14:paraId="4A267337" w14:textId="77777777" w:rsidR="00C13A50" w:rsidRDefault="0000000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14:paraId="401EE723" w14:textId="77777777" w:rsidR="00C13A50" w:rsidRDefault="0000000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14:paraId="7C96019A" w14:textId="77777777" w:rsidR="00C13A50" w:rsidRDefault="0000000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14:paraId="21C8739F" w14:textId="77777777" w:rsidR="00C13A50" w:rsidRDefault="0000000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五、一般公共预算财政拨款支出决算表</w:t>
      </w:r>
    </w:p>
    <w:p w14:paraId="22086C36" w14:textId="77777777" w:rsidR="00C13A50" w:rsidRDefault="0000000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w:t>
      </w:r>
      <w:r>
        <w:rPr>
          <w:rFonts w:ascii="仿宋_GB2312" w:eastAsia="仿宋_GB2312" w:hAnsi="仿宋" w:cs="宋体"/>
          <w:bCs/>
          <w:spacing w:val="40"/>
          <w:kern w:val="0"/>
          <w:sz w:val="32"/>
          <w:szCs w:val="32"/>
        </w:rPr>
        <w:t>基本支出决算表</w:t>
      </w:r>
    </w:p>
    <w:p w14:paraId="382C181A" w14:textId="77777777" w:rsidR="00C13A50" w:rsidRDefault="0000000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14:paraId="0EA57809" w14:textId="77777777" w:rsidR="00C13A50" w:rsidRDefault="0000000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14:paraId="7CFABBE5" w14:textId="77777777" w:rsidR="00C13A50" w:rsidRDefault="0000000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九、国有资本经营预算财政拨款支出决算表</w:t>
      </w:r>
    </w:p>
    <w:p w14:paraId="3A073D19" w14:textId="77777777" w:rsidR="00C13A50" w:rsidRDefault="0000000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十、财政拨款“三公”经费支出决算表</w:t>
      </w:r>
    </w:p>
    <w:p w14:paraId="42BFBA21" w14:textId="77777777" w:rsidR="00C13A50" w:rsidRDefault="0000000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十一、政府采购情况表</w:t>
      </w:r>
    </w:p>
    <w:p w14:paraId="505459DB" w14:textId="77777777" w:rsidR="00C13A50" w:rsidRDefault="0000000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十二、政府购买服务决算公开情况表</w:t>
      </w:r>
    </w:p>
    <w:p w14:paraId="4F08068B" w14:textId="77777777" w:rsidR="00C13A50" w:rsidRDefault="00000000">
      <w:pPr>
        <w:tabs>
          <w:tab w:val="center" w:pos="6979"/>
        </w:tabs>
        <w:spacing w:line="500" w:lineRule="exact"/>
        <w:ind w:firstLineChars="400" w:firstLine="1600"/>
        <w:jc w:val="left"/>
        <w:rPr>
          <w:rFonts w:ascii="宋体" w:hAnsi="宋体" w:cs="宋体" w:hint="eastAsia"/>
          <w:bCs/>
          <w:spacing w:val="40"/>
          <w:kern w:val="0"/>
          <w:sz w:val="32"/>
          <w:szCs w:val="32"/>
        </w:rPr>
      </w:pPr>
      <w:r>
        <w:rPr>
          <w:rFonts w:ascii="宋体" w:hAnsi="宋体" w:cs="宋体" w:hint="eastAsia"/>
          <w:bCs/>
          <w:spacing w:val="40"/>
          <w:kern w:val="0"/>
          <w:sz w:val="32"/>
          <w:szCs w:val="32"/>
        </w:rPr>
        <w:t xml:space="preserve">第二部分 </w:t>
      </w:r>
      <w:r>
        <w:rPr>
          <w:rFonts w:ascii="宋体" w:hAnsi="宋体" w:hint="eastAsia"/>
          <w:spacing w:val="40"/>
          <w:sz w:val="32"/>
          <w:szCs w:val="32"/>
        </w:rPr>
        <w:t>2024年度部门决算说明</w:t>
      </w:r>
    </w:p>
    <w:p w14:paraId="01EFD020" w14:textId="77777777" w:rsidR="00C13A50" w:rsidRDefault="00000000">
      <w:pPr>
        <w:tabs>
          <w:tab w:val="center" w:pos="6979"/>
        </w:tabs>
        <w:spacing w:line="500" w:lineRule="exact"/>
        <w:ind w:firstLineChars="400" w:firstLine="1600"/>
        <w:jc w:val="left"/>
        <w:rPr>
          <w:rFonts w:ascii="宋体" w:hAnsi="宋体" w:cs="宋体" w:hint="eastAsia"/>
          <w:spacing w:val="40"/>
          <w:kern w:val="0"/>
          <w:sz w:val="32"/>
          <w:szCs w:val="32"/>
        </w:rPr>
      </w:pPr>
      <w:r>
        <w:rPr>
          <w:rFonts w:ascii="宋体" w:hAnsi="宋体" w:cs="宋体" w:hint="eastAsia"/>
          <w:bCs/>
          <w:spacing w:val="40"/>
          <w:kern w:val="0"/>
          <w:sz w:val="32"/>
          <w:szCs w:val="32"/>
        </w:rPr>
        <w:t xml:space="preserve">第三部分 </w:t>
      </w:r>
      <w:r>
        <w:rPr>
          <w:rFonts w:ascii="宋体" w:hAnsi="宋体" w:hint="eastAsia"/>
          <w:spacing w:val="40"/>
          <w:sz w:val="32"/>
          <w:szCs w:val="32"/>
        </w:rPr>
        <w:t>2024年度</w:t>
      </w:r>
      <w:r>
        <w:rPr>
          <w:rFonts w:ascii="宋体" w:hAnsi="宋体" w:cs="宋体" w:hint="eastAsia"/>
          <w:spacing w:val="40"/>
          <w:kern w:val="0"/>
          <w:sz w:val="32"/>
          <w:szCs w:val="32"/>
        </w:rPr>
        <w:t>其他重要事项的情况说明</w:t>
      </w:r>
    </w:p>
    <w:p w14:paraId="681015FE" w14:textId="77777777" w:rsidR="00C13A50" w:rsidRDefault="00000000">
      <w:pPr>
        <w:tabs>
          <w:tab w:val="center" w:pos="6979"/>
        </w:tabs>
        <w:spacing w:line="500" w:lineRule="exact"/>
        <w:ind w:firstLineChars="400" w:firstLine="1600"/>
        <w:jc w:val="left"/>
        <w:rPr>
          <w:rFonts w:ascii="宋体" w:hAnsi="宋体" w:cs="宋体" w:hint="eastAsia"/>
          <w:spacing w:val="40"/>
          <w:kern w:val="0"/>
          <w:sz w:val="36"/>
          <w:szCs w:val="32"/>
        </w:rPr>
      </w:pPr>
      <w:r>
        <w:rPr>
          <w:rFonts w:ascii="宋体" w:hAnsi="宋体" w:cs="宋体" w:hint="eastAsia"/>
          <w:spacing w:val="40"/>
          <w:kern w:val="0"/>
          <w:sz w:val="32"/>
          <w:szCs w:val="32"/>
        </w:rPr>
        <w:t>第四部分 2024年度部门绩效评价情况</w:t>
      </w:r>
    </w:p>
    <w:p w14:paraId="4C289E39" w14:textId="77777777" w:rsidR="00C13A50" w:rsidRDefault="00C13A50">
      <w:pPr>
        <w:tabs>
          <w:tab w:val="center" w:pos="6979"/>
        </w:tabs>
        <w:spacing w:beforeLines="50" w:before="156" w:afterLines="50" w:after="156"/>
        <w:jc w:val="center"/>
        <w:rPr>
          <w:rFonts w:ascii="宋体" w:hAnsi="宋体" w:cs="宋体" w:hint="eastAsia"/>
          <w:b/>
          <w:bCs/>
          <w:spacing w:val="40"/>
          <w:kern w:val="0"/>
          <w:sz w:val="32"/>
          <w:szCs w:val="32"/>
        </w:rPr>
      </w:pPr>
    </w:p>
    <w:p w14:paraId="4D4ABF3B" w14:textId="77777777" w:rsidR="00C13A50" w:rsidRDefault="00C13A50">
      <w:pPr>
        <w:tabs>
          <w:tab w:val="center" w:pos="6979"/>
        </w:tabs>
        <w:spacing w:beforeLines="50" w:before="156" w:afterLines="50" w:after="156"/>
        <w:jc w:val="center"/>
        <w:rPr>
          <w:rFonts w:ascii="宋体" w:hAnsi="宋体" w:cs="宋体" w:hint="eastAsia"/>
          <w:b/>
          <w:bCs/>
          <w:spacing w:val="40"/>
          <w:kern w:val="0"/>
          <w:sz w:val="32"/>
          <w:szCs w:val="32"/>
        </w:rPr>
      </w:pPr>
    </w:p>
    <w:p w14:paraId="4797220F" w14:textId="77777777" w:rsidR="00C13A50" w:rsidRDefault="00C13A50">
      <w:pPr>
        <w:tabs>
          <w:tab w:val="center" w:pos="6979"/>
        </w:tabs>
        <w:spacing w:beforeLines="50" w:before="156" w:afterLines="50" w:after="156"/>
        <w:jc w:val="center"/>
        <w:rPr>
          <w:rFonts w:ascii="宋体" w:hAnsi="宋体" w:cs="宋体" w:hint="eastAsia"/>
          <w:b/>
          <w:bCs/>
          <w:spacing w:val="40"/>
          <w:kern w:val="0"/>
          <w:sz w:val="32"/>
          <w:szCs w:val="32"/>
        </w:rPr>
      </w:pPr>
    </w:p>
    <w:p w14:paraId="0C027B4F" w14:textId="77777777" w:rsidR="00C13A50" w:rsidRDefault="00C13A50">
      <w:pPr>
        <w:tabs>
          <w:tab w:val="center" w:pos="6979"/>
        </w:tabs>
        <w:spacing w:beforeLines="50" w:before="156" w:afterLines="50" w:after="156"/>
        <w:jc w:val="center"/>
        <w:rPr>
          <w:rFonts w:ascii="宋体" w:hAnsi="宋体" w:cs="宋体" w:hint="eastAsia"/>
          <w:b/>
          <w:bCs/>
          <w:spacing w:val="40"/>
          <w:kern w:val="0"/>
          <w:sz w:val="32"/>
          <w:szCs w:val="32"/>
        </w:rPr>
      </w:pPr>
    </w:p>
    <w:p w14:paraId="564141B7" w14:textId="77777777" w:rsidR="00C13A50" w:rsidRDefault="00C13A50">
      <w:pPr>
        <w:tabs>
          <w:tab w:val="center" w:pos="6979"/>
        </w:tabs>
        <w:spacing w:beforeLines="50" w:before="156" w:afterLines="50" w:after="156"/>
        <w:jc w:val="center"/>
        <w:rPr>
          <w:rFonts w:ascii="宋体" w:hAnsi="宋体" w:cs="宋体" w:hint="eastAsia"/>
          <w:b/>
          <w:bCs/>
          <w:spacing w:val="40"/>
          <w:kern w:val="0"/>
          <w:sz w:val="32"/>
          <w:szCs w:val="32"/>
        </w:rPr>
      </w:pPr>
    </w:p>
    <w:p w14:paraId="2082F647" w14:textId="77777777" w:rsidR="00C13A50" w:rsidRDefault="00000000">
      <w:pPr>
        <w:tabs>
          <w:tab w:val="center" w:pos="6979"/>
        </w:tabs>
        <w:spacing w:beforeLines="50" w:before="156" w:afterLines="50" w:after="156"/>
        <w:jc w:val="center"/>
        <w:rPr>
          <w:rFonts w:ascii="宋体" w:hAnsi="宋体" w:cs="宋体" w:hint="eastAsia"/>
          <w:b/>
          <w:bCs/>
          <w:spacing w:val="40"/>
          <w:kern w:val="0"/>
          <w:sz w:val="32"/>
          <w:szCs w:val="32"/>
        </w:rPr>
      </w:pPr>
      <w:r>
        <w:rPr>
          <w:rFonts w:ascii="宋体" w:hAnsi="宋体" w:cs="宋体" w:hint="eastAsia"/>
          <w:b/>
          <w:bCs/>
          <w:spacing w:val="40"/>
          <w:kern w:val="0"/>
          <w:sz w:val="44"/>
          <w:szCs w:val="44"/>
        </w:rPr>
        <w:t>第一部分 2024年度部门决算报表</w:t>
      </w:r>
    </w:p>
    <w:p w14:paraId="5B2ED1BD" w14:textId="77777777" w:rsidR="00C13A50" w:rsidRDefault="00000000">
      <w:pPr>
        <w:pStyle w:val="2"/>
        <w:rPr>
          <w:b w:val="0"/>
          <w:bCs w:val="0"/>
        </w:rPr>
        <w:sectPr w:rsidR="00C13A50">
          <w:footerReference w:type="default" r:id="rId7"/>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14:paraId="2E313899" w14:textId="77777777" w:rsidR="00C13A50" w:rsidRDefault="00000000">
      <w:pPr>
        <w:tabs>
          <w:tab w:val="center" w:pos="6979"/>
        </w:tabs>
        <w:spacing w:beforeLines="50" w:before="156" w:afterLines="50" w:after="156"/>
        <w:jc w:val="center"/>
        <w:rPr>
          <w:rFonts w:ascii="宋体" w:hAnsi="宋体" w:hint="eastAsia"/>
          <w:b/>
          <w:sz w:val="32"/>
          <w:szCs w:val="32"/>
        </w:rPr>
      </w:pPr>
      <w:r>
        <w:rPr>
          <w:rFonts w:ascii="宋体" w:hAnsi="宋体" w:cs="宋体" w:hint="eastAsia"/>
          <w:b/>
          <w:bCs/>
          <w:spacing w:val="40"/>
          <w:kern w:val="0"/>
          <w:sz w:val="32"/>
          <w:szCs w:val="32"/>
        </w:rPr>
        <w:lastRenderedPageBreak/>
        <w:t xml:space="preserve">第二部分 </w:t>
      </w:r>
      <w:r>
        <w:rPr>
          <w:rFonts w:ascii="宋体" w:hAnsi="宋体" w:hint="eastAsia"/>
          <w:b/>
          <w:spacing w:val="40"/>
          <w:sz w:val="32"/>
          <w:szCs w:val="32"/>
        </w:rPr>
        <w:t>2024年度部门决算说明</w:t>
      </w:r>
    </w:p>
    <w:p w14:paraId="3154FF81" w14:textId="40E05C8D" w:rsidR="00C13A50" w:rsidRDefault="00000000">
      <w:pPr>
        <w:tabs>
          <w:tab w:val="center" w:pos="6979"/>
        </w:tabs>
        <w:spacing w:line="580" w:lineRule="exact"/>
        <w:ind w:firstLineChars="196" w:firstLine="551"/>
        <w:rPr>
          <w:rFonts w:ascii="黑体" w:eastAsiaTheme="minorEastAsia"/>
          <w:b/>
          <w:sz w:val="28"/>
          <w:szCs w:val="28"/>
        </w:rPr>
      </w:pPr>
      <w:r>
        <w:rPr>
          <w:rFonts w:ascii="黑体" w:eastAsia="黑体" w:hint="eastAsia"/>
          <w:b/>
          <w:sz w:val="28"/>
          <w:szCs w:val="28"/>
        </w:rPr>
        <w:t>一、单位基本情况</w:t>
      </w:r>
    </w:p>
    <w:p w14:paraId="24DABB00" w14:textId="77777777" w:rsidR="00C13A50" w:rsidRDefault="00000000" w:rsidP="00270178">
      <w:pPr>
        <w:tabs>
          <w:tab w:val="center" w:pos="6979"/>
        </w:tabs>
        <w:spacing w:line="580" w:lineRule="exact"/>
        <w:ind w:firstLineChars="350" w:firstLine="980"/>
        <w:rPr>
          <w:rFonts w:ascii="仿宋_GB2312" w:eastAsia="仿宋_GB2312"/>
          <w:sz w:val="28"/>
          <w:szCs w:val="28"/>
        </w:rPr>
      </w:pPr>
      <w:r>
        <w:rPr>
          <w:rFonts w:ascii="仿宋_GB2312" w:eastAsia="仿宋_GB2312" w:hint="eastAsia"/>
          <w:sz w:val="28"/>
          <w:szCs w:val="28"/>
        </w:rPr>
        <w:t>机构</w:t>
      </w:r>
      <w:r>
        <w:rPr>
          <w:rFonts w:ascii="仿宋_GB2312" w:eastAsia="仿宋_GB2312"/>
          <w:sz w:val="28"/>
          <w:szCs w:val="28"/>
        </w:rPr>
        <w:t>设置、</w:t>
      </w:r>
      <w:r>
        <w:rPr>
          <w:rFonts w:ascii="仿宋_GB2312" w:eastAsia="仿宋_GB2312" w:hint="eastAsia"/>
          <w:sz w:val="28"/>
          <w:szCs w:val="28"/>
        </w:rPr>
        <w:t>职责</w:t>
      </w:r>
    </w:p>
    <w:p w14:paraId="7644BF3F" w14:textId="5558734C" w:rsidR="00C13A50" w:rsidRPr="00270178" w:rsidRDefault="00000000">
      <w:pPr>
        <w:snapToGrid w:val="0"/>
        <w:spacing w:line="520" w:lineRule="exact"/>
        <w:ind w:firstLineChars="200" w:firstLine="560"/>
        <w:rPr>
          <w:rFonts w:ascii="仿宋_GB2312" w:eastAsia="仿宋_GB2312"/>
          <w:sz w:val="28"/>
          <w:szCs w:val="28"/>
        </w:rPr>
      </w:pPr>
      <w:r>
        <w:rPr>
          <w:rFonts w:ascii="仿宋_GB2312" w:eastAsia="仿宋_GB2312" w:hint="eastAsia"/>
          <w:sz w:val="28"/>
          <w:szCs w:val="28"/>
        </w:rPr>
        <w:t xml:space="preserve"> </w:t>
      </w:r>
      <w:r w:rsidR="00270178">
        <w:rPr>
          <w:rFonts w:ascii="仿宋_GB2312" w:eastAsia="仿宋_GB2312" w:hint="eastAsia"/>
          <w:sz w:val="28"/>
          <w:szCs w:val="28"/>
        </w:rPr>
        <w:t xml:space="preserve"> </w:t>
      </w:r>
      <w:r w:rsidRPr="00270178">
        <w:rPr>
          <w:rFonts w:ascii="仿宋_GB2312" w:eastAsia="仿宋_GB2312" w:hint="eastAsia"/>
          <w:sz w:val="28"/>
          <w:szCs w:val="28"/>
        </w:rPr>
        <w:t>北京市西城区华</w:t>
      </w:r>
      <w:proofErr w:type="gramStart"/>
      <w:r w:rsidRPr="00270178">
        <w:rPr>
          <w:rFonts w:ascii="仿宋_GB2312" w:eastAsia="仿宋_GB2312" w:hint="eastAsia"/>
          <w:sz w:val="28"/>
          <w:szCs w:val="28"/>
        </w:rPr>
        <w:t>嘉小学</w:t>
      </w:r>
      <w:proofErr w:type="gramEnd"/>
      <w:r w:rsidRPr="00270178">
        <w:rPr>
          <w:rFonts w:ascii="仿宋_GB2312" w:eastAsia="仿宋_GB2312" w:hint="eastAsia"/>
          <w:sz w:val="28"/>
          <w:szCs w:val="28"/>
        </w:rPr>
        <w:t>是公办九年义务教育完全小学。属于公益一类事业单位，实施小学义务教育。</w:t>
      </w:r>
    </w:p>
    <w:p w14:paraId="4669C255" w14:textId="61B78B28" w:rsidR="00C13A50" w:rsidRPr="00270178" w:rsidRDefault="00000000" w:rsidP="00270178">
      <w:pPr>
        <w:snapToGrid w:val="0"/>
        <w:spacing w:line="520" w:lineRule="exact"/>
        <w:ind w:firstLineChars="300" w:firstLine="840"/>
        <w:rPr>
          <w:rFonts w:ascii="仿宋_GB2312" w:eastAsia="仿宋_GB2312"/>
          <w:sz w:val="28"/>
          <w:szCs w:val="28"/>
        </w:rPr>
      </w:pPr>
      <w:r w:rsidRPr="00270178">
        <w:rPr>
          <w:rFonts w:ascii="仿宋_GB2312" w:eastAsia="仿宋_GB2312" w:hint="eastAsia"/>
          <w:sz w:val="28"/>
          <w:szCs w:val="28"/>
        </w:rPr>
        <w:t>我校是独立核算、全额财政拨款事业单位，无下属单位。</w:t>
      </w:r>
    </w:p>
    <w:p w14:paraId="625106D3" w14:textId="77777777" w:rsidR="00C13A50" w:rsidRDefault="00000000">
      <w:pPr>
        <w:tabs>
          <w:tab w:val="center" w:pos="6979"/>
        </w:tabs>
        <w:spacing w:line="580" w:lineRule="exact"/>
        <w:rPr>
          <w:rFonts w:ascii="黑体" w:eastAsia="黑体"/>
          <w:b/>
          <w:sz w:val="28"/>
          <w:szCs w:val="28"/>
        </w:rPr>
      </w:pPr>
      <w:r>
        <w:rPr>
          <w:rFonts w:ascii="仿宋_GB2312" w:eastAsia="仿宋_GB2312" w:hint="eastAsia"/>
          <w:b/>
          <w:sz w:val="32"/>
          <w:szCs w:val="32"/>
        </w:rPr>
        <w:t xml:space="preserve">   </w:t>
      </w:r>
      <w:r>
        <w:rPr>
          <w:rFonts w:ascii="黑体" w:eastAsia="黑体" w:hint="eastAsia"/>
          <w:b/>
          <w:sz w:val="28"/>
          <w:szCs w:val="28"/>
        </w:rPr>
        <w:t>二、收入支出决算总体情况说明</w:t>
      </w:r>
    </w:p>
    <w:p w14:paraId="597FC596" w14:textId="77777777" w:rsidR="00C13A50"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3434.46</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165.04万元，增长5.05%。</w:t>
      </w:r>
    </w:p>
    <w:p w14:paraId="15CBEBC7" w14:textId="77777777" w:rsidR="00C13A50"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14:paraId="4B20F46E" w14:textId="77777777" w:rsidR="00C13A50"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2024年度本年收入合计</w:t>
      </w:r>
      <w:r>
        <w:rPr>
          <w:rFonts w:ascii="仿宋_GB2312" w:eastAsia="仿宋_GB2312"/>
          <w:sz w:val="28"/>
          <w:szCs w:val="28"/>
        </w:rPr>
        <w:t>3434.46</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179.20万元，增长5.50%。</w:t>
      </w:r>
    </w:p>
    <w:p w14:paraId="4A4DF035" w14:textId="77777777" w:rsidR="00C13A50"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1.财政拨款收入</w:t>
      </w:r>
      <w:r>
        <w:rPr>
          <w:rFonts w:ascii="仿宋_GB2312" w:eastAsia="仿宋_GB2312"/>
          <w:sz w:val="28"/>
          <w:szCs w:val="28"/>
        </w:rPr>
        <w:t>3434.46</w:t>
      </w:r>
      <w:r>
        <w:rPr>
          <w:rFonts w:ascii="仿宋_GB2312" w:eastAsia="仿宋_GB2312" w:hint="eastAsia"/>
          <w:sz w:val="28"/>
          <w:szCs w:val="28"/>
        </w:rPr>
        <w:t>万元，占收入合计的100%。其中：一般公共预算财政拨款收入</w:t>
      </w:r>
      <w:r>
        <w:rPr>
          <w:rFonts w:ascii="仿宋_GB2312" w:eastAsia="仿宋_GB2312"/>
          <w:sz w:val="28"/>
          <w:szCs w:val="28"/>
        </w:rPr>
        <w:t>3432.46</w:t>
      </w:r>
      <w:r>
        <w:rPr>
          <w:rFonts w:ascii="仿宋_GB2312" w:eastAsia="仿宋_GB2312" w:hint="eastAsia"/>
          <w:sz w:val="28"/>
          <w:szCs w:val="28"/>
        </w:rPr>
        <w:t>万元，占收入合计的99.94%；政府性基金预算财政拨款收入</w:t>
      </w:r>
      <w:r>
        <w:rPr>
          <w:rFonts w:ascii="仿宋_GB2312" w:eastAsia="仿宋_GB2312"/>
          <w:sz w:val="28"/>
          <w:szCs w:val="28"/>
        </w:rPr>
        <w:t>2</w:t>
      </w:r>
      <w:r>
        <w:rPr>
          <w:rFonts w:ascii="仿宋_GB2312" w:eastAsia="仿宋_GB2312" w:hint="eastAsia"/>
          <w:sz w:val="28"/>
          <w:szCs w:val="28"/>
        </w:rPr>
        <w:t>万元，占收入合计的0.06%；国有资本经营预算财政拨款收入</w:t>
      </w:r>
      <w:r>
        <w:rPr>
          <w:rFonts w:ascii="仿宋_GB2312" w:eastAsia="仿宋_GB2312"/>
          <w:sz w:val="28"/>
          <w:szCs w:val="28"/>
        </w:rPr>
        <w:t>0</w:t>
      </w:r>
      <w:r>
        <w:rPr>
          <w:rFonts w:ascii="仿宋_GB2312" w:eastAsia="仿宋_GB2312" w:hint="eastAsia"/>
          <w:sz w:val="28"/>
          <w:szCs w:val="28"/>
        </w:rPr>
        <w:t>万元，占收入合计的0%；</w:t>
      </w:r>
    </w:p>
    <w:p w14:paraId="2B050FB3" w14:textId="77777777" w:rsidR="00C13A50"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2.上级补助收入</w:t>
      </w:r>
      <w:r>
        <w:rPr>
          <w:rFonts w:ascii="仿宋_GB2312" w:eastAsia="仿宋_GB2312"/>
          <w:sz w:val="28"/>
          <w:szCs w:val="28"/>
        </w:rPr>
        <w:t>0</w:t>
      </w:r>
      <w:r>
        <w:rPr>
          <w:rFonts w:ascii="仿宋_GB2312" w:eastAsia="仿宋_GB2312" w:hint="eastAsia"/>
          <w:sz w:val="28"/>
          <w:szCs w:val="28"/>
        </w:rPr>
        <w:t>万元，占收入合计的0%；</w:t>
      </w:r>
    </w:p>
    <w:p w14:paraId="7C3815D3" w14:textId="77777777" w:rsidR="00C13A50"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3.事业收入</w:t>
      </w:r>
      <w:r>
        <w:rPr>
          <w:rFonts w:ascii="仿宋_GB2312" w:eastAsia="仿宋_GB2312"/>
          <w:sz w:val="28"/>
          <w:szCs w:val="28"/>
        </w:rPr>
        <w:t>0</w:t>
      </w:r>
      <w:r>
        <w:rPr>
          <w:rFonts w:ascii="仿宋_GB2312" w:eastAsia="仿宋_GB2312" w:hint="eastAsia"/>
          <w:sz w:val="28"/>
          <w:szCs w:val="28"/>
        </w:rPr>
        <w:t>万元，占收入合计的0%；</w:t>
      </w:r>
    </w:p>
    <w:p w14:paraId="0EAA2AA7" w14:textId="77777777" w:rsidR="00C13A50"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4.经营收入</w:t>
      </w:r>
      <w:r>
        <w:rPr>
          <w:rFonts w:ascii="仿宋_GB2312" w:eastAsia="仿宋_GB2312"/>
          <w:sz w:val="28"/>
          <w:szCs w:val="28"/>
        </w:rPr>
        <w:t>0</w:t>
      </w:r>
      <w:r>
        <w:rPr>
          <w:rFonts w:ascii="仿宋_GB2312" w:eastAsia="仿宋_GB2312" w:hint="eastAsia"/>
          <w:sz w:val="28"/>
          <w:szCs w:val="28"/>
        </w:rPr>
        <w:t>万元，占收入合计的0%；</w:t>
      </w:r>
    </w:p>
    <w:p w14:paraId="31330AD5" w14:textId="77777777" w:rsidR="00C13A50"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5.附属单位上缴收入</w:t>
      </w:r>
      <w:r>
        <w:rPr>
          <w:rFonts w:ascii="仿宋_GB2312" w:eastAsia="仿宋_GB2312"/>
          <w:sz w:val="28"/>
          <w:szCs w:val="28"/>
        </w:rPr>
        <w:t>0</w:t>
      </w:r>
      <w:r>
        <w:rPr>
          <w:rFonts w:ascii="仿宋_GB2312" w:eastAsia="仿宋_GB2312" w:hint="eastAsia"/>
          <w:sz w:val="28"/>
          <w:szCs w:val="28"/>
        </w:rPr>
        <w:t>万元，占收入合计的0%；</w:t>
      </w:r>
    </w:p>
    <w:p w14:paraId="0E334FC5" w14:textId="77777777" w:rsidR="00C13A50"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6.其他收入</w:t>
      </w:r>
      <w:r>
        <w:rPr>
          <w:rFonts w:ascii="仿宋_GB2312" w:eastAsia="仿宋_GB2312"/>
          <w:sz w:val="28"/>
          <w:szCs w:val="28"/>
        </w:rPr>
        <w:t>0</w:t>
      </w:r>
      <w:r>
        <w:rPr>
          <w:rFonts w:ascii="仿宋_GB2312" w:eastAsia="仿宋_GB2312" w:hint="eastAsia"/>
          <w:sz w:val="28"/>
          <w:szCs w:val="28"/>
        </w:rPr>
        <w:t>万元，占收入合计的0%。</w:t>
      </w:r>
    </w:p>
    <w:p w14:paraId="6187E97E" w14:textId="77777777" w:rsidR="00C13A50" w:rsidRDefault="00000000">
      <w:pPr>
        <w:pStyle w:val="2"/>
        <w:jc w:val="center"/>
      </w:pPr>
      <w:r>
        <w:rPr>
          <w:rFonts w:ascii="仿宋_GB2312" w:eastAsia="仿宋_GB2312" w:hint="eastAsia"/>
          <w:color w:val="000000"/>
          <w:sz w:val="32"/>
        </w:rPr>
        <w:t>图1：收入决算</w:t>
      </w:r>
    </w:p>
    <w:p w14:paraId="36157811" w14:textId="77777777" w:rsidR="00C13A50" w:rsidRDefault="00000000">
      <w:pPr>
        <w:pStyle w:val="a3"/>
        <w:ind w:firstLine="420"/>
        <w:jc w:val="center"/>
      </w:pPr>
      <w:r>
        <w:rPr>
          <w:noProof/>
        </w:rPr>
        <w:drawing>
          <wp:inline distT="0" distB="0" distL="0" distR="0" wp14:anchorId="329ED868" wp14:editId="12E0CE86">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70ABF03A" w14:textId="77777777" w:rsidR="00C13A50"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14:paraId="0F2BC8ED" w14:textId="77777777" w:rsidR="00C13A50"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2024年度本年支出合计</w:t>
      </w:r>
      <w:r>
        <w:rPr>
          <w:rFonts w:ascii="仿宋_GB2312" w:eastAsia="仿宋_GB2312"/>
          <w:sz w:val="28"/>
          <w:szCs w:val="28"/>
        </w:rPr>
        <w:t>3434.46</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165.04万元，增长5.05%，其中：基本支出</w:t>
      </w:r>
      <w:r>
        <w:rPr>
          <w:rFonts w:ascii="仿宋_GB2312" w:eastAsia="仿宋_GB2312"/>
          <w:sz w:val="28"/>
          <w:szCs w:val="28"/>
        </w:rPr>
        <w:t>3169.04</w:t>
      </w:r>
      <w:r>
        <w:rPr>
          <w:rFonts w:ascii="仿宋_GB2312" w:eastAsia="仿宋_GB2312" w:hint="eastAsia"/>
          <w:sz w:val="28"/>
          <w:szCs w:val="28"/>
        </w:rPr>
        <w:t>万元，占支出合计的92.27%；项目支出</w:t>
      </w:r>
      <w:r>
        <w:rPr>
          <w:rFonts w:ascii="仿宋_GB2312" w:eastAsia="仿宋_GB2312"/>
          <w:sz w:val="28"/>
          <w:szCs w:val="28"/>
        </w:rPr>
        <w:t>265.42</w:t>
      </w:r>
      <w:r>
        <w:rPr>
          <w:rFonts w:ascii="仿宋_GB2312" w:eastAsia="仿宋_GB2312" w:hint="eastAsia"/>
          <w:sz w:val="28"/>
          <w:szCs w:val="28"/>
        </w:rPr>
        <w:t>万元，占支出合计的7.73%;上缴上级支出</w:t>
      </w:r>
      <w:r>
        <w:rPr>
          <w:rFonts w:ascii="仿宋_GB2312" w:eastAsia="仿宋_GB2312"/>
          <w:sz w:val="28"/>
          <w:szCs w:val="28"/>
        </w:rPr>
        <w:t>0</w:t>
      </w:r>
      <w:r>
        <w:rPr>
          <w:rFonts w:ascii="仿宋_GB2312" w:eastAsia="仿宋_GB2312" w:hint="eastAsia"/>
          <w:sz w:val="28"/>
          <w:szCs w:val="28"/>
        </w:rPr>
        <w:t>万元，占支出合计的0%；经营支出</w:t>
      </w:r>
      <w:r>
        <w:rPr>
          <w:rFonts w:ascii="仿宋_GB2312" w:eastAsia="仿宋_GB2312"/>
          <w:sz w:val="28"/>
          <w:szCs w:val="28"/>
        </w:rPr>
        <w:t>0</w:t>
      </w:r>
      <w:r>
        <w:rPr>
          <w:rFonts w:ascii="仿宋_GB2312" w:eastAsia="仿宋_GB2312" w:hint="eastAsia"/>
          <w:sz w:val="28"/>
          <w:szCs w:val="28"/>
        </w:rPr>
        <w:t>万元，占支出合计的0%；对附属单位补助支出</w:t>
      </w:r>
      <w:r>
        <w:rPr>
          <w:rFonts w:ascii="仿宋_GB2312" w:eastAsia="仿宋_GB2312"/>
          <w:sz w:val="28"/>
          <w:szCs w:val="28"/>
        </w:rPr>
        <w:t>0</w:t>
      </w:r>
      <w:r>
        <w:rPr>
          <w:rFonts w:ascii="仿宋_GB2312" w:eastAsia="仿宋_GB2312" w:hint="eastAsia"/>
          <w:sz w:val="28"/>
          <w:szCs w:val="28"/>
        </w:rPr>
        <w:t>万元，占支出合计的0%。</w:t>
      </w:r>
    </w:p>
    <w:p w14:paraId="1DC7D649" w14:textId="77777777" w:rsidR="00C13A50" w:rsidRDefault="00000000">
      <w:pPr>
        <w:pStyle w:val="2"/>
        <w:ind w:firstLine="642"/>
        <w:jc w:val="center"/>
        <w:rPr>
          <w:rFonts w:ascii="仿宋_GB2312" w:eastAsia="仿宋_GB2312"/>
          <w:color w:val="000000"/>
          <w:sz w:val="32"/>
        </w:rPr>
      </w:pPr>
      <w:r>
        <w:rPr>
          <w:rFonts w:ascii="仿宋_GB2312" w:eastAsia="仿宋_GB2312" w:hint="eastAsia"/>
          <w:color w:val="000000"/>
          <w:sz w:val="32"/>
        </w:rPr>
        <w:lastRenderedPageBreak/>
        <w:t>图2：基本支出和项目支出情况</w:t>
      </w:r>
    </w:p>
    <w:p w14:paraId="16746C1D" w14:textId="77777777" w:rsidR="00C13A50" w:rsidRDefault="00000000">
      <w:pPr>
        <w:jc w:val="center"/>
        <w:rPr>
          <w:rFonts w:ascii="黑体" w:eastAsia="黑体"/>
          <w:b/>
          <w:sz w:val="28"/>
          <w:szCs w:val="28"/>
        </w:rPr>
      </w:pPr>
      <w:r>
        <w:rPr>
          <w:noProof/>
        </w:rPr>
        <w:drawing>
          <wp:inline distT="0" distB="0" distL="114300" distR="114300" wp14:anchorId="555F9BC2" wp14:editId="4FE73A57">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0B6453DA" w14:textId="77777777" w:rsidR="00C13A50" w:rsidRDefault="00000000">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14:paraId="22F19855" w14:textId="77777777" w:rsidR="00C13A50"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3434.46</w:t>
      </w:r>
      <w:r>
        <w:rPr>
          <w:rFonts w:ascii="仿宋_GB2312" w:eastAsia="仿宋_GB2312" w:hint="eastAsia"/>
          <w:sz w:val="28"/>
          <w:szCs w:val="28"/>
        </w:rPr>
        <w:t>万元，比上年</w:t>
      </w:r>
      <w:r>
        <w:rPr>
          <w:rFonts w:ascii="仿宋_GB2312" w:eastAsia="仿宋_GB2312"/>
          <w:sz w:val="28"/>
          <w:szCs w:val="28"/>
        </w:rPr>
        <w:t>增加</w:t>
      </w:r>
      <w:r>
        <w:rPr>
          <w:rFonts w:ascii="仿宋_GB2312" w:eastAsia="仿宋_GB2312" w:hint="eastAsia"/>
          <w:sz w:val="28"/>
          <w:szCs w:val="28"/>
        </w:rPr>
        <w:t>179.20万元，增长5.50%。主要原因：</w:t>
      </w:r>
      <w:bookmarkStart w:id="0" w:name="OLE_LINK1"/>
      <w:bookmarkStart w:id="1" w:name="OLE_LINK2"/>
      <w:r w:rsidRPr="00270178">
        <w:rPr>
          <w:rFonts w:ascii="仿宋_GB2312" w:eastAsia="仿宋_GB2312" w:hint="eastAsia"/>
          <w:sz w:val="28"/>
          <w:szCs w:val="28"/>
        </w:rPr>
        <w:t>我校2024年教师人数增加、学生人数增加，小而</w:t>
      </w:r>
      <w:proofErr w:type="gramStart"/>
      <w:r w:rsidRPr="00270178">
        <w:rPr>
          <w:rFonts w:ascii="仿宋_GB2312" w:eastAsia="仿宋_GB2312" w:hint="eastAsia"/>
          <w:sz w:val="28"/>
          <w:szCs w:val="28"/>
        </w:rPr>
        <w:t>美项目</w:t>
      </w:r>
      <w:proofErr w:type="gramEnd"/>
      <w:r w:rsidRPr="00270178">
        <w:rPr>
          <w:rFonts w:ascii="仿宋_GB2312" w:eastAsia="仿宋_GB2312" w:hint="eastAsia"/>
          <w:sz w:val="28"/>
          <w:szCs w:val="28"/>
        </w:rPr>
        <w:t>的实施，相关设施购置费用增加</w:t>
      </w:r>
      <w:r>
        <w:rPr>
          <w:rFonts w:ascii="仿宋_GB2312" w:eastAsia="仿宋_GB2312" w:hint="eastAsia"/>
          <w:sz w:val="28"/>
          <w:szCs w:val="28"/>
        </w:rPr>
        <w:t>。</w:t>
      </w:r>
      <w:bookmarkEnd w:id="0"/>
      <w:bookmarkEnd w:id="1"/>
    </w:p>
    <w:p w14:paraId="296DA8F5" w14:textId="77777777" w:rsidR="00C13A50" w:rsidRDefault="00000000">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14:paraId="6EF77BB1" w14:textId="77777777" w:rsidR="00C13A50" w:rsidRDefault="0000000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14:paraId="27513A73" w14:textId="77777777" w:rsidR="00C13A50"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2024年度一般公共预算财政拨款支出</w:t>
      </w:r>
      <w:r>
        <w:rPr>
          <w:rFonts w:ascii="仿宋_GB2312" w:eastAsia="仿宋_GB2312"/>
          <w:sz w:val="28"/>
          <w:szCs w:val="28"/>
        </w:rPr>
        <w:t>3432.46</w:t>
      </w:r>
      <w:r>
        <w:rPr>
          <w:rFonts w:ascii="仿宋_GB2312" w:eastAsia="仿宋_GB2312" w:hint="eastAsia"/>
          <w:sz w:val="28"/>
          <w:szCs w:val="28"/>
        </w:rPr>
        <w:t>万元，主要用于以下方面（按大类）：一般公共服务支出3432.46万元，占本年财政拨款支出100%。其中</w:t>
      </w:r>
      <w:r>
        <w:rPr>
          <w:rFonts w:ascii="仿宋_GB2312" w:eastAsia="仿宋_GB2312"/>
          <w:sz w:val="28"/>
          <w:szCs w:val="28"/>
        </w:rPr>
        <w:t>教育支出2122.81</w:t>
      </w:r>
      <w:r>
        <w:rPr>
          <w:rFonts w:ascii="仿宋_GB2312" w:eastAsia="仿宋_GB2312" w:hint="eastAsia"/>
          <w:sz w:val="28"/>
          <w:szCs w:val="28"/>
        </w:rPr>
        <w:t>万元，占本年财政拨款支出</w:t>
      </w:r>
      <w:r>
        <w:rPr>
          <w:rFonts w:ascii="仿宋_GB2312" w:eastAsia="仿宋_GB2312"/>
          <w:sz w:val="28"/>
          <w:szCs w:val="28"/>
        </w:rPr>
        <w:t>61.85</w:t>
      </w:r>
      <w:r>
        <w:rPr>
          <w:rFonts w:ascii="仿宋_GB2312" w:eastAsia="仿宋_GB2312" w:hint="eastAsia"/>
          <w:sz w:val="28"/>
          <w:szCs w:val="28"/>
        </w:rPr>
        <w:t>%；社会保障和就业支出</w:t>
      </w:r>
      <w:r>
        <w:rPr>
          <w:rFonts w:ascii="仿宋_GB2312" w:eastAsia="仿宋_GB2312"/>
          <w:sz w:val="28"/>
          <w:szCs w:val="28"/>
        </w:rPr>
        <w:t>738.19</w:t>
      </w:r>
      <w:r>
        <w:rPr>
          <w:rFonts w:ascii="仿宋_GB2312" w:eastAsia="仿宋_GB2312" w:hint="eastAsia"/>
          <w:sz w:val="28"/>
          <w:szCs w:val="28"/>
        </w:rPr>
        <w:lastRenderedPageBreak/>
        <w:t>万元，占本年财政拨款支出</w:t>
      </w:r>
      <w:r>
        <w:rPr>
          <w:rFonts w:ascii="仿宋_GB2312" w:eastAsia="仿宋_GB2312"/>
          <w:sz w:val="28"/>
          <w:szCs w:val="28"/>
        </w:rPr>
        <w:t>21.51</w:t>
      </w:r>
      <w:r>
        <w:rPr>
          <w:rFonts w:ascii="仿宋_GB2312" w:eastAsia="仿宋_GB2312" w:hint="eastAsia"/>
          <w:sz w:val="28"/>
          <w:szCs w:val="28"/>
        </w:rPr>
        <w:t>%；卫生健康支出</w:t>
      </w:r>
      <w:r>
        <w:rPr>
          <w:rFonts w:ascii="仿宋_GB2312" w:eastAsia="仿宋_GB2312"/>
          <w:sz w:val="28"/>
          <w:szCs w:val="28"/>
        </w:rPr>
        <w:t>193.76</w:t>
      </w:r>
      <w:r>
        <w:rPr>
          <w:rFonts w:ascii="仿宋_GB2312" w:eastAsia="仿宋_GB2312" w:hint="eastAsia"/>
          <w:sz w:val="28"/>
          <w:szCs w:val="28"/>
        </w:rPr>
        <w:t>万元，占本年财政拨款支出</w:t>
      </w:r>
      <w:r>
        <w:rPr>
          <w:rFonts w:ascii="仿宋_GB2312" w:eastAsia="仿宋_GB2312"/>
          <w:sz w:val="28"/>
          <w:szCs w:val="28"/>
        </w:rPr>
        <w:t>5.65</w:t>
      </w:r>
      <w:r>
        <w:rPr>
          <w:rFonts w:ascii="仿宋_GB2312" w:eastAsia="仿宋_GB2312" w:hint="eastAsia"/>
          <w:sz w:val="28"/>
          <w:szCs w:val="28"/>
        </w:rPr>
        <w:t>%；住房保障支出</w:t>
      </w:r>
      <w:r>
        <w:rPr>
          <w:rFonts w:ascii="仿宋_GB2312" w:eastAsia="仿宋_GB2312"/>
          <w:sz w:val="28"/>
          <w:szCs w:val="28"/>
        </w:rPr>
        <w:t>377.70</w:t>
      </w:r>
      <w:r>
        <w:rPr>
          <w:rFonts w:ascii="仿宋_GB2312" w:eastAsia="仿宋_GB2312" w:hint="eastAsia"/>
          <w:sz w:val="28"/>
          <w:szCs w:val="28"/>
        </w:rPr>
        <w:t>万元，占本年财政拨款支出</w:t>
      </w:r>
      <w:r>
        <w:rPr>
          <w:rFonts w:ascii="仿宋_GB2312" w:eastAsia="仿宋_GB2312"/>
          <w:sz w:val="28"/>
          <w:szCs w:val="28"/>
        </w:rPr>
        <w:t>11.00</w:t>
      </w:r>
      <w:r>
        <w:rPr>
          <w:rFonts w:ascii="仿宋_GB2312" w:eastAsia="仿宋_GB2312" w:hint="eastAsia"/>
          <w:sz w:val="28"/>
          <w:szCs w:val="28"/>
        </w:rPr>
        <w:t>%。</w:t>
      </w:r>
    </w:p>
    <w:p w14:paraId="723C1F12" w14:textId="77777777" w:rsidR="00C13A50" w:rsidRDefault="0000000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（二）一般公共预算财政拨款支出决算具体情况</w:t>
      </w:r>
    </w:p>
    <w:p w14:paraId="0780F8D1" w14:textId="77777777" w:rsidR="00C13A50" w:rsidRDefault="00000000" w:rsidP="00270178">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1、“一般公共服务支出”（类）2024年度年初预算</w:t>
      </w:r>
      <w:r>
        <w:rPr>
          <w:rFonts w:ascii="仿宋_GB2312" w:eastAsia="仿宋_GB2312"/>
          <w:sz w:val="28"/>
          <w:szCs w:val="28"/>
        </w:rPr>
        <w:t>3157.88</w:t>
      </w:r>
      <w:r>
        <w:rPr>
          <w:rFonts w:ascii="仿宋_GB2312" w:eastAsia="仿宋_GB2312" w:hint="eastAsia"/>
          <w:sz w:val="28"/>
          <w:szCs w:val="28"/>
        </w:rPr>
        <w:t>万元，2024年度决算</w:t>
      </w:r>
      <w:r>
        <w:rPr>
          <w:rFonts w:ascii="仿宋_GB2312" w:eastAsia="仿宋_GB2312"/>
          <w:sz w:val="28"/>
          <w:szCs w:val="28"/>
        </w:rPr>
        <w:t>3432.46</w:t>
      </w:r>
      <w:r>
        <w:rPr>
          <w:rFonts w:ascii="仿宋_GB2312" w:eastAsia="仿宋_GB2312" w:hint="eastAsia"/>
          <w:sz w:val="28"/>
          <w:szCs w:val="28"/>
        </w:rPr>
        <w:t>万元，完成年初预算的10</w:t>
      </w:r>
      <w:r>
        <w:rPr>
          <w:rFonts w:ascii="仿宋_GB2312" w:eastAsia="仿宋_GB2312"/>
          <w:sz w:val="28"/>
          <w:szCs w:val="28"/>
        </w:rPr>
        <w:t>9</w:t>
      </w:r>
      <w:r>
        <w:rPr>
          <w:rFonts w:ascii="仿宋_GB2312" w:eastAsia="仿宋_GB2312" w:hint="eastAsia"/>
          <w:sz w:val="28"/>
          <w:szCs w:val="28"/>
        </w:rPr>
        <w:t>%。其中：</w:t>
      </w:r>
    </w:p>
    <w:p w14:paraId="79D62664" w14:textId="77777777" w:rsidR="00C13A50"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“教育支出”（款，下同）2024年度年初预算</w:t>
      </w:r>
      <w:r>
        <w:rPr>
          <w:rFonts w:ascii="仿宋_GB2312" w:eastAsia="仿宋_GB2312"/>
          <w:sz w:val="28"/>
          <w:szCs w:val="28"/>
        </w:rPr>
        <w:t>2075.89</w:t>
      </w:r>
      <w:r>
        <w:rPr>
          <w:rFonts w:ascii="仿宋_GB2312" w:eastAsia="仿宋_GB2312" w:hint="eastAsia"/>
          <w:sz w:val="28"/>
          <w:szCs w:val="28"/>
        </w:rPr>
        <w:t>万元，2024年度决算</w:t>
      </w:r>
      <w:r>
        <w:rPr>
          <w:rFonts w:ascii="仿宋_GB2312" w:eastAsia="仿宋_GB2312"/>
          <w:sz w:val="28"/>
          <w:szCs w:val="28"/>
        </w:rPr>
        <w:t>2122.81</w:t>
      </w:r>
      <w:r>
        <w:rPr>
          <w:rFonts w:ascii="仿宋_GB2312" w:eastAsia="仿宋_GB2312" w:hint="eastAsia"/>
          <w:sz w:val="28"/>
          <w:szCs w:val="28"/>
        </w:rPr>
        <w:t>万元，完成年初预算的</w:t>
      </w:r>
      <w:r>
        <w:rPr>
          <w:rFonts w:ascii="仿宋_GB2312" w:eastAsia="仿宋_GB2312"/>
          <w:sz w:val="28"/>
          <w:szCs w:val="28"/>
        </w:rPr>
        <w:t>102.26</w:t>
      </w:r>
      <w:r>
        <w:rPr>
          <w:rFonts w:ascii="仿宋_GB2312" w:eastAsia="仿宋_GB2312" w:hint="eastAsia"/>
          <w:sz w:val="28"/>
          <w:szCs w:val="28"/>
        </w:rPr>
        <w:t>%。主要原因：</w:t>
      </w:r>
      <w:r w:rsidRPr="00270178">
        <w:rPr>
          <w:rFonts w:ascii="仿宋_GB2312" w:eastAsia="仿宋_GB2312" w:hint="eastAsia"/>
          <w:sz w:val="28"/>
          <w:szCs w:val="28"/>
        </w:rPr>
        <w:t>我校2024年教师人数增加、学生人数增加，小而</w:t>
      </w:r>
      <w:proofErr w:type="gramStart"/>
      <w:r w:rsidRPr="00270178">
        <w:rPr>
          <w:rFonts w:ascii="仿宋_GB2312" w:eastAsia="仿宋_GB2312" w:hint="eastAsia"/>
          <w:sz w:val="28"/>
          <w:szCs w:val="28"/>
        </w:rPr>
        <w:t>美项目</w:t>
      </w:r>
      <w:proofErr w:type="gramEnd"/>
      <w:r w:rsidRPr="00270178">
        <w:rPr>
          <w:rFonts w:ascii="仿宋_GB2312" w:eastAsia="仿宋_GB2312" w:hint="eastAsia"/>
          <w:sz w:val="28"/>
          <w:szCs w:val="28"/>
        </w:rPr>
        <w:t>的实施，相关设施购置费用增加</w:t>
      </w:r>
      <w:r>
        <w:rPr>
          <w:rFonts w:ascii="仿宋_GB2312" w:eastAsia="仿宋_GB2312" w:hint="eastAsia"/>
          <w:sz w:val="28"/>
          <w:szCs w:val="28"/>
        </w:rPr>
        <w:t>。</w:t>
      </w:r>
    </w:p>
    <w:p w14:paraId="278BBA93" w14:textId="77777777" w:rsidR="00C13A50" w:rsidRDefault="00000000">
      <w:pPr>
        <w:spacing w:line="580" w:lineRule="exact"/>
        <w:ind w:firstLineChars="200" w:firstLine="560"/>
        <w:rPr>
          <w:rFonts w:ascii="仿宋_GB2312" w:eastAsia="仿宋_GB2312"/>
          <w:sz w:val="28"/>
          <w:szCs w:val="28"/>
        </w:rPr>
      </w:pPr>
      <w:r>
        <w:rPr>
          <w:rFonts w:ascii="仿宋_GB2312" w:eastAsia="仿宋_GB2312" w:hint="eastAsia"/>
          <w:sz w:val="28"/>
          <w:szCs w:val="28"/>
        </w:rPr>
        <w:t>“社会保障和就业支出”（款，下同）2024年度年初预算</w:t>
      </w:r>
      <w:r>
        <w:rPr>
          <w:rFonts w:ascii="仿宋_GB2312" w:eastAsia="仿宋_GB2312"/>
          <w:sz w:val="28"/>
          <w:szCs w:val="28"/>
        </w:rPr>
        <w:t>528.34</w:t>
      </w:r>
      <w:r>
        <w:rPr>
          <w:rFonts w:ascii="仿宋_GB2312" w:eastAsia="仿宋_GB2312" w:hint="eastAsia"/>
          <w:sz w:val="28"/>
          <w:szCs w:val="28"/>
        </w:rPr>
        <w:t>万元，2024年度决算</w:t>
      </w:r>
      <w:r>
        <w:rPr>
          <w:rFonts w:ascii="仿宋_GB2312" w:eastAsia="仿宋_GB2312"/>
          <w:sz w:val="28"/>
          <w:szCs w:val="28"/>
        </w:rPr>
        <w:t>738.19</w:t>
      </w:r>
      <w:r>
        <w:rPr>
          <w:rFonts w:ascii="仿宋_GB2312" w:eastAsia="仿宋_GB2312" w:hint="eastAsia"/>
          <w:sz w:val="28"/>
          <w:szCs w:val="28"/>
        </w:rPr>
        <w:t>万元，完成年初预算的</w:t>
      </w:r>
      <w:r>
        <w:rPr>
          <w:rFonts w:ascii="仿宋_GB2312" w:eastAsia="仿宋_GB2312"/>
          <w:sz w:val="28"/>
          <w:szCs w:val="28"/>
        </w:rPr>
        <w:t>139.72</w:t>
      </w:r>
      <w:r>
        <w:rPr>
          <w:rFonts w:ascii="仿宋_GB2312" w:eastAsia="仿宋_GB2312" w:hint="eastAsia"/>
          <w:sz w:val="28"/>
          <w:szCs w:val="28"/>
        </w:rPr>
        <w:t>%。主要原因：有退休人员去世，</w:t>
      </w:r>
      <w:r>
        <w:rPr>
          <w:rFonts w:ascii="仿宋_GB2312" w:eastAsia="仿宋_GB2312"/>
          <w:sz w:val="28"/>
          <w:szCs w:val="28"/>
        </w:rPr>
        <w:t>增加了抚恤金支出</w:t>
      </w:r>
      <w:r>
        <w:rPr>
          <w:rFonts w:ascii="仿宋_GB2312" w:eastAsia="仿宋_GB2312" w:hint="eastAsia"/>
          <w:sz w:val="28"/>
          <w:szCs w:val="28"/>
        </w:rPr>
        <w:t>。</w:t>
      </w:r>
    </w:p>
    <w:p w14:paraId="368150C6" w14:textId="77777777" w:rsidR="00C13A50" w:rsidRDefault="00000000">
      <w:pPr>
        <w:spacing w:line="580" w:lineRule="exact"/>
        <w:ind w:firstLineChars="200" w:firstLine="560"/>
        <w:rPr>
          <w:rFonts w:ascii="仿宋_GB2312" w:eastAsia="仿宋_GB2312"/>
          <w:sz w:val="28"/>
          <w:szCs w:val="28"/>
        </w:rPr>
      </w:pPr>
      <w:r>
        <w:rPr>
          <w:rFonts w:ascii="仿宋_GB2312" w:eastAsia="仿宋_GB2312" w:hint="eastAsia"/>
          <w:sz w:val="28"/>
          <w:szCs w:val="28"/>
        </w:rPr>
        <w:t>“</w:t>
      </w:r>
      <w:bookmarkStart w:id="2" w:name="OLE_LINK5"/>
      <w:bookmarkStart w:id="3" w:name="OLE_LINK4"/>
      <w:r>
        <w:rPr>
          <w:rFonts w:ascii="仿宋_GB2312" w:eastAsia="仿宋_GB2312" w:hint="eastAsia"/>
          <w:sz w:val="28"/>
          <w:szCs w:val="28"/>
        </w:rPr>
        <w:t>卫生健康支出</w:t>
      </w:r>
      <w:bookmarkEnd w:id="2"/>
      <w:bookmarkEnd w:id="3"/>
      <w:r>
        <w:rPr>
          <w:rFonts w:ascii="仿宋_GB2312" w:eastAsia="仿宋_GB2312" w:hint="eastAsia"/>
          <w:sz w:val="28"/>
          <w:szCs w:val="28"/>
        </w:rPr>
        <w:t>”（款，下同）2024年度年初预算</w:t>
      </w:r>
      <w:r>
        <w:rPr>
          <w:rFonts w:ascii="仿宋_GB2312" w:eastAsia="仿宋_GB2312"/>
          <w:sz w:val="28"/>
          <w:szCs w:val="28"/>
        </w:rPr>
        <w:t>189.72</w:t>
      </w:r>
      <w:r>
        <w:rPr>
          <w:rFonts w:ascii="仿宋_GB2312" w:eastAsia="仿宋_GB2312" w:hint="eastAsia"/>
          <w:sz w:val="28"/>
          <w:szCs w:val="28"/>
        </w:rPr>
        <w:t>万元，2024年度决算</w:t>
      </w:r>
      <w:r>
        <w:rPr>
          <w:rFonts w:ascii="仿宋_GB2312" w:eastAsia="仿宋_GB2312"/>
          <w:sz w:val="28"/>
          <w:szCs w:val="28"/>
        </w:rPr>
        <w:t>193.76</w:t>
      </w:r>
      <w:r>
        <w:rPr>
          <w:rFonts w:ascii="仿宋_GB2312" w:eastAsia="仿宋_GB2312" w:hint="eastAsia"/>
          <w:sz w:val="28"/>
          <w:szCs w:val="28"/>
        </w:rPr>
        <w:t>万元，完成年初预算的</w:t>
      </w:r>
      <w:r>
        <w:rPr>
          <w:rFonts w:ascii="仿宋_GB2312" w:eastAsia="仿宋_GB2312"/>
          <w:sz w:val="28"/>
          <w:szCs w:val="28"/>
        </w:rPr>
        <w:t>102.13</w:t>
      </w:r>
      <w:r>
        <w:rPr>
          <w:rFonts w:ascii="仿宋_GB2312" w:eastAsia="仿宋_GB2312" w:hint="eastAsia"/>
          <w:sz w:val="28"/>
          <w:szCs w:val="28"/>
        </w:rPr>
        <w:t>%。主要原因：社保调整</w:t>
      </w:r>
      <w:proofErr w:type="gramStart"/>
      <w:r>
        <w:rPr>
          <w:rFonts w:ascii="仿宋_GB2312" w:eastAsia="仿宋_GB2312" w:hint="eastAsia"/>
          <w:sz w:val="28"/>
          <w:szCs w:val="28"/>
        </w:rPr>
        <w:t>医</w:t>
      </w:r>
      <w:proofErr w:type="gramEnd"/>
      <w:r>
        <w:rPr>
          <w:rFonts w:ascii="仿宋_GB2312" w:eastAsia="仿宋_GB2312" w:hint="eastAsia"/>
          <w:sz w:val="28"/>
          <w:szCs w:val="28"/>
        </w:rPr>
        <w:t>保基数</w:t>
      </w:r>
      <w:r>
        <w:rPr>
          <w:rFonts w:ascii="仿宋_GB2312" w:eastAsia="仿宋_GB2312"/>
          <w:sz w:val="28"/>
          <w:szCs w:val="28"/>
        </w:rPr>
        <w:t>导致人员支出增加</w:t>
      </w:r>
      <w:r>
        <w:rPr>
          <w:rFonts w:ascii="仿宋_GB2312" w:eastAsia="仿宋_GB2312" w:hint="eastAsia"/>
          <w:sz w:val="28"/>
          <w:szCs w:val="28"/>
        </w:rPr>
        <w:t>。</w:t>
      </w:r>
    </w:p>
    <w:p w14:paraId="1A049EB0" w14:textId="77777777" w:rsidR="00C13A50" w:rsidRPr="00270178" w:rsidRDefault="0000000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“住房保障支出”（款，下同）2024年度年初预算</w:t>
      </w:r>
      <w:r>
        <w:rPr>
          <w:rFonts w:ascii="仿宋_GB2312" w:eastAsia="仿宋_GB2312"/>
          <w:sz w:val="28"/>
          <w:szCs w:val="28"/>
        </w:rPr>
        <w:t>363.93</w:t>
      </w:r>
      <w:r>
        <w:rPr>
          <w:rFonts w:ascii="仿宋_GB2312" w:eastAsia="仿宋_GB2312" w:hint="eastAsia"/>
          <w:sz w:val="28"/>
          <w:szCs w:val="28"/>
        </w:rPr>
        <w:t>万元，2024年度决算</w:t>
      </w:r>
      <w:r>
        <w:rPr>
          <w:rFonts w:ascii="仿宋_GB2312" w:eastAsia="仿宋_GB2312"/>
          <w:sz w:val="28"/>
          <w:szCs w:val="28"/>
        </w:rPr>
        <w:t>377.7</w:t>
      </w:r>
      <w:r>
        <w:rPr>
          <w:rFonts w:ascii="仿宋_GB2312" w:eastAsia="仿宋_GB2312" w:hint="eastAsia"/>
          <w:sz w:val="28"/>
          <w:szCs w:val="28"/>
        </w:rPr>
        <w:t>万元，完成年初预算的</w:t>
      </w:r>
      <w:r>
        <w:rPr>
          <w:rFonts w:ascii="仿宋_GB2312" w:eastAsia="仿宋_GB2312"/>
          <w:sz w:val="28"/>
          <w:szCs w:val="28"/>
        </w:rPr>
        <w:t>103.78</w:t>
      </w:r>
      <w:r>
        <w:rPr>
          <w:rFonts w:ascii="仿宋_GB2312" w:eastAsia="仿宋_GB2312" w:hint="eastAsia"/>
          <w:sz w:val="28"/>
          <w:szCs w:val="28"/>
        </w:rPr>
        <w:t>%。主要原因：公积金调整基数</w:t>
      </w:r>
      <w:r>
        <w:rPr>
          <w:rFonts w:ascii="仿宋_GB2312" w:eastAsia="仿宋_GB2312"/>
          <w:sz w:val="28"/>
          <w:szCs w:val="28"/>
        </w:rPr>
        <w:t>导致人员支出增加</w:t>
      </w:r>
      <w:r>
        <w:rPr>
          <w:rFonts w:ascii="仿宋_GB2312" w:eastAsia="仿宋_GB2312" w:hint="eastAsia"/>
          <w:sz w:val="28"/>
          <w:szCs w:val="28"/>
        </w:rPr>
        <w:t>。</w:t>
      </w:r>
    </w:p>
    <w:p w14:paraId="3E4888D9" w14:textId="77777777" w:rsidR="00C13A50" w:rsidRDefault="00000000">
      <w:pPr>
        <w:spacing w:line="580" w:lineRule="exact"/>
        <w:ind w:firstLineChars="200" w:firstLine="562"/>
        <w:rPr>
          <w:rFonts w:ascii="仿宋_GB2312" w:eastAsia="仿宋_GB2312"/>
          <w:sz w:val="28"/>
          <w:szCs w:val="28"/>
        </w:rPr>
      </w:pPr>
      <w:r>
        <w:rPr>
          <w:rFonts w:ascii="黑体" w:eastAsia="黑体" w:hint="eastAsia"/>
          <w:b/>
          <w:sz w:val="28"/>
          <w:szCs w:val="28"/>
        </w:rPr>
        <w:t>五、政府性基金预算财政拨款支出决算情况说明</w:t>
      </w:r>
    </w:p>
    <w:p w14:paraId="7FB6CE89" w14:textId="77777777" w:rsidR="00C13A50" w:rsidRDefault="0000000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（一）政府性基金预算财政拨款支出决算总体情况</w:t>
      </w:r>
    </w:p>
    <w:p w14:paraId="231E5894" w14:textId="77777777" w:rsidR="00C13A50"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2024年度政府性基金预算财政拨款支出</w:t>
      </w:r>
      <w:r>
        <w:rPr>
          <w:rFonts w:ascii="仿宋_GB2312" w:eastAsia="仿宋_GB2312"/>
          <w:sz w:val="28"/>
          <w:szCs w:val="28"/>
        </w:rPr>
        <w:t>2</w:t>
      </w:r>
      <w:r>
        <w:rPr>
          <w:rFonts w:ascii="仿宋_GB2312" w:eastAsia="仿宋_GB2312" w:hint="eastAsia"/>
          <w:sz w:val="28"/>
          <w:szCs w:val="28"/>
        </w:rPr>
        <w:t>万元，主要用于以下方面（按大类）：其他支出2万元，占本年财政拨款</w:t>
      </w:r>
      <w:r>
        <w:rPr>
          <w:rFonts w:ascii="仿宋_GB2312" w:eastAsia="仿宋_GB2312" w:hint="eastAsia"/>
          <w:sz w:val="28"/>
          <w:szCs w:val="28"/>
        </w:rPr>
        <w:lastRenderedPageBreak/>
        <w:t>支出100%。</w:t>
      </w:r>
    </w:p>
    <w:p w14:paraId="5E38F484" w14:textId="77777777" w:rsidR="00C13A50" w:rsidRDefault="0000000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（二）政府性基金预算财政拨款支出决算具体情况</w:t>
      </w:r>
    </w:p>
    <w:p w14:paraId="4A09421F" w14:textId="77777777" w:rsidR="00C13A50" w:rsidRDefault="00000000">
      <w:pPr>
        <w:autoSpaceDE w:val="0"/>
        <w:autoSpaceDN w:val="0"/>
        <w:adjustRightInd w:val="0"/>
        <w:spacing w:line="580" w:lineRule="exact"/>
        <w:ind w:firstLineChars="250" w:firstLine="700"/>
        <w:jc w:val="left"/>
        <w:rPr>
          <w:rFonts w:ascii="仿宋_GB2312" w:eastAsia="仿宋_GB2312"/>
          <w:sz w:val="28"/>
          <w:szCs w:val="28"/>
        </w:rPr>
      </w:pPr>
      <w:r>
        <w:rPr>
          <w:rFonts w:ascii="仿宋_GB2312" w:eastAsia="仿宋_GB2312" w:hint="eastAsia"/>
          <w:sz w:val="28"/>
          <w:szCs w:val="28"/>
        </w:rPr>
        <w:t>1、“其他支出”（类，下同）2024年度年初预算2万元，2024年度决算2万元，完成年初预算的100%。其中：</w:t>
      </w:r>
    </w:p>
    <w:p w14:paraId="603A74C1" w14:textId="77777777" w:rsidR="00C13A50" w:rsidRDefault="00000000">
      <w:pPr>
        <w:spacing w:line="580" w:lineRule="exact"/>
        <w:ind w:firstLineChars="200" w:firstLine="560"/>
        <w:rPr>
          <w:rFonts w:ascii="仿宋_GB2312" w:eastAsiaTheme="minorEastAsia"/>
          <w:sz w:val="28"/>
          <w:szCs w:val="28"/>
        </w:rPr>
      </w:pPr>
      <w:r>
        <w:rPr>
          <w:rFonts w:ascii="仿宋_GB2312" w:eastAsia="仿宋_GB2312" w:hint="eastAsia"/>
          <w:sz w:val="28"/>
          <w:szCs w:val="28"/>
        </w:rPr>
        <w:t>“彩票公益金安排的支出” （款，下同）2024年度年初预算2万元，2024年度决算2万元，完成年初预算的100%。主要原因：按时保质保量完成。</w:t>
      </w:r>
    </w:p>
    <w:p w14:paraId="3D9DF39E" w14:textId="77777777" w:rsidR="00C13A50" w:rsidRDefault="00000000">
      <w:pPr>
        <w:spacing w:line="58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14:paraId="6F97D6A0" w14:textId="4EE80ABA" w:rsidR="00C13A50" w:rsidRDefault="00000000">
      <w:pPr>
        <w:spacing w:line="580" w:lineRule="exact"/>
        <w:ind w:firstLineChars="200" w:firstLine="560"/>
        <w:rPr>
          <w:rFonts w:ascii="仿宋_GB2312" w:eastAsia="仿宋_GB2312"/>
          <w:sz w:val="28"/>
          <w:szCs w:val="28"/>
        </w:rPr>
      </w:pPr>
      <w:r>
        <w:rPr>
          <w:rFonts w:ascii="仿宋_GB2312" w:eastAsia="仿宋_GB2312" w:hint="eastAsia"/>
          <w:sz w:val="28"/>
          <w:szCs w:val="28"/>
        </w:rPr>
        <w:t>本单位无此项经费</w:t>
      </w:r>
      <w:r w:rsidR="00FB4917">
        <w:rPr>
          <w:rFonts w:ascii="仿宋_GB2312" w:eastAsia="仿宋_GB2312" w:hint="eastAsia"/>
          <w:sz w:val="28"/>
          <w:szCs w:val="28"/>
        </w:rPr>
        <w:t>。</w:t>
      </w:r>
    </w:p>
    <w:p w14:paraId="2F11BD59" w14:textId="77777777" w:rsidR="00C13A50" w:rsidRDefault="00000000">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14:paraId="5699D7AC" w14:textId="77777777" w:rsidR="00C13A50" w:rsidRDefault="00000000">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t>2024年度使用一般公共预算财政拨款安排基本支出</w:t>
      </w:r>
      <w:r>
        <w:rPr>
          <w:rFonts w:ascii="仿宋_GB2312" w:eastAsia="仿宋_GB2312"/>
          <w:sz w:val="28"/>
          <w:szCs w:val="28"/>
        </w:rPr>
        <w:t>3169.04</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万元，（1）工资福利支出包括基本工资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；（3）对个人和家庭补助支出包括</w:t>
      </w:r>
      <w:r>
        <w:rPr>
          <w:rFonts w:ascii="仿宋_GB2312" w:eastAsia="仿宋_GB2312"/>
          <w:sz w:val="28"/>
          <w:szCs w:val="28"/>
        </w:rPr>
        <w:t>离休费、退休费、抚恤金、生活补助、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。（4）其他资本性支出包括</w:t>
      </w:r>
      <w:r>
        <w:rPr>
          <w:rFonts w:ascii="仿宋_GB2312" w:eastAsia="仿宋_GB2312"/>
          <w:sz w:val="28"/>
          <w:szCs w:val="28"/>
        </w:rPr>
        <w:t>办公设备购置、专用设备购置</w:t>
      </w:r>
      <w:r>
        <w:rPr>
          <w:rFonts w:ascii="仿宋_GB2312" w:eastAsia="仿宋_GB2312" w:hint="eastAsia"/>
          <w:sz w:val="28"/>
          <w:szCs w:val="28"/>
        </w:rPr>
        <w:t>等</w:t>
      </w:r>
      <w:r>
        <w:rPr>
          <w:rFonts w:ascii="仿宋_GB2312" w:eastAsia="仿宋_GB2312"/>
          <w:sz w:val="28"/>
          <w:szCs w:val="28"/>
        </w:rPr>
        <w:t>。</w:t>
      </w:r>
    </w:p>
    <w:p w14:paraId="66F3C13E" w14:textId="77777777" w:rsidR="00C13A50" w:rsidRDefault="00000000">
      <w:pPr>
        <w:autoSpaceDE w:val="0"/>
        <w:autoSpaceDN w:val="0"/>
        <w:adjustRightInd w:val="0"/>
        <w:spacing w:line="580" w:lineRule="exact"/>
        <w:rPr>
          <w:rFonts w:ascii="宋体" w:hAnsi="宋体" w:hint="eastAsia"/>
          <w:b/>
          <w:spacing w:val="40"/>
          <w:sz w:val="32"/>
          <w:szCs w:val="32"/>
        </w:rPr>
      </w:pPr>
      <w:r>
        <w:rPr>
          <w:rFonts w:ascii="仿宋_GB2312" w:eastAsia="仿宋_GB2312"/>
          <w:b/>
          <w:sz w:val="32"/>
          <w:szCs w:val="32"/>
        </w:rPr>
        <w:tab/>
      </w:r>
    </w:p>
    <w:p w14:paraId="3049469C" w14:textId="77777777" w:rsidR="00C13A50" w:rsidRDefault="00000000">
      <w:pPr>
        <w:tabs>
          <w:tab w:val="center" w:pos="6979"/>
        </w:tabs>
        <w:jc w:val="center"/>
        <w:rPr>
          <w:rFonts w:ascii="宋体" w:hAnsi="宋体" w:cs="宋体" w:hint="eastAsia"/>
          <w:b/>
          <w:spacing w:val="40"/>
          <w:kern w:val="0"/>
          <w:sz w:val="32"/>
          <w:szCs w:val="32"/>
        </w:rPr>
      </w:pPr>
      <w:r>
        <w:rPr>
          <w:rFonts w:ascii="宋体" w:hAnsi="宋体" w:cs="宋体" w:hint="eastAsia"/>
          <w:b/>
          <w:bCs/>
          <w:spacing w:val="40"/>
          <w:kern w:val="0"/>
          <w:sz w:val="32"/>
          <w:szCs w:val="32"/>
        </w:rPr>
        <w:lastRenderedPageBreak/>
        <w:t>第三部分</w:t>
      </w:r>
      <w:r>
        <w:rPr>
          <w:rFonts w:ascii="宋体" w:hAnsi="宋体" w:hint="eastAsia"/>
          <w:b/>
          <w:spacing w:val="40"/>
          <w:sz w:val="32"/>
          <w:szCs w:val="32"/>
        </w:rPr>
        <w:t>2024年度</w:t>
      </w:r>
      <w:r>
        <w:rPr>
          <w:rFonts w:ascii="宋体" w:hAnsi="宋体" w:cs="宋体" w:hint="eastAsia"/>
          <w:b/>
          <w:spacing w:val="40"/>
          <w:kern w:val="0"/>
          <w:sz w:val="32"/>
          <w:szCs w:val="32"/>
        </w:rPr>
        <w:t>其他重要事项的情况说明</w:t>
      </w:r>
    </w:p>
    <w:p w14:paraId="06269568" w14:textId="77777777" w:rsidR="00C13A50" w:rsidRDefault="00000000">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14:paraId="113E7C3E" w14:textId="77777777" w:rsidR="00C13A50" w:rsidRDefault="00000000">
      <w:pPr>
        <w:spacing w:line="560" w:lineRule="exact"/>
        <w:ind w:firstLine="600"/>
        <w:rPr>
          <w:rFonts w:ascii="仿宋_GB2312" w:eastAsia="仿宋_GB2312"/>
          <w:sz w:val="28"/>
          <w:szCs w:val="28"/>
        </w:rPr>
      </w:pPr>
      <w:r>
        <w:rPr>
          <w:rFonts w:ascii="仿宋_GB2312" w:eastAsia="仿宋_GB2312" w:hint="eastAsia"/>
          <w:sz w:val="28"/>
          <w:szCs w:val="28"/>
        </w:rPr>
        <w:t>2024年度“三公”经费财政拨款决算数</w:t>
      </w:r>
      <w:r>
        <w:rPr>
          <w:rFonts w:ascii="仿宋_GB2312" w:eastAsia="仿宋_GB2312"/>
          <w:sz w:val="28"/>
          <w:szCs w:val="28"/>
        </w:rPr>
        <w:t>0</w:t>
      </w:r>
      <w:r>
        <w:rPr>
          <w:rFonts w:ascii="仿宋_GB2312" w:eastAsia="仿宋_GB2312" w:hint="eastAsia"/>
          <w:sz w:val="28"/>
          <w:szCs w:val="28"/>
        </w:rPr>
        <w:t>万元，比2024年度“三公”经费财政拨款年初预算</w:t>
      </w:r>
      <w:r>
        <w:rPr>
          <w:rFonts w:ascii="仿宋_GB2312" w:eastAsia="仿宋_GB2312"/>
          <w:sz w:val="28"/>
          <w:szCs w:val="28"/>
        </w:rPr>
        <w:t>0</w:t>
      </w:r>
      <w:r>
        <w:rPr>
          <w:rFonts w:ascii="仿宋_GB2312" w:eastAsia="仿宋_GB2312" w:hint="eastAsia"/>
          <w:sz w:val="28"/>
          <w:szCs w:val="28"/>
        </w:rPr>
        <w:t>万元增加（减少）</w:t>
      </w:r>
      <w:r>
        <w:rPr>
          <w:rFonts w:ascii="仿宋_GB2312" w:eastAsia="仿宋_GB2312"/>
          <w:sz w:val="28"/>
          <w:szCs w:val="28"/>
        </w:rPr>
        <w:t>0</w:t>
      </w:r>
      <w:r>
        <w:rPr>
          <w:rFonts w:ascii="仿宋_GB2312" w:eastAsia="仿宋_GB2312" w:hint="eastAsia"/>
          <w:sz w:val="28"/>
          <w:szCs w:val="28"/>
        </w:rPr>
        <w:t>万元。其中：</w:t>
      </w:r>
    </w:p>
    <w:p w14:paraId="2531189D" w14:textId="77777777" w:rsidR="00C13A50" w:rsidRDefault="00000000">
      <w:pPr>
        <w:spacing w:line="560" w:lineRule="exact"/>
        <w:ind w:firstLine="600"/>
        <w:rPr>
          <w:rFonts w:ascii="仿宋_GB2312" w:eastAsia="仿宋_GB2312"/>
          <w:sz w:val="28"/>
          <w:szCs w:val="28"/>
        </w:rPr>
      </w:pPr>
      <w:r>
        <w:rPr>
          <w:rFonts w:ascii="仿宋_GB2312" w:eastAsia="仿宋_GB2312" w:hint="eastAsia"/>
          <w:sz w:val="28"/>
          <w:szCs w:val="28"/>
        </w:rPr>
        <w:t>1.因公出国（境）费用。本单位无此项经费。</w:t>
      </w:r>
    </w:p>
    <w:p w14:paraId="6789FA74" w14:textId="44DBD860" w:rsidR="00C13A50" w:rsidRDefault="00000000">
      <w:pPr>
        <w:spacing w:line="560" w:lineRule="exact"/>
        <w:ind w:firstLine="600"/>
        <w:rPr>
          <w:rFonts w:ascii="仿宋_GB2312" w:eastAsia="仿宋_GB2312"/>
          <w:sz w:val="28"/>
          <w:szCs w:val="28"/>
        </w:rPr>
      </w:pPr>
      <w:r>
        <w:rPr>
          <w:rFonts w:ascii="仿宋_GB2312" w:eastAsia="仿宋_GB2312" w:hint="eastAsia"/>
          <w:sz w:val="28"/>
          <w:szCs w:val="28"/>
        </w:rPr>
        <w:t>2.公务接待费。本单位无此项经费</w:t>
      </w:r>
      <w:r w:rsidR="00270178">
        <w:rPr>
          <w:rFonts w:ascii="仿宋_GB2312" w:eastAsia="仿宋_GB2312" w:hint="eastAsia"/>
          <w:sz w:val="28"/>
          <w:szCs w:val="28"/>
        </w:rPr>
        <w:t>。</w:t>
      </w:r>
    </w:p>
    <w:p w14:paraId="44AFA4B0" w14:textId="4108BE3B" w:rsidR="00270178" w:rsidRDefault="00000000" w:rsidP="00270178">
      <w:pPr>
        <w:spacing w:line="560" w:lineRule="exact"/>
        <w:ind w:firstLine="600"/>
        <w:rPr>
          <w:rFonts w:ascii="仿宋_GB2312" w:eastAsia="仿宋_GB2312"/>
          <w:sz w:val="28"/>
          <w:szCs w:val="28"/>
        </w:rPr>
      </w:pPr>
      <w:r>
        <w:rPr>
          <w:rFonts w:ascii="仿宋_GB2312" w:eastAsia="仿宋_GB2312" w:hint="eastAsia"/>
          <w:sz w:val="28"/>
          <w:szCs w:val="28"/>
        </w:rPr>
        <w:t>3.公务用车购置及运行维护费。</w:t>
      </w:r>
      <w:r w:rsidR="00270178">
        <w:rPr>
          <w:rFonts w:ascii="仿宋_GB2312" w:eastAsia="仿宋_GB2312" w:hint="eastAsia"/>
          <w:sz w:val="28"/>
          <w:szCs w:val="28"/>
        </w:rPr>
        <w:t>本单位无此项经费。</w:t>
      </w:r>
    </w:p>
    <w:p w14:paraId="21138524" w14:textId="214DC4CA" w:rsidR="00C13A50" w:rsidRDefault="00000000" w:rsidP="00270178">
      <w:pPr>
        <w:spacing w:line="560" w:lineRule="exact"/>
        <w:ind w:firstLineChars="200" w:firstLine="560"/>
        <w:rPr>
          <w:rFonts w:ascii="黑体" w:eastAsia="黑体"/>
          <w:sz w:val="28"/>
          <w:szCs w:val="28"/>
        </w:rPr>
      </w:pPr>
      <w:r>
        <w:rPr>
          <w:rFonts w:ascii="黑体" w:eastAsia="黑体" w:hint="eastAsia"/>
          <w:sz w:val="28"/>
          <w:szCs w:val="28"/>
        </w:rPr>
        <w:t>二、机关运行经费支出情况</w:t>
      </w:r>
    </w:p>
    <w:p w14:paraId="04E785A8" w14:textId="733084D3" w:rsidR="00C13A50" w:rsidRPr="00270178" w:rsidRDefault="00000000" w:rsidP="00270178">
      <w:pPr>
        <w:tabs>
          <w:tab w:val="center" w:pos="6979"/>
        </w:tabs>
        <w:ind w:firstLineChars="200" w:firstLine="560"/>
        <w:rPr>
          <w:rFonts w:ascii="仿宋_GB2312" w:eastAsia="仿宋_GB2312"/>
          <w:sz w:val="28"/>
          <w:szCs w:val="28"/>
        </w:rPr>
      </w:pPr>
      <w:r w:rsidRPr="00270178">
        <w:rPr>
          <w:rFonts w:ascii="仿宋_GB2312" w:eastAsia="仿宋_GB2312" w:hint="eastAsia"/>
          <w:sz w:val="28"/>
          <w:szCs w:val="28"/>
        </w:rPr>
        <w:t>我单位不在机关运行经费统计范围之内。</w:t>
      </w:r>
    </w:p>
    <w:p w14:paraId="40FF2DC3" w14:textId="77777777" w:rsidR="00C13A50" w:rsidRDefault="00000000">
      <w:pPr>
        <w:ind w:left="540"/>
        <w:rPr>
          <w:rFonts w:ascii="黑体" w:eastAsia="黑体"/>
          <w:sz w:val="28"/>
          <w:szCs w:val="28"/>
        </w:rPr>
      </w:pPr>
      <w:r>
        <w:rPr>
          <w:rFonts w:ascii="黑体" w:eastAsia="黑体" w:hint="eastAsia"/>
          <w:sz w:val="28"/>
          <w:szCs w:val="28"/>
        </w:rPr>
        <w:t>三、政府采购支出情况</w:t>
      </w:r>
    </w:p>
    <w:p w14:paraId="188B605E" w14:textId="77777777" w:rsidR="00C13A50" w:rsidRDefault="00000000">
      <w:pPr>
        <w:ind w:firstLineChars="192" w:firstLine="538"/>
        <w:rPr>
          <w:rFonts w:ascii="仿宋_GB2312" w:eastAsia="仿宋_GB2312"/>
          <w:sz w:val="28"/>
          <w:szCs w:val="28"/>
        </w:rPr>
      </w:pPr>
      <w:r>
        <w:rPr>
          <w:rFonts w:ascii="仿宋_GB2312" w:eastAsia="仿宋_GB2312" w:hint="eastAsia"/>
          <w:sz w:val="28"/>
          <w:szCs w:val="28"/>
        </w:rPr>
        <w:t>2024年度政府采购支出总额</w:t>
      </w:r>
      <w:r>
        <w:rPr>
          <w:rFonts w:ascii="仿宋_GB2312" w:eastAsia="仿宋_GB2312"/>
          <w:sz w:val="28"/>
          <w:szCs w:val="28"/>
        </w:rPr>
        <w:t>28.58</w:t>
      </w:r>
      <w:r>
        <w:rPr>
          <w:rFonts w:ascii="仿宋_GB2312" w:eastAsia="仿宋_GB2312" w:hint="eastAsia"/>
          <w:sz w:val="28"/>
          <w:szCs w:val="28"/>
        </w:rPr>
        <w:t>万元，其中：政府采购货物支出</w:t>
      </w:r>
      <w:r>
        <w:rPr>
          <w:rFonts w:ascii="仿宋_GB2312" w:eastAsia="仿宋_GB2312"/>
          <w:sz w:val="28"/>
          <w:szCs w:val="28"/>
        </w:rPr>
        <w:t>2.18</w:t>
      </w:r>
      <w:r>
        <w:rPr>
          <w:rFonts w:ascii="仿宋_GB2312" w:eastAsia="仿宋_GB2312" w:hint="eastAsia"/>
          <w:sz w:val="28"/>
          <w:szCs w:val="28"/>
        </w:rPr>
        <w:t>万元，政府采购工程支出</w:t>
      </w:r>
      <w:r>
        <w:rPr>
          <w:rFonts w:ascii="仿宋_GB2312" w:eastAsia="仿宋_GB2312"/>
          <w:sz w:val="28"/>
          <w:szCs w:val="28"/>
        </w:rPr>
        <w:t>0</w:t>
      </w:r>
      <w:r>
        <w:rPr>
          <w:rFonts w:ascii="仿宋_GB2312" w:eastAsia="仿宋_GB2312" w:hint="eastAsia"/>
          <w:sz w:val="28"/>
          <w:szCs w:val="28"/>
        </w:rPr>
        <w:t>万元，政府采购服务支出</w:t>
      </w:r>
      <w:r>
        <w:rPr>
          <w:rFonts w:ascii="仿宋_GB2312" w:eastAsia="仿宋_GB2312"/>
          <w:sz w:val="28"/>
          <w:szCs w:val="28"/>
        </w:rPr>
        <w:t>26.4</w:t>
      </w:r>
      <w:r>
        <w:rPr>
          <w:rFonts w:ascii="仿宋_GB2312" w:eastAsia="仿宋_GB2312" w:hint="eastAsia"/>
          <w:sz w:val="28"/>
          <w:szCs w:val="28"/>
        </w:rPr>
        <w:t>万元。授予中小企业合同金额</w:t>
      </w:r>
      <w:r>
        <w:rPr>
          <w:rFonts w:ascii="仿宋_GB2312" w:eastAsia="仿宋_GB2312"/>
          <w:sz w:val="28"/>
          <w:szCs w:val="28"/>
        </w:rPr>
        <w:t>28.58</w:t>
      </w:r>
      <w:r>
        <w:rPr>
          <w:rFonts w:ascii="仿宋_GB2312" w:eastAsia="仿宋_GB2312" w:hint="eastAsia"/>
          <w:sz w:val="28"/>
          <w:szCs w:val="28"/>
        </w:rPr>
        <w:t>万元，占政府采购支出总额的100%，其中：授予小</w:t>
      </w:r>
      <w:proofErr w:type="gramStart"/>
      <w:r>
        <w:rPr>
          <w:rFonts w:ascii="仿宋_GB2312" w:eastAsia="仿宋_GB2312" w:hint="eastAsia"/>
          <w:sz w:val="28"/>
          <w:szCs w:val="28"/>
        </w:rPr>
        <w:t>微企业</w:t>
      </w:r>
      <w:proofErr w:type="gramEnd"/>
      <w:r>
        <w:rPr>
          <w:rFonts w:ascii="仿宋_GB2312" w:eastAsia="仿宋_GB2312" w:hint="eastAsia"/>
          <w:sz w:val="28"/>
          <w:szCs w:val="28"/>
        </w:rPr>
        <w:t>合同金额</w:t>
      </w:r>
      <w:r>
        <w:rPr>
          <w:rFonts w:ascii="仿宋_GB2312" w:eastAsia="仿宋_GB2312"/>
          <w:sz w:val="28"/>
          <w:szCs w:val="28"/>
        </w:rPr>
        <w:t>28.58</w:t>
      </w:r>
      <w:r>
        <w:rPr>
          <w:rFonts w:ascii="仿宋_GB2312" w:eastAsia="仿宋_GB2312" w:hint="eastAsia"/>
          <w:sz w:val="28"/>
          <w:szCs w:val="28"/>
        </w:rPr>
        <w:t>万元，占政府采购支出总额的</w:t>
      </w:r>
      <w:r>
        <w:rPr>
          <w:rFonts w:ascii="仿宋_GB2312" w:eastAsia="仿宋_GB2312"/>
          <w:sz w:val="28"/>
          <w:szCs w:val="28"/>
        </w:rPr>
        <w:t>100</w:t>
      </w:r>
      <w:r>
        <w:rPr>
          <w:rFonts w:ascii="仿宋_GB2312" w:eastAsia="仿宋_GB2312" w:hint="eastAsia"/>
          <w:sz w:val="28"/>
          <w:szCs w:val="28"/>
        </w:rPr>
        <w:t>%。</w:t>
      </w:r>
    </w:p>
    <w:p w14:paraId="35FCB769" w14:textId="77777777" w:rsidR="00C13A50" w:rsidRDefault="00000000">
      <w:pPr>
        <w:ind w:firstLineChars="200" w:firstLine="560"/>
        <w:rPr>
          <w:rFonts w:ascii="黑体" w:eastAsia="黑体"/>
          <w:sz w:val="28"/>
          <w:szCs w:val="28"/>
          <w:highlight w:val="yellow"/>
        </w:rPr>
      </w:pPr>
      <w:r>
        <w:rPr>
          <w:rFonts w:ascii="黑体" w:eastAsia="黑体" w:hint="eastAsia"/>
          <w:sz w:val="28"/>
          <w:szCs w:val="28"/>
        </w:rPr>
        <w:t>四、国有资产占用情况</w:t>
      </w:r>
    </w:p>
    <w:p w14:paraId="3B151900" w14:textId="77777777" w:rsidR="00C13A50" w:rsidRDefault="00000000">
      <w:pPr>
        <w:ind w:firstLineChars="200" w:firstLine="560"/>
        <w:rPr>
          <w:rFonts w:ascii="仿宋_GB2312" w:eastAsia="仿宋_GB2312"/>
          <w:sz w:val="32"/>
          <w:szCs w:val="32"/>
        </w:rPr>
      </w:pPr>
      <w:r>
        <w:rPr>
          <w:rFonts w:ascii="仿宋_GB2312" w:eastAsia="仿宋_GB2312" w:hint="eastAsia"/>
          <w:sz w:val="28"/>
          <w:szCs w:val="28"/>
        </w:rPr>
        <w:t>截至12月31日，北京市西城区华</w:t>
      </w:r>
      <w:proofErr w:type="gramStart"/>
      <w:r>
        <w:rPr>
          <w:rFonts w:ascii="仿宋_GB2312" w:eastAsia="仿宋_GB2312" w:hint="eastAsia"/>
          <w:sz w:val="28"/>
          <w:szCs w:val="28"/>
        </w:rPr>
        <w:t>嘉小学</w:t>
      </w:r>
      <w:proofErr w:type="gramEnd"/>
      <w:r>
        <w:rPr>
          <w:rFonts w:ascii="仿宋_GB2312" w:eastAsia="仿宋_GB2312" w:hint="eastAsia"/>
          <w:sz w:val="28"/>
          <w:szCs w:val="28"/>
        </w:rPr>
        <w:t>共有车辆0台；单位价值100万元（含）以上的设备0台（套）。</w:t>
      </w:r>
    </w:p>
    <w:p w14:paraId="336CF762" w14:textId="77777777" w:rsidR="00C13A50" w:rsidRDefault="00000000">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14:paraId="765B3108" w14:textId="77777777" w:rsidR="00C13A50" w:rsidRDefault="00000000">
      <w:pPr>
        <w:ind w:firstLineChars="192" w:firstLine="538"/>
        <w:rPr>
          <w:rFonts w:ascii="仿宋_GB2312" w:eastAsia="仿宋_GB2312"/>
          <w:sz w:val="28"/>
          <w:szCs w:val="28"/>
        </w:rPr>
      </w:pPr>
      <w:r>
        <w:rPr>
          <w:rFonts w:ascii="仿宋_GB2312" w:eastAsia="仿宋_GB2312" w:hint="eastAsia"/>
          <w:sz w:val="28"/>
          <w:szCs w:val="28"/>
        </w:rPr>
        <w:lastRenderedPageBreak/>
        <w:t>2024年度</w:t>
      </w:r>
      <w:r>
        <w:rPr>
          <w:rFonts w:ascii="仿宋_GB2312" w:eastAsia="仿宋_GB2312"/>
          <w:sz w:val="28"/>
          <w:szCs w:val="28"/>
        </w:rPr>
        <w:t>政府购买服务决算0</w:t>
      </w:r>
      <w:r>
        <w:rPr>
          <w:rFonts w:ascii="仿宋_GB2312" w:eastAsia="仿宋_GB2312" w:hint="eastAsia"/>
          <w:sz w:val="28"/>
          <w:szCs w:val="28"/>
        </w:rPr>
        <w:t>万元。</w:t>
      </w:r>
    </w:p>
    <w:p w14:paraId="2374F638" w14:textId="77777777" w:rsidR="00C13A50" w:rsidRDefault="00000000">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14:paraId="591694FD" w14:textId="77777777" w:rsidR="00C13A50" w:rsidRDefault="00000000">
      <w:pPr>
        <w:ind w:firstLineChars="200" w:firstLine="560"/>
        <w:rPr>
          <w:rFonts w:ascii="仿宋_GB2312" w:eastAsia="仿宋_GB2312"/>
          <w:sz w:val="28"/>
          <w:szCs w:val="28"/>
        </w:rPr>
      </w:pPr>
      <w:r>
        <w:rPr>
          <w:rFonts w:ascii="仿宋_GB2312" w:eastAsia="仿宋_GB2312" w:hint="eastAsia"/>
          <w:sz w:val="28"/>
          <w:szCs w:val="28"/>
        </w:rPr>
        <w:t>1.基本支出：指为保障机构正常运转、完成日常工作任务而发生的人员支出和公用支出。</w:t>
      </w:r>
    </w:p>
    <w:p w14:paraId="525E9529" w14:textId="77777777" w:rsidR="00C13A50" w:rsidRDefault="00000000">
      <w:pPr>
        <w:ind w:firstLineChars="200" w:firstLine="560"/>
        <w:rPr>
          <w:rFonts w:ascii="仿宋_GB2312" w:eastAsia="仿宋_GB2312"/>
          <w:sz w:val="28"/>
          <w:szCs w:val="28"/>
        </w:rPr>
      </w:pPr>
      <w:r>
        <w:rPr>
          <w:rFonts w:ascii="仿宋_GB2312" w:eastAsia="仿宋_GB2312" w:hint="eastAsia"/>
          <w:sz w:val="28"/>
          <w:szCs w:val="28"/>
        </w:rPr>
        <w:t>2.项目支出：指在基本支出之外为完成特定行政任务或事业发展目标所发生的支出。</w:t>
      </w:r>
    </w:p>
    <w:p w14:paraId="118D2B47" w14:textId="77777777" w:rsidR="00C13A50" w:rsidRDefault="00000000">
      <w:pPr>
        <w:ind w:firstLineChars="200" w:firstLine="560"/>
        <w:rPr>
          <w:rFonts w:ascii="仿宋_GB2312" w:eastAsia="仿宋_GB2312" w:hAnsi="宋体"/>
          <w:sz w:val="28"/>
          <w:szCs w:val="28"/>
        </w:rPr>
      </w:pPr>
      <w:r>
        <w:rPr>
          <w:rFonts w:ascii="仿宋_GB2312" w:eastAsia="仿宋_GB2312" w:hint="eastAsia"/>
          <w:sz w:val="28"/>
          <w:szCs w:val="28"/>
        </w:rPr>
        <w:t>3.“三公”经费：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w:t>
      </w:r>
      <w:proofErr w:type="gramStart"/>
      <w:r>
        <w:rPr>
          <w:rFonts w:ascii="仿宋_GB2312" w:eastAsia="仿宋_GB2312" w:hAnsi="宋体" w:hint="eastAsia"/>
          <w:sz w:val="28"/>
          <w:szCs w:val="28"/>
        </w:rPr>
        <w:t>含车辆</w:t>
      </w:r>
      <w:proofErr w:type="gramEnd"/>
      <w:r>
        <w:rPr>
          <w:rFonts w:ascii="仿宋_GB2312" w:eastAsia="仿宋_GB2312" w:hAnsi="宋体" w:hint="eastAsia"/>
          <w:sz w:val="28"/>
          <w:szCs w:val="28"/>
        </w:rPr>
        <w:t>购置税、牌照费）及单位按规定保留的公务用车燃料费、维修费、过路过桥费、保险费、安全奖励费等支出；公务接待费指单位按规定开支的各类公务接待（含外宾接待）支出。</w:t>
      </w:r>
    </w:p>
    <w:p w14:paraId="6FC1ED0D" w14:textId="77777777" w:rsidR="00C13A50" w:rsidRDefault="00000000">
      <w:pPr>
        <w:ind w:firstLineChars="200" w:firstLine="560"/>
        <w:rPr>
          <w:rFonts w:ascii="仿宋_GB2312" w:eastAsia="仿宋_GB2312" w:hAnsi="宋体"/>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，包括办公及印刷费、邮电费、差旅费、会议费、福利费、日常维修费、专用材料及一般设备购置费、办公用房水电费、办公用房取暖费、办公用房物业管理费、公务用车运行维护费以及其他费用。</w:t>
      </w:r>
    </w:p>
    <w:p w14:paraId="7DAFF6A4" w14:textId="77777777" w:rsidR="00C13A50" w:rsidRDefault="00000000">
      <w:pPr>
        <w:ind w:firstLineChars="150" w:firstLine="42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14:paraId="6295F992" w14:textId="77777777" w:rsidR="00C13A50" w:rsidRDefault="00000000">
      <w:pPr>
        <w:ind w:firstLineChars="150" w:firstLine="42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2E9449F4" w14:textId="77777777" w:rsidR="00C13A50" w:rsidRDefault="00000000">
      <w:pPr>
        <w:pStyle w:val="ae"/>
        <w:ind w:left="0" w:firstLineChars="100" w:firstLine="280"/>
        <w:rPr>
          <w:rFonts w:ascii="仿宋_GB2312" w:eastAsia="仿宋_GB2312"/>
          <w:sz w:val="28"/>
          <w:szCs w:val="28"/>
        </w:rPr>
      </w:pPr>
      <w:r>
        <w:rPr>
          <w:rFonts w:ascii="仿宋_GB2312" w:eastAsia="仿宋_GB2312" w:hint="eastAsia"/>
          <w:sz w:val="28"/>
          <w:szCs w:val="28"/>
        </w:rPr>
        <w:lastRenderedPageBreak/>
        <w:t>7.教育支出（类）普通教育（款）小学教育（项）：反映本部门举办的小学教育支出。</w:t>
      </w:r>
    </w:p>
    <w:p w14:paraId="09E5EF69" w14:textId="77777777" w:rsidR="00C13A50" w:rsidRDefault="00000000">
      <w:pPr>
        <w:pStyle w:val="ae"/>
        <w:ind w:left="0" w:firstLineChars="100" w:firstLine="280"/>
        <w:rPr>
          <w:rFonts w:ascii="仿宋_GB2312" w:eastAsia="仿宋_GB2312"/>
          <w:sz w:val="28"/>
          <w:szCs w:val="28"/>
        </w:rPr>
      </w:pPr>
      <w:r>
        <w:rPr>
          <w:rFonts w:ascii="仿宋_GB2312" w:eastAsia="仿宋_GB2312" w:hint="eastAsia"/>
          <w:sz w:val="28"/>
          <w:szCs w:val="28"/>
        </w:rPr>
        <w:t>8.社会保障和就业支出（类）行政事业单位养老支出（款）事业单位离退休（项）：反映事业单位开支的离退休经费。</w:t>
      </w:r>
    </w:p>
    <w:p w14:paraId="551E337C" w14:textId="77777777" w:rsidR="00C13A50" w:rsidRDefault="00000000">
      <w:pPr>
        <w:pStyle w:val="ae"/>
        <w:ind w:left="0" w:firstLineChars="100" w:firstLine="280"/>
        <w:rPr>
          <w:rFonts w:ascii="仿宋_GB2312" w:eastAsia="仿宋_GB2312"/>
          <w:sz w:val="28"/>
          <w:szCs w:val="28"/>
        </w:rPr>
      </w:pPr>
      <w:r>
        <w:rPr>
          <w:rFonts w:ascii="仿宋_GB2312" w:eastAsia="仿宋_GB2312" w:hint="eastAsia"/>
          <w:sz w:val="28"/>
          <w:szCs w:val="28"/>
        </w:rPr>
        <w:t>9.社会保障和就业支出（类）行政事业单位养老支出（款）机关事业单位基本养老保险缴费支出（项）：反映机关事业单位实施养老保险制度由单位缴纳的基本养老保险费支出。</w:t>
      </w:r>
    </w:p>
    <w:p w14:paraId="02A9F990" w14:textId="77777777" w:rsidR="00C13A50" w:rsidRDefault="00000000">
      <w:pPr>
        <w:pStyle w:val="ae"/>
        <w:ind w:left="0"/>
        <w:rPr>
          <w:rFonts w:ascii="仿宋_GB2312" w:eastAsia="仿宋_GB2312"/>
          <w:sz w:val="28"/>
          <w:szCs w:val="28"/>
        </w:rPr>
      </w:pPr>
      <w:r>
        <w:rPr>
          <w:rFonts w:ascii="仿宋_GB2312" w:eastAsia="仿宋_GB2312" w:hint="eastAsia"/>
          <w:sz w:val="28"/>
          <w:szCs w:val="28"/>
        </w:rPr>
        <w:t>10.社会保障和就业支出（类）行政事业单位养老支出（款）机关事业单位职业年金缴费支出（项）：反映机关事业单位实施养老保险制度由单位实际缴纳的职业年金支出。</w:t>
      </w:r>
    </w:p>
    <w:p w14:paraId="4DD7B0CD" w14:textId="77777777" w:rsidR="00C13A50" w:rsidRDefault="00000000">
      <w:pPr>
        <w:pStyle w:val="ae"/>
        <w:ind w:left="0"/>
        <w:rPr>
          <w:rFonts w:ascii="仿宋_GB2312" w:eastAsia="仿宋_GB2312"/>
          <w:sz w:val="28"/>
          <w:szCs w:val="28"/>
        </w:rPr>
      </w:pPr>
      <w:r>
        <w:rPr>
          <w:rFonts w:ascii="仿宋_GB2312" w:eastAsia="仿宋_GB2312" w:hint="eastAsia"/>
          <w:sz w:val="28"/>
          <w:szCs w:val="28"/>
        </w:rPr>
        <w:t>11.社会保障和就业支出（类）抚恤（款）死亡抚恤（项）：反映按规定用于烈士和牺牲、病故人员家属的一次性和定期抚恤金、丧葬补助费以及烈士褒扬金。</w:t>
      </w:r>
    </w:p>
    <w:p w14:paraId="66A677BF" w14:textId="77777777" w:rsidR="00C13A50" w:rsidRDefault="00000000">
      <w:pPr>
        <w:pStyle w:val="ae"/>
        <w:ind w:left="0"/>
        <w:rPr>
          <w:rFonts w:ascii="仿宋_GB2312" w:eastAsia="仿宋_GB2312"/>
          <w:sz w:val="28"/>
          <w:szCs w:val="28"/>
        </w:rPr>
      </w:pPr>
      <w:r>
        <w:rPr>
          <w:rFonts w:ascii="仿宋_GB2312" w:eastAsia="仿宋_GB2312" w:hint="eastAsia"/>
          <w:sz w:val="28"/>
          <w:szCs w:val="28"/>
        </w:rPr>
        <w:t>12.卫生健康支出（类）行政事业单位医疗（款）事业单位医疗（项）：反映财政部门安排的事业单位基本医疗保险缴费经费，未参加医疗保险的事业单位的公费医疗经费，按国家规定享受离休人员待遇的医疗经费。</w:t>
      </w:r>
    </w:p>
    <w:p w14:paraId="1B4CD1FA" w14:textId="77777777" w:rsidR="00C13A50" w:rsidRDefault="00000000">
      <w:pPr>
        <w:pStyle w:val="ae"/>
        <w:ind w:left="0"/>
        <w:rPr>
          <w:rFonts w:ascii="仿宋_GB2312" w:eastAsia="仿宋_GB2312"/>
          <w:sz w:val="28"/>
          <w:szCs w:val="28"/>
        </w:rPr>
      </w:pPr>
      <w:r>
        <w:rPr>
          <w:rFonts w:ascii="仿宋_GB2312" w:eastAsia="仿宋_GB2312" w:hint="eastAsia"/>
          <w:sz w:val="28"/>
          <w:szCs w:val="28"/>
        </w:rPr>
        <w:t>13.住房保障支出（类）住房改革支出（款）住房公积金（项）：反映行政事业单位按人力资源和社会保障部、财政部规定的基本工资和津贴补贴以及规定比例为职工缴纳的住房公积金。</w:t>
      </w:r>
    </w:p>
    <w:p w14:paraId="6D201366" w14:textId="77777777" w:rsidR="00C13A50" w:rsidRDefault="00000000">
      <w:pPr>
        <w:pStyle w:val="ae"/>
        <w:ind w:left="0"/>
        <w:rPr>
          <w:rFonts w:ascii="仿宋_GB2312" w:eastAsia="仿宋_GB2312"/>
          <w:sz w:val="28"/>
          <w:szCs w:val="28"/>
        </w:rPr>
      </w:pPr>
      <w:r>
        <w:rPr>
          <w:rFonts w:ascii="仿宋_GB2312" w:eastAsia="仿宋_GB2312" w:hint="eastAsia"/>
          <w:sz w:val="28"/>
          <w:szCs w:val="28"/>
        </w:rPr>
        <w:t>14.住房保障支出（类）住房改革支出（款）购房补贴（项）：反映按房改政策规定的标准，行政事业单位向符合条件职工（含离退休人员）发放的用于购买住房的补贴。</w:t>
      </w:r>
    </w:p>
    <w:p w14:paraId="02951703" w14:textId="77777777" w:rsidR="00C13A50" w:rsidRDefault="00000000">
      <w:pPr>
        <w:pStyle w:val="ae"/>
        <w:ind w:left="0"/>
        <w:rPr>
          <w:rFonts w:ascii="仿宋_GB2312" w:eastAsia="仿宋_GB2312"/>
          <w:sz w:val="28"/>
          <w:szCs w:val="28"/>
        </w:rPr>
      </w:pPr>
      <w:r>
        <w:rPr>
          <w:rFonts w:ascii="仿宋_GB2312" w:eastAsia="仿宋_GB2312" w:hint="eastAsia"/>
          <w:sz w:val="28"/>
          <w:szCs w:val="28"/>
        </w:rPr>
        <w:t>15.其他支出（类）彩票公益金安排的支出（款）用于体育事业的彩票公益金支出（项）：反映用于体育事业的彩票公益</w:t>
      </w:r>
      <w:r>
        <w:rPr>
          <w:rFonts w:ascii="仿宋_GB2312" w:eastAsia="仿宋_GB2312" w:hint="eastAsia"/>
          <w:sz w:val="28"/>
          <w:szCs w:val="28"/>
        </w:rPr>
        <w:lastRenderedPageBreak/>
        <w:t>金支出。</w:t>
      </w:r>
    </w:p>
    <w:p w14:paraId="2CA07162" w14:textId="77777777" w:rsidR="00C13A50" w:rsidRDefault="00C13A50">
      <w:pPr>
        <w:pStyle w:val="ae"/>
        <w:ind w:left="0"/>
        <w:rPr>
          <w:rFonts w:ascii="仿宋_GB2312" w:eastAsia="仿宋_GB2312"/>
          <w:sz w:val="28"/>
          <w:szCs w:val="28"/>
        </w:rPr>
      </w:pPr>
    </w:p>
    <w:p w14:paraId="222A8549" w14:textId="77777777" w:rsidR="00C13A50" w:rsidRDefault="00C13A50">
      <w:pPr>
        <w:pStyle w:val="ae"/>
        <w:ind w:left="0"/>
        <w:rPr>
          <w:rFonts w:ascii="仿宋_GB2312" w:eastAsia="仿宋_GB2312"/>
          <w:sz w:val="28"/>
          <w:szCs w:val="28"/>
        </w:rPr>
      </w:pPr>
    </w:p>
    <w:p w14:paraId="54481357" w14:textId="77777777" w:rsidR="00C13A50" w:rsidRDefault="00C13A50">
      <w:pPr>
        <w:pStyle w:val="ae"/>
        <w:ind w:left="0" w:firstLineChars="100" w:firstLine="280"/>
        <w:rPr>
          <w:rFonts w:ascii="仿宋_GB2312" w:eastAsia="仿宋_GB2312"/>
          <w:sz w:val="28"/>
          <w:szCs w:val="28"/>
        </w:rPr>
      </w:pPr>
    </w:p>
    <w:p w14:paraId="6C1AD7EE" w14:textId="77777777" w:rsidR="00C13A50" w:rsidRDefault="00C13A50">
      <w:pPr>
        <w:pStyle w:val="ae"/>
        <w:ind w:left="0" w:firstLineChars="100" w:firstLine="280"/>
        <w:rPr>
          <w:rFonts w:ascii="仿宋_GB2312" w:eastAsia="仿宋_GB2312"/>
          <w:sz w:val="28"/>
          <w:szCs w:val="28"/>
        </w:rPr>
      </w:pPr>
    </w:p>
    <w:p w14:paraId="5CDAB1CE" w14:textId="77777777" w:rsidR="00C13A50" w:rsidRDefault="00C13A50">
      <w:pPr>
        <w:pStyle w:val="ae"/>
        <w:ind w:left="0" w:firstLineChars="100" w:firstLine="280"/>
        <w:rPr>
          <w:rFonts w:ascii="仿宋_GB2312" w:eastAsia="仿宋_GB2312"/>
          <w:sz w:val="28"/>
          <w:szCs w:val="28"/>
        </w:rPr>
      </w:pPr>
    </w:p>
    <w:p w14:paraId="4CE41EDA" w14:textId="77777777" w:rsidR="00C13A50" w:rsidRDefault="00C13A50">
      <w:pPr>
        <w:ind w:firstLineChars="100" w:firstLine="320"/>
        <w:rPr>
          <w:rFonts w:ascii="黑体" w:eastAsia="黑体"/>
          <w:sz w:val="32"/>
          <w:szCs w:val="32"/>
        </w:rPr>
      </w:pPr>
    </w:p>
    <w:p w14:paraId="4F6E12BA" w14:textId="77777777" w:rsidR="00C13A50" w:rsidRDefault="00000000">
      <w:pPr>
        <w:ind w:firstLineChars="200" w:firstLine="640"/>
        <w:jc w:val="center"/>
        <w:rPr>
          <w:rFonts w:ascii="黑体" w:eastAsia="黑体"/>
          <w:sz w:val="32"/>
          <w:szCs w:val="32"/>
        </w:rPr>
      </w:pPr>
      <w:r>
        <w:rPr>
          <w:rFonts w:ascii="黑体" w:eastAsia="黑体" w:hint="eastAsia"/>
          <w:sz w:val="32"/>
          <w:szCs w:val="32"/>
        </w:rPr>
        <w:t>第四部分  2024年度部门绩效评价情况</w:t>
      </w:r>
    </w:p>
    <w:p w14:paraId="4CD15A0A" w14:textId="77777777" w:rsidR="00C13A50" w:rsidRDefault="00C13A50">
      <w:pPr>
        <w:ind w:firstLineChars="200" w:firstLine="560"/>
        <w:rPr>
          <w:rFonts w:ascii="黑体" w:eastAsia="黑体"/>
          <w:sz w:val="28"/>
          <w:szCs w:val="28"/>
          <w:highlight w:val="yellow"/>
        </w:rPr>
      </w:pPr>
    </w:p>
    <w:p w14:paraId="1677FDC3" w14:textId="77777777" w:rsidR="00C13A50" w:rsidRDefault="00000000">
      <w:pPr>
        <w:numPr>
          <w:ilvl w:val="0"/>
          <w:numId w:val="1"/>
        </w:numPr>
        <w:ind w:firstLineChars="200" w:firstLine="560"/>
        <w:rPr>
          <w:rFonts w:ascii="黑体" w:eastAsia="黑体"/>
          <w:sz w:val="28"/>
          <w:szCs w:val="28"/>
        </w:rPr>
      </w:pPr>
      <w:r>
        <w:rPr>
          <w:rFonts w:ascii="黑体" w:eastAsia="黑体" w:hint="eastAsia"/>
          <w:sz w:val="28"/>
          <w:szCs w:val="28"/>
        </w:rPr>
        <w:t>部门整体绩效评价报告（参考模板详见附件）</w:t>
      </w:r>
    </w:p>
    <w:p w14:paraId="144EEA4C" w14:textId="77777777" w:rsidR="00C13A50" w:rsidRDefault="00000000">
      <w:pPr>
        <w:numPr>
          <w:ilvl w:val="0"/>
          <w:numId w:val="1"/>
        </w:numPr>
        <w:ind w:firstLineChars="200" w:firstLine="560"/>
        <w:rPr>
          <w:rFonts w:ascii="黑体" w:eastAsia="黑体"/>
          <w:sz w:val="28"/>
          <w:szCs w:val="28"/>
        </w:rPr>
      </w:pPr>
      <w:r>
        <w:rPr>
          <w:rFonts w:ascii="黑体" w:eastAsia="黑体" w:hint="eastAsia"/>
          <w:sz w:val="28"/>
          <w:szCs w:val="28"/>
        </w:rPr>
        <w:t>项目支出绩效评价报告（参考模板详见附件）</w:t>
      </w:r>
    </w:p>
    <w:p w14:paraId="327F31E3" w14:textId="77777777" w:rsidR="00C13A50" w:rsidRDefault="00000000">
      <w:pPr>
        <w:numPr>
          <w:ilvl w:val="0"/>
          <w:numId w:val="1"/>
        </w:numPr>
        <w:ind w:firstLineChars="200" w:firstLine="560"/>
        <w:rPr>
          <w:rFonts w:ascii="黑体" w:eastAsia="黑体"/>
          <w:sz w:val="28"/>
          <w:szCs w:val="28"/>
        </w:rPr>
      </w:pPr>
      <w:r>
        <w:rPr>
          <w:rFonts w:ascii="黑体" w:eastAsia="黑体" w:hint="eastAsia"/>
          <w:sz w:val="28"/>
          <w:szCs w:val="28"/>
        </w:rPr>
        <w:t>项目</w:t>
      </w:r>
      <w:r>
        <w:rPr>
          <w:rFonts w:ascii="黑体" w:eastAsia="黑体"/>
          <w:sz w:val="28"/>
          <w:szCs w:val="28"/>
        </w:rPr>
        <w:t>支出绩效自评表</w:t>
      </w:r>
      <w:r>
        <w:rPr>
          <w:rFonts w:ascii="黑体" w:eastAsia="黑体" w:hint="eastAsia"/>
          <w:sz w:val="28"/>
          <w:szCs w:val="28"/>
        </w:rPr>
        <w:t>（格式详见附件）</w:t>
      </w:r>
    </w:p>
    <w:p w14:paraId="54A9A7DB" w14:textId="77777777" w:rsidR="00C13A50" w:rsidRDefault="00000000">
      <w:pPr>
        <w:numPr>
          <w:ilvl w:val="0"/>
          <w:numId w:val="1"/>
        </w:numPr>
        <w:ind w:firstLineChars="200" w:firstLine="560"/>
        <w:rPr>
          <w:rFonts w:ascii="黑体" w:eastAsia="黑体"/>
          <w:sz w:val="28"/>
          <w:szCs w:val="28"/>
        </w:rPr>
      </w:pPr>
      <w:r>
        <w:rPr>
          <w:rFonts w:ascii="黑体" w:eastAsia="黑体" w:hint="eastAsia"/>
          <w:sz w:val="28"/>
          <w:szCs w:val="28"/>
        </w:rPr>
        <w:t>中央对北京转移支付预算执行情况绩效自评报告（参考提纲详见附件）</w:t>
      </w:r>
    </w:p>
    <w:p w14:paraId="0B9966F6" w14:textId="77777777" w:rsidR="00C13A50" w:rsidRDefault="00000000">
      <w:pPr>
        <w:spacing w:line="480" w:lineRule="exact"/>
        <w:ind w:firstLine="420"/>
        <w:rPr>
          <w:rFonts w:ascii="黑体" w:eastAsia="黑体"/>
          <w:sz w:val="28"/>
          <w:szCs w:val="28"/>
        </w:rPr>
      </w:pPr>
      <w:r>
        <w:rPr>
          <w:rFonts w:ascii="黑体" w:eastAsia="黑体" w:hint="eastAsia"/>
          <w:sz w:val="28"/>
          <w:szCs w:val="28"/>
        </w:rPr>
        <w:t xml:space="preserve"> （注：有中央转移支付的一级预算部门，公开“一、二、三、四”；没有中央转移支付的一级预算部门，公开“一、二、三”；二级预算单位仅公开“三”。）</w:t>
      </w:r>
    </w:p>
    <w:p w14:paraId="170F9C26" w14:textId="77777777" w:rsidR="00C13A50" w:rsidRDefault="00C13A50">
      <w:pPr>
        <w:spacing w:line="480" w:lineRule="exact"/>
        <w:rPr>
          <w:rFonts w:ascii="仿宋_GB2312" w:eastAsia="仿宋_GB2312" w:hAnsi="仿宋_GB2312" w:cs="仿宋_GB2312"/>
          <w:sz w:val="32"/>
          <w:szCs w:val="32"/>
        </w:rPr>
      </w:pPr>
    </w:p>
    <w:p w14:paraId="4CE61ACC" w14:textId="77777777" w:rsidR="00C13A50" w:rsidRDefault="00C13A50">
      <w:pPr>
        <w:spacing w:line="480" w:lineRule="exact"/>
      </w:pPr>
    </w:p>
    <w:sectPr w:rsidR="00C13A50">
      <w:footerReference w:type="even" r:id="rId10"/>
      <w:footerReference w:type="default" r:id="rId11"/>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A99077" w14:textId="77777777" w:rsidR="00AD5B78" w:rsidRDefault="00AD5B78">
      <w:r>
        <w:separator/>
      </w:r>
    </w:p>
  </w:endnote>
  <w:endnote w:type="continuationSeparator" w:id="0">
    <w:p w14:paraId="6884BF86" w14:textId="77777777" w:rsidR="00AD5B78" w:rsidRDefault="00AD5B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00"/>
    <w:family w:val="auto"/>
    <w:pitch w:val="default"/>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8B6705" w14:textId="77777777" w:rsidR="00C13A50" w:rsidRDefault="00000000">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3</w:t>
    </w:r>
    <w:r>
      <w:fldChar w:fldCharType="end"/>
    </w:r>
  </w:p>
  <w:p w14:paraId="11FC07E1" w14:textId="77777777" w:rsidR="00C13A50" w:rsidRDefault="00C13A50">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500614" w14:textId="77777777" w:rsidR="00C13A50" w:rsidRDefault="00000000">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15</w:t>
    </w:r>
    <w:r>
      <w:fldChar w:fldCharType="end"/>
    </w:r>
  </w:p>
  <w:p w14:paraId="58060B99" w14:textId="77777777" w:rsidR="00C13A50" w:rsidRDefault="00C13A50">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74E184" w14:textId="77777777" w:rsidR="00C13A50" w:rsidRDefault="00000000">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5</w:t>
    </w:r>
    <w:r>
      <w:fldChar w:fldCharType="end"/>
    </w:r>
  </w:p>
  <w:p w14:paraId="28FC435F" w14:textId="77777777" w:rsidR="00C13A50" w:rsidRDefault="00C13A50">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878814" w14:textId="77777777" w:rsidR="00AD5B78" w:rsidRDefault="00AD5B78">
      <w:r>
        <w:separator/>
      </w:r>
    </w:p>
  </w:footnote>
  <w:footnote w:type="continuationSeparator" w:id="0">
    <w:p w14:paraId="0A7EAA22" w14:textId="77777777" w:rsidR="00AD5B78" w:rsidRDefault="00AD5B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D7E84BE"/>
    <w:multiLevelType w:val="singleLevel"/>
    <w:tmpl w:val="8D7E84BE"/>
    <w:lvl w:ilvl="0">
      <w:start w:val="1"/>
      <w:numFmt w:val="chineseCounting"/>
      <w:suff w:val="nothing"/>
      <w:lvlText w:val="%1、"/>
      <w:lvlJc w:val="left"/>
      <w:rPr>
        <w:rFonts w:hint="eastAsia"/>
      </w:rPr>
    </w:lvl>
  </w:abstractNum>
  <w:num w:numId="1" w16cid:durableId="13276376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OWZmNWE4NzRhMTczNjJlZDE5ZTE5YTczN2QxMzcyMjAifQ=="/>
  </w:docVars>
  <w:rsids>
    <w:rsidRoot w:val="00100246"/>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0178"/>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3"/>
    <w:rsid w:val="002D03C6"/>
    <w:rsid w:val="002D0FDF"/>
    <w:rsid w:val="002D3955"/>
    <w:rsid w:val="002D68A9"/>
    <w:rsid w:val="002E06AE"/>
    <w:rsid w:val="002E4B75"/>
    <w:rsid w:val="002E68DD"/>
    <w:rsid w:val="002F17C2"/>
    <w:rsid w:val="002F32EE"/>
    <w:rsid w:val="002F4054"/>
    <w:rsid w:val="002F47CD"/>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07E5"/>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0EEC"/>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293D"/>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B06DF"/>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1656"/>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16AE"/>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5524A"/>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1D9"/>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5B78"/>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13A50"/>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6832"/>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917"/>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88E5AEF"/>
    <w:rsid w:val="0A5F7EB2"/>
    <w:rsid w:val="0BA148CA"/>
    <w:rsid w:val="0C1165C4"/>
    <w:rsid w:val="0D6D544B"/>
    <w:rsid w:val="0DD136FE"/>
    <w:rsid w:val="0F8E2C57"/>
    <w:rsid w:val="10352391"/>
    <w:rsid w:val="1059665E"/>
    <w:rsid w:val="10AC13BA"/>
    <w:rsid w:val="145A6C1B"/>
    <w:rsid w:val="14B73493"/>
    <w:rsid w:val="167A2FF9"/>
    <w:rsid w:val="18581C69"/>
    <w:rsid w:val="1AEC0734"/>
    <w:rsid w:val="1DEF20B0"/>
    <w:rsid w:val="214243FA"/>
    <w:rsid w:val="21AD613C"/>
    <w:rsid w:val="22467189"/>
    <w:rsid w:val="257A14F5"/>
    <w:rsid w:val="27196C26"/>
    <w:rsid w:val="278C564A"/>
    <w:rsid w:val="29367F2A"/>
    <w:rsid w:val="29EF086F"/>
    <w:rsid w:val="2EFFE297"/>
    <w:rsid w:val="301437CA"/>
    <w:rsid w:val="349D1F0A"/>
    <w:rsid w:val="34DD0473"/>
    <w:rsid w:val="3C684897"/>
    <w:rsid w:val="40950A81"/>
    <w:rsid w:val="433E495C"/>
    <w:rsid w:val="489F2FD7"/>
    <w:rsid w:val="48DE5D10"/>
    <w:rsid w:val="48FA7DB5"/>
    <w:rsid w:val="4AC27CB3"/>
    <w:rsid w:val="4BF72BEF"/>
    <w:rsid w:val="4FA90297"/>
    <w:rsid w:val="4FC41A43"/>
    <w:rsid w:val="51DB3C59"/>
    <w:rsid w:val="550C0952"/>
    <w:rsid w:val="55762E42"/>
    <w:rsid w:val="57A7B272"/>
    <w:rsid w:val="58470068"/>
    <w:rsid w:val="58747CAC"/>
    <w:rsid w:val="5A1720F9"/>
    <w:rsid w:val="5B9C37C2"/>
    <w:rsid w:val="5BA7C654"/>
    <w:rsid w:val="60A54109"/>
    <w:rsid w:val="61D01CDF"/>
    <w:rsid w:val="6395771A"/>
    <w:rsid w:val="64C0607C"/>
    <w:rsid w:val="65756C86"/>
    <w:rsid w:val="674D385B"/>
    <w:rsid w:val="676F09E1"/>
    <w:rsid w:val="71793A80"/>
    <w:rsid w:val="7357290B"/>
    <w:rsid w:val="797505C2"/>
    <w:rsid w:val="798524E4"/>
    <w:rsid w:val="7A7F1C49"/>
    <w:rsid w:val="7B5B7AE6"/>
    <w:rsid w:val="7B7B6628"/>
    <w:rsid w:val="7BA7071E"/>
    <w:rsid w:val="7BDF6DA8"/>
    <w:rsid w:val="7C7EDC1A"/>
    <w:rsid w:val="7CCED98D"/>
    <w:rsid w:val="7D08410F"/>
    <w:rsid w:val="7DB96DED"/>
    <w:rsid w:val="7DD3AD81"/>
    <w:rsid w:val="7F7FE70F"/>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9ABB85C"/>
  <w15:docId w15:val="{31F5C739-397A-425C-8EC5-E47EF2986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a8"/>
    <w:qFormat/>
    <w:pPr>
      <w:tabs>
        <w:tab w:val="center" w:pos="4153"/>
        <w:tab w:val="right" w:pos="8306"/>
      </w:tabs>
      <w:snapToGrid w:val="0"/>
      <w:jc w:val="left"/>
    </w:pPr>
    <w:rPr>
      <w:sz w:val="18"/>
      <w:szCs w:val="18"/>
    </w:rPr>
  </w:style>
  <w:style w:type="paragraph" w:styleId="a9">
    <w:name w:val="header"/>
    <w:basedOn w:val="a"/>
    <w:link w:val="aa"/>
    <w:qFormat/>
    <w:pPr>
      <w:pBdr>
        <w:bottom w:val="single" w:sz="6" w:space="1" w:color="auto"/>
      </w:pBdr>
      <w:tabs>
        <w:tab w:val="center" w:pos="4153"/>
        <w:tab w:val="right" w:pos="8306"/>
      </w:tabs>
      <w:snapToGrid w:val="0"/>
      <w:jc w:val="center"/>
    </w:pPr>
    <w:rPr>
      <w:rFonts w:ascii="Calibri" w:hAnsi="Calibri"/>
      <w:sz w:val="18"/>
      <w:szCs w:val="18"/>
    </w:rPr>
  </w:style>
  <w:style w:type="paragraph" w:styleId="ab">
    <w:name w:val="Normal (Web)"/>
    <w:basedOn w:val="a"/>
    <w:unhideWhenUsed/>
    <w:qFormat/>
    <w:pPr>
      <w:spacing w:before="100" w:beforeAutospacing="1" w:after="100" w:afterAutospacing="1"/>
      <w:ind w:right="238"/>
      <w:jc w:val="left"/>
    </w:pPr>
    <w:rPr>
      <w:b/>
      <w:kern w:val="0"/>
      <w:sz w:val="24"/>
      <w:szCs w:val="20"/>
    </w:rPr>
  </w:style>
  <w:style w:type="character" w:styleId="ac">
    <w:name w:val="Strong"/>
    <w:qFormat/>
    <w:rPr>
      <w:b/>
    </w:rPr>
  </w:style>
  <w:style w:type="character" w:styleId="ad">
    <w:name w:val="page number"/>
    <w:qFormat/>
  </w:style>
  <w:style w:type="character" w:customStyle="1" w:styleId="a8">
    <w:name w:val="页脚 字符"/>
    <w:link w:val="a7"/>
    <w:qFormat/>
    <w:rPr>
      <w:rFonts w:eastAsia="宋体"/>
      <w:kern w:val="2"/>
      <w:sz w:val="18"/>
      <w:szCs w:val="18"/>
      <w:lang w:val="en-US" w:eastAsia="zh-CN" w:bidi="ar-SA"/>
    </w:rPr>
  </w:style>
  <w:style w:type="character" w:customStyle="1" w:styleId="aa">
    <w:name w:val="页眉 字符"/>
    <w:link w:val="a9"/>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
    <w:name w:val="Char"/>
    <w:basedOn w:val="a"/>
    <w:qFormat/>
    <w:rPr>
      <w:rFonts w:ascii="Tahoma" w:hAnsi="Tahoma"/>
      <w:sz w:val="24"/>
      <w:szCs w:val="20"/>
    </w:rPr>
  </w:style>
  <w:style w:type="paragraph" w:customStyle="1" w:styleId="CharChar3CharChar">
    <w:name w:val="Char Char3 Char Char"/>
    <w:basedOn w:val="a"/>
    <w:qFormat/>
    <w:rPr>
      <w:szCs w:val="21"/>
    </w:rPr>
  </w:style>
  <w:style w:type="paragraph" w:styleId="ae">
    <w:name w:val="List Paragraph"/>
    <w:basedOn w:val="a"/>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p>
        </c:rich>
      </c:tx>
      <c:overlay val="0"/>
    </c:title>
    <c:autoTitleDeleted val="0"/>
    <c:plotArea>
      <c:layout/>
      <c:pieChart>
        <c:varyColors val="1"/>
        <c:ser>
          <c:idx val="0"/>
          <c:order val="0"/>
          <c:tx>
            <c:strRef>
              <c:f>Sheet1!$B$1</c:f>
              <c:strCache>
                <c:ptCount val="1"/>
                <c:pt idx="0">
                  <c:v>收入</c:v>
                </c:pt>
              </c:strCache>
            </c:strRef>
          </c:tx>
          <c:dPt>
            <c:idx val="0"/>
            <c:bubble3D val="0"/>
            <c:extLst>
              <c:ext xmlns:c16="http://schemas.microsoft.com/office/drawing/2014/chart" uri="{C3380CC4-5D6E-409C-BE32-E72D297353CC}">
                <c16:uniqueId val="{00000000-5A91-408F-ACBC-0A656C3AEE5E}"/>
              </c:ext>
            </c:extLst>
          </c:dPt>
          <c:dPt>
            <c:idx val="1"/>
            <c:bubble3D val="0"/>
            <c:extLst>
              <c:ext xmlns:c16="http://schemas.microsoft.com/office/drawing/2014/chart" uri="{C3380CC4-5D6E-409C-BE32-E72D297353CC}">
                <c16:uniqueId val="{00000001-5A91-408F-ACBC-0A656C3AEE5E}"/>
              </c:ext>
            </c:extLst>
          </c:dPt>
          <c:dPt>
            <c:idx val="2"/>
            <c:bubble3D val="0"/>
            <c:extLst>
              <c:ext xmlns:c16="http://schemas.microsoft.com/office/drawing/2014/chart" uri="{C3380CC4-5D6E-409C-BE32-E72D297353CC}">
                <c16:uniqueId val="{00000002-5A91-408F-ACBC-0A656C3AEE5E}"/>
              </c:ext>
            </c:extLst>
          </c:dPt>
          <c:dPt>
            <c:idx val="3"/>
            <c:bubble3D val="0"/>
            <c:extLst>
              <c:ext xmlns:c16="http://schemas.microsoft.com/office/drawing/2014/chart" uri="{C3380CC4-5D6E-409C-BE32-E72D297353CC}">
                <c16:uniqueId val="{00000003-5A91-408F-ACBC-0A656C3AEE5E}"/>
              </c:ext>
            </c:extLst>
          </c:dPt>
          <c:dPt>
            <c:idx val="4"/>
            <c:bubble3D val="0"/>
            <c:extLst>
              <c:ext xmlns:c16="http://schemas.microsoft.com/office/drawing/2014/chart" uri="{C3380CC4-5D6E-409C-BE32-E72D297353CC}">
                <c16:uniqueId val="{00000004-5A91-408F-ACBC-0A656C3AEE5E}"/>
              </c:ext>
            </c:extLst>
          </c:dPt>
          <c:dPt>
            <c:idx val="5"/>
            <c:bubble3D val="0"/>
            <c:extLst>
              <c:ext xmlns:c16="http://schemas.microsoft.com/office/drawing/2014/chart" uri="{C3380CC4-5D6E-409C-BE32-E72D297353CC}">
                <c16:uniqueId val="{00000005-5A91-408F-ACBC-0A656C3AEE5E}"/>
              </c:ext>
            </c:extLst>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3434.46</c:v>
                </c:pt>
                <c:pt idx="1">
                  <c:v>0</c:v>
                </c:pt>
                <c:pt idx="2">
                  <c:v>0</c:v>
                </c:pt>
                <c:pt idx="3">
                  <c:v>0</c:v>
                </c:pt>
                <c:pt idx="4">
                  <c:v>0</c:v>
                </c:pt>
                <c:pt idx="5">
                  <c:v>0</c:v>
                </c:pt>
              </c:numCache>
            </c:numRef>
          </c:val>
          <c:extLst>
            <c:ext xmlns:c16="http://schemas.microsoft.com/office/drawing/2014/chart" uri="{C3380CC4-5D6E-409C-BE32-E72D297353CC}">
              <c16:uniqueId val="{00000006-5A91-408F-ACBC-0A656C3AEE5E}"/>
            </c:ext>
          </c:extLst>
        </c:ser>
        <c:dLbls>
          <c:showLegendKey val="0"/>
          <c:showVal val="1"/>
          <c:showCatName val="0"/>
          <c:showSerName val="0"/>
          <c:showPercent val="0"/>
          <c:showBubbleSize val="0"/>
          <c:showLeaderLines val="1"/>
        </c:dLbls>
        <c:firstSliceAng val="0"/>
      </c:pieChart>
    </c:plotArea>
    <c:legend>
      <c:legendPos val="r"/>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extLst>
      <c:ext uri="{0b15fc19-7d7d-44ad-8c2d-2c3a37ce22c3}">
        <chartProps xmlns="https://web.wps.cn/et/2018/main" chartId="{ee411455-4b6d-4ea5-8125-548b08aaecf7}"/>
      </c:ext>
    </c:extLst>
  </c:chart>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p>
        </c:rich>
      </c:tx>
      <c:overlay val="0"/>
      <c:spPr>
        <a:noFill/>
        <a:ln>
          <a:noFill/>
        </a:ln>
        <a:effectLst/>
      </c:spPr>
    </c:title>
    <c:autoTitleDeleted val="0"/>
    <c:plotArea>
      <c:layout/>
      <c:pieChart>
        <c:varyColors val="1"/>
        <c:ser>
          <c:idx val="0"/>
          <c:order val="0"/>
          <c:tx>
            <c:strRef>
              <c:f>Sheet0!$B$1</c:f>
              <c:strCache>
                <c:ptCount val="1"/>
                <c:pt idx="0">
                  <c:v>支出</c:v>
                </c:pt>
              </c:strCache>
            </c:strRef>
          </c:tx>
          <c:dPt>
            <c:idx val="0"/>
            <c:bubble3D val="0"/>
            <c:spPr>
              <a:solidFill>
                <a:srgbClr val="4F81BD"/>
              </a:solidFill>
              <a:ln w="19050">
                <a:solidFill>
                  <a:srgbClr val="FFFFFF"/>
                </a:solidFill>
              </a:ln>
              <a:effectLst/>
            </c:spPr>
            <c:extLst>
              <c:ext xmlns:c16="http://schemas.microsoft.com/office/drawing/2014/chart" uri="{C3380CC4-5D6E-409C-BE32-E72D297353CC}">
                <c16:uniqueId val="{00000001-2DA1-4E2E-8AF7-CE55FF6F3272}"/>
              </c:ext>
            </c:extLst>
          </c:dPt>
          <c:dPt>
            <c:idx val="1"/>
            <c:bubble3D val="0"/>
            <c:spPr>
              <a:solidFill>
                <a:srgbClr val="C0504D"/>
              </a:solidFill>
              <a:ln w="19050">
                <a:solidFill>
                  <a:srgbClr val="FFFFFF"/>
                </a:solidFill>
              </a:ln>
              <a:effectLst/>
            </c:spPr>
            <c:extLst>
              <c:ext xmlns:c16="http://schemas.microsoft.com/office/drawing/2014/chart" uri="{C3380CC4-5D6E-409C-BE32-E72D297353CC}">
                <c16:uniqueId val="{00000003-2DA1-4E2E-8AF7-CE55FF6F3272}"/>
              </c:ext>
            </c:extLst>
          </c:dPt>
          <c:dPt>
            <c:idx val="2"/>
            <c:bubble3D val="0"/>
            <c:spPr>
              <a:solidFill>
                <a:srgbClr val="9BBB59"/>
              </a:solidFill>
              <a:ln w="19050">
                <a:solidFill>
                  <a:srgbClr val="FFFFFF"/>
                </a:solidFill>
              </a:ln>
              <a:effectLst/>
            </c:spPr>
            <c:extLst>
              <c:ext xmlns:c16="http://schemas.microsoft.com/office/drawing/2014/chart" uri="{C3380CC4-5D6E-409C-BE32-E72D297353CC}">
                <c16:uniqueId val="{00000005-2DA1-4E2E-8AF7-CE55FF6F3272}"/>
              </c:ext>
            </c:extLst>
          </c:dPt>
          <c:dPt>
            <c:idx val="3"/>
            <c:bubble3D val="0"/>
            <c:spPr>
              <a:solidFill>
                <a:srgbClr val="8064A2"/>
              </a:solidFill>
              <a:ln w="19050">
                <a:solidFill>
                  <a:srgbClr val="FFFFFF"/>
                </a:solidFill>
              </a:ln>
              <a:effectLst/>
            </c:spPr>
            <c:extLst>
              <c:ext xmlns:c16="http://schemas.microsoft.com/office/drawing/2014/chart" uri="{C3380CC4-5D6E-409C-BE32-E72D297353CC}">
                <c16:uniqueId val="{00000007-2DA1-4E2E-8AF7-CE55FF6F3272}"/>
              </c:ext>
            </c:extLst>
          </c:dPt>
          <c:dPt>
            <c:idx val="4"/>
            <c:bubble3D val="0"/>
            <c:spPr>
              <a:solidFill>
                <a:srgbClr val="4BACC6"/>
              </a:solidFill>
              <a:ln w="19050">
                <a:solidFill>
                  <a:srgbClr val="FFFFFF"/>
                </a:solidFill>
              </a:ln>
              <a:effectLst/>
            </c:spPr>
            <c:extLst>
              <c:ext xmlns:c16="http://schemas.microsoft.com/office/drawing/2014/chart" uri="{C3380CC4-5D6E-409C-BE32-E72D297353CC}">
                <c16:uniqueId val="{00000009-2DA1-4E2E-8AF7-CE55FF6F3272}"/>
              </c:ext>
            </c:extLst>
          </c:dPt>
          <c:dLbls>
            <c:dLbl>
              <c:idx val="2"/>
              <c:layout>
                <c:manualLayout>
                  <c:x val="-3.9003729401150003E-2"/>
                  <c:y val="3.2827143610787798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2DA1-4E2E-8AF7-CE55FF6F3272}"/>
                </c:ext>
              </c:extLst>
            </c:dLbl>
            <c:dLbl>
              <c:idx val="4"/>
              <c:layout>
                <c:manualLayout>
                  <c:x val="3.8988769358610197E-2"/>
                  <c:y val="1.05112295100623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9-2DA1-4E2E-8AF7-CE55FF6F3272}"/>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leaderLines>
              <c:spPr>
                <a:ln w="9525" cap="flat" cmpd="sng" algn="ctr">
                  <a:solidFill>
                    <a:srgbClr val="A6A6A6">
                      <a:lumMod val="35000"/>
                      <a:lumOff val="65000"/>
                    </a:srgbClr>
                  </a:solidFill>
                  <a:prstDash val="solid"/>
                  <a:round/>
                </a:ln>
                <a:effectLst/>
              </c:spPr>
            </c:leaderLines>
            <c:extLst>
              <c:ext xmlns:c15="http://schemas.microsoft.com/office/drawing/2012/chart" uri="{CE6537A1-D6FC-4f65-9D91-7224C49458BB}"/>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3169.04</c:v>
                </c:pt>
                <c:pt idx="1">
                  <c:v>265.42</c:v>
                </c:pt>
                <c:pt idx="2">
                  <c:v>0</c:v>
                </c:pt>
                <c:pt idx="3">
                  <c:v>0</c:v>
                </c:pt>
                <c:pt idx="4">
                  <c:v>0</c:v>
                </c:pt>
              </c:numCache>
            </c:numRef>
          </c:val>
          <c:extLst>
            <c:ext xmlns:c16="http://schemas.microsoft.com/office/drawing/2014/chart" uri="{C3380CC4-5D6E-409C-BE32-E72D297353CC}">
              <c16:uniqueId val="{0000000A-2DA1-4E2E-8AF7-CE55FF6F3272}"/>
            </c:ext>
          </c:extLst>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
    <c:plotVisOnly val="1"/>
    <c:dispBlanksAs val="gap"/>
    <c:showDLblsOverMax val="0"/>
    <c:extLst>
      <c:ext uri="{0b15fc19-7d7d-44ad-8c2d-2c3a37ce22c3}">
        <chartProps xmlns="https://web.wps.cn/et/2018/main" chartId="{abf766a6-bf24-474f-bfd6-93f84f9f598e}"/>
      </c:ext>
    </c:extLst>
  </c:chart>
  <c:spPr>
    <a:ln w="9525" cap="flat" cmpd="sng" algn="ctr">
      <a:solidFill>
        <a:srgbClr val="D9D9D9">
          <a:lumMod val="15000"/>
          <a:lumOff val="85000"/>
        </a:srgbClr>
      </a:solidFill>
      <a:prstDash val="solid"/>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648</Words>
  <Characters>3700</Characters>
  <Application>Microsoft Office Word</Application>
  <DocSecurity>0</DocSecurity>
  <Lines>30</Lines>
  <Paragraphs>8</Paragraphs>
  <ScaleCrop>false</ScaleCrop>
  <Company/>
  <LinksUpToDate>false</LinksUpToDate>
  <CharactersWithSpaces>4340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yeying</cp:lastModifiedBy>
  <cp:revision>2</cp:revision>
  <cp:lastPrinted>2020-08-07T11:39:00Z</cp:lastPrinted>
  <dcterms:created xsi:type="dcterms:W3CDTF">2025-08-27T13:30:00Z</dcterms:created>
  <dcterms:modified xsi:type="dcterms:W3CDTF">2025-08-27T13:30:00Z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435078ACFECC4A5A8A519EF4C3681114_13</vt:lpwstr>
  </property>
  <property fmtid="{D5CDD505-2E9C-101B-9397-08002B2CF9AE}" pid="4" name="KSOTemplateDocerSaveRecord">
    <vt:lpwstr>eyJoZGlkIjoiODgwODllMjNjOTE5ZTIwZjBlMmM0Y2I1M2FkNGRiZmUiLCJ1c2VySWQiOiI1ODIwMTM3MzQifQ==</vt:lpwstr>
  </property>
</Properties>
</file>