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62516">
      <w:pPr>
        <w:jc w:val="center"/>
        <w:rPr>
          <w:rFonts w:ascii="仿宋_GB2312" w:eastAsia="仿宋_GB2312"/>
          <w:b/>
          <w:sz w:val="32"/>
          <w:szCs w:val="32"/>
        </w:rPr>
      </w:pPr>
    </w:p>
    <w:p w14:paraId="21F67996">
      <w:pPr>
        <w:jc w:val="center"/>
        <w:rPr>
          <w:rFonts w:ascii="黑体" w:eastAsia="黑体"/>
          <w:sz w:val="72"/>
          <w:szCs w:val="72"/>
        </w:rPr>
      </w:pPr>
    </w:p>
    <w:p w14:paraId="2D203521">
      <w:pPr>
        <w:jc w:val="center"/>
        <w:rPr>
          <w:rFonts w:ascii="黑体" w:eastAsia="黑体"/>
          <w:sz w:val="72"/>
          <w:szCs w:val="72"/>
        </w:rPr>
      </w:pPr>
    </w:p>
    <w:p w14:paraId="46123B2C">
      <w:pPr>
        <w:jc w:val="center"/>
        <w:rPr>
          <w:rFonts w:ascii="黑体" w:eastAsia="黑体"/>
          <w:sz w:val="72"/>
          <w:szCs w:val="72"/>
        </w:rPr>
      </w:pPr>
    </w:p>
    <w:p w14:paraId="0FFCA7B1">
      <w:pPr>
        <w:jc w:val="center"/>
        <w:rPr>
          <w:rFonts w:ascii="黑体" w:eastAsia="黑体"/>
          <w:sz w:val="72"/>
          <w:szCs w:val="72"/>
        </w:rPr>
      </w:pPr>
    </w:p>
    <w:p w14:paraId="55FFA72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49814E2">
      <w:pPr>
        <w:jc w:val="center"/>
        <w:rPr>
          <w:rFonts w:ascii="黑体" w:eastAsia="黑体"/>
          <w:sz w:val="52"/>
          <w:szCs w:val="52"/>
        </w:rPr>
      </w:pPr>
    </w:p>
    <w:p w14:paraId="33168322">
      <w:pPr>
        <w:jc w:val="center"/>
        <w:rPr>
          <w:rFonts w:ascii="黑体" w:eastAsia="黑体"/>
          <w:sz w:val="52"/>
          <w:szCs w:val="52"/>
        </w:rPr>
      </w:pPr>
    </w:p>
    <w:p w14:paraId="1EC94FDF">
      <w:pPr>
        <w:jc w:val="center"/>
        <w:rPr>
          <w:rFonts w:ascii="黑体" w:eastAsia="黑体"/>
          <w:sz w:val="52"/>
          <w:szCs w:val="52"/>
        </w:rPr>
      </w:pPr>
    </w:p>
    <w:p w14:paraId="471BB838">
      <w:pPr>
        <w:jc w:val="center"/>
        <w:rPr>
          <w:rFonts w:ascii="黑体" w:eastAsia="黑体"/>
          <w:sz w:val="52"/>
          <w:szCs w:val="52"/>
        </w:rPr>
      </w:pPr>
    </w:p>
    <w:p w14:paraId="778D964C">
      <w:pPr>
        <w:jc w:val="center"/>
        <w:rPr>
          <w:rFonts w:ascii="黑体" w:eastAsia="黑体"/>
          <w:sz w:val="32"/>
          <w:szCs w:val="32"/>
        </w:rPr>
      </w:pPr>
    </w:p>
    <w:p w14:paraId="21A5FB5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C50D14E">
      <w:pPr>
        <w:spacing w:line="500" w:lineRule="exact"/>
        <w:ind w:firstLine="645"/>
        <w:jc w:val="center"/>
        <w:rPr>
          <w:rFonts w:hint="eastAsia" w:ascii="宋体" w:hAnsi="宋体" w:cs="宋体"/>
          <w:b/>
          <w:bCs/>
          <w:kern w:val="0"/>
          <w:sz w:val="36"/>
          <w:szCs w:val="36"/>
        </w:rPr>
      </w:pPr>
    </w:p>
    <w:p w14:paraId="199B229D">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C6C1F8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CB274C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7196C9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55B263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B045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73CB57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585AE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225663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9935E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40E81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75BE7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A9FB47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954AB5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971908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14DDC9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8A33CA0">
      <w:pPr>
        <w:tabs>
          <w:tab w:val="center" w:pos="6979"/>
        </w:tabs>
        <w:spacing w:before="156" w:beforeLines="50" w:after="156" w:afterLines="50"/>
        <w:jc w:val="center"/>
        <w:rPr>
          <w:rFonts w:ascii="宋体" w:hAnsi="宋体" w:cs="宋体"/>
          <w:b/>
          <w:bCs/>
          <w:spacing w:val="40"/>
          <w:kern w:val="0"/>
          <w:sz w:val="32"/>
          <w:szCs w:val="32"/>
        </w:rPr>
      </w:pPr>
    </w:p>
    <w:p w14:paraId="43FE8D4F">
      <w:pPr>
        <w:tabs>
          <w:tab w:val="center" w:pos="6979"/>
        </w:tabs>
        <w:spacing w:before="156" w:beforeLines="50" w:after="156" w:afterLines="50"/>
        <w:jc w:val="center"/>
        <w:rPr>
          <w:rFonts w:ascii="宋体" w:hAnsi="宋体" w:cs="宋体"/>
          <w:b/>
          <w:bCs/>
          <w:spacing w:val="40"/>
          <w:kern w:val="0"/>
          <w:sz w:val="32"/>
          <w:szCs w:val="32"/>
        </w:rPr>
      </w:pPr>
    </w:p>
    <w:p w14:paraId="0C3C10FE">
      <w:pPr>
        <w:tabs>
          <w:tab w:val="center" w:pos="6979"/>
        </w:tabs>
        <w:spacing w:before="156" w:beforeLines="50" w:after="156" w:afterLines="50"/>
        <w:jc w:val="center"/>
        <w:rPr>
          <w:rFonts w:ascii="宋体" w:hAnsi="宋体" w:cs="宋体"/>
          <w:b/>
          <w:bCs/>
          <w:spacing w:val="40"/>
          <w:kern w:val="0"/>
          <w:sz w:val="32"/>
          <w:szCs w:val="32"/>
        </w:rPr>
      </w:pPr>
    </w:p>
    <w:p w14:paraId="30CC9F02">
      <w:pPr>
        <w:tabs>
          <w:tab w:val="center" w:pos="6979"/>
        </w:tabs>
        <w:spacing w:before="156" w:beforeLines="50" w:after="156" w:afterLines="50"/>
        <w:jc w:val="center"/>
        <w:rPr>
          <w:rFonts w:ascii="宋体" w:hAnsi="宋体" w:cs="宋体"/>
          <w:b/>
          <w:bCs/>
          <w:spacing w:val="40"/>
          <w:kern w:val="0"/>
          <w:sz w:val="32"/>
          <w:szCs w:val="32"/>
        </w:rPr>
      </w:pPr>
    </w:p>
    <w:p w14:paraId="0CB1EEAB">
      <w:pPr>
        <w:tabs>
          <w:tab w:val="center" w:pos="6979"/>
        </w:tabs>
        <w:spacing w:before="156" w:beforeLines="50" w:after="156" w:afterLines="50"/>
        <w:jc w:val="center"/>
        <w:rPr>
          <w:rFonts w:ascii="宋体" w:hAnsi="宋体" w:cs="宋体"/>
          <w:b/>
          <w:bCs/>
          <w:spacing w:val="40"/>
          <w:kern w:val="0"/>
          <w:sz w:val="32"/>
          <w:szCs w:val="32"/>
        </w:rPr>
      </w:pPr>
    </w:p>
    <w:p w14:paraId="1D1806FB">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9163CB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FDEED5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B52174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CDF806B">
      <w:pPr>
        <w:tabs>
          <w:tab w:val="center" w:pos="6979"/>
        </w:tabs>
        <w:spacing w:line="580" w:lineRule="exact"/>
        <w:ind w:firstLine="420" w:firstLineChars="150"/>
        <w:rPr>
          <w:rFonts w:eastAsia="黑体"/>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154E6423">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1.本单位为北京市西城区教育委员会所属2级预算单位，单位类型为公益一类事业单位，单位决算编报类型为单户表 ，按照政府会计准则制度会计制度填报决算数据。</w:t>
      </w:r>
    </w:p>
    <w:p w14:paraId="7B644F54">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2.纳入本套决算编制范围的独立核算单位共1个，比上年增减0个。</w:t>
      </w:r>
    </w:p>
    <w:p w14:paraId="6B4AC7A7">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3.主要职能：正确贯彻执行党和国家的教育方针、政策、法规；维护学校的教学秩序，为学生创造良好的学习环境；积极稳妥的推进教育改革，按教育规律办事，不断提高教育质量；根据学校规模，设置学校管理机构，建立健全规章制度和岗位责任制；坚持教书育人、服务育人、环境育人的方针，加强对学生的思想品德教育，使学生德智体全面发展；做好安全防范工作，保证学生人身安全；认真执行新预算法，做好预算和决算的编报、公开及执行工作。</w:t>
      </w:r>
    </w:p>
    <w:p w14:paraId="45F70E36">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794F2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13797.46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225.04万元，增长1.66%。</w:t>
      </w:r>
    </w:p>
    <w:p w14:paraId="52BE4E9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3933A7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13797.46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364.4万元，增长2.71%</w:t>
      </w:r>
      <w:r>
        <w:rPr>
          <w:rFonts w:hint="eastAsia" w:ascii="仿宋_GB2312" w:eastAsia="仿宋_GB2312"/>
          <w:sz w:val="28"/>
          <w:szCs w:val="28"/>
          <w:lang w:eastAsia="zh-CN"/>
        </w:rPr>
        <w:t>。</w:t>
      </w:r>
    </w:p>
    <w:p w14:paraId="03DA9671">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13797.46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13794.46</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3</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BDC55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1EC696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8AB5BF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EAE5C6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B0BEA0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F32C457">
      <w:pPr>
        <w:pStyle w:val="2"/>
        <w:ind w:firstLine="0"/>
        <w:jc w:val="center"/>
      </w:pPr>
      <w:r>
        <w:rPr>
          <w:rFonts w:hint="eastAsia" w:ascii="仿宋_GB2312" w:eastAsia="仿宋_GB2312"/>
          <w:color w:val="000000"/>
          <w:sz w:val="32"/>
          <w:szCs w:val="32"/>
          <w:highlight w:val="none"/>
          <w:lang w:val="en-US" w:eastAsia="zh-CN"/>
        </w:rPr>
        <w:t>图1：收入决算</w:t>
      </w:r>
    </w:p>
    <w:p w14:paraId="7DA1E5A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13E33D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C1DEAE6">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13797.46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364.4万元，增长2.71%，其中：基本支出</w:t>
      </w:r>
      <w:r>
        <w:rPr>
          <w:rFonts w:ascii="仿宋_GB2312" w:eastAsia="仿宋_GB2312"/>
          <w:sz w:val="28"/>
          <w:szCs w:val="28"/>
        </w:rPr>
        <w:t>12467.56</w:t>
      </w:r>
      <w:r>
        <w:rPr>
          <w:rFonts w:hint="eastAsia" w:ascii="仿宋_GB2312" w:eastAsia="仿宋_GB2312"/>
          <w:sz w:val="28"/>
          <w:szCs w:val="28"/>
        </w:rPr>
        <w:t>万元，占支出合计的</w:t>
      </w:r>
      <w:r>
        <w:rPr>
          <w:rFonts w:hint="eastAsia" w:ascii="仿宋_GB2312" w:eastAsia="仿宋_GB2312"/>
          <w:sz w:val="28"/>
          <w:szCs w:val="28"/>
          <w:lang w:eastAsia="zh-CN"/>
        </w:rPr>
        <w:t>90.36</w:t>
      </w:r>
      <w:r>
        <w:rPr>
          <w:rFonts w:hint="eastAsia" w:ascii="仿宋_GB2312" w:eastAsia="仿宋_GB2312"/>
          <w:sz w:val="28"/>
          <w:szCs w:val="28"/>
        </w:rPr>
        <w:t>%；项目支出</w:t>
      </w:r>
      <w:r>
        <w:rPr>
          <w:rFonts w:ascii="仿宋_GB2312" w:eastAsia="仿宋_GB2312"/>
          <w:sz w:val="28"/>
          <w:szCs w:val="28"/>
        </w:rPr>
        <w:t>1329.89</w:t>
      </w:r>
      <w:r>
        <w:rPr>
          <w:rFonts w:hint="eastAsia" w:ascii="仿宋_GB2312" w:eastAsia="仿宋_GB2312"/>
          <w:sz w:val="28"/>
          <w:szCs w:val="28"/>
        </w:rPr>
        <w:t>万元，占支出合计的</w:t>
      </w:r>
      <w:r>
        <w:rPr>
          <w:rFonts w:hint="eastAsia" w:ascii="仿宋_GB2312" w:eastAsia="仿宋_GB2312"/>
          <w:sz w:val="28"/>
          <w:szCs w:val="28"/>
          <w:lang w:eastAsia="zh-CN"/>
        </w:rPr>
        <w:t>9.64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B6923F0">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1FFF1A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C7632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47D3F4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13797.46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364.4万元，增长2.71%。主要原因：人员经费收入方面，本年在职人员五险一金缴费基数均有所增加，工资福利支出相应增加；同时，本年补发退休人员一次性补贴，因此人员经费全年收入较上年相比增加。日常公用经费收入方面，第一，本年学生人数增加，公用经费中生均定额部分的全年收入相应增加；第二，随着工资福利增加，工会经费全年收入相应增加；第三，本年福利费标准调标，较上年相比增长，因此公用经费全年收入较上年相比增长。综上，本年财政拨款收、</w:t>
      </w:r>
      <w:r>
        <w:rPr>
          <w:rFonts w:ascii="仿宋_GB2312" w:eastAsia="仿宋_GB2312"/>
          <w:sz w:val="28"/>
          <w:szCs w:val="28"/>
        </w:rPr>
        <w:t>支</w:t>
      </w:r>
      <w:r>
        <w:rPr>
          <w:rFonts w:hint="eastAsia" w:ascii="仿宋_GB2312" w:eastAsia="仿宋_GB2312"/>
          <w:sz w:val="28"/>
          <w:szCs w:val="28"/>
        </w:rPr>
        <w:t>总计较上年相比增加。</w:t>
      </w:r>
    </w:p>
    <w:p w14:paraId="6A7EB76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D7CF56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65CD23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13794.46</w:t>
      </w:r>
      <w:r>
        <w:rPr>
          <w:rFonts w:hint="eastAsia" w:ascii="仿宋_GB2312" w:eastAsia="仿宋_GB2312"/>
          <w:sz w:val="28"/>
          <w:szCs w:val="28"/>
        </w:rPr>
        <w:t>万元，主要用于以下方面（按大类）：教育支出9679.47万元，占本年财政拨款支出70.15%；社会保障和就业支出1712.18万元，占本年财政拨款支出12.41%；卫生健康支出816.92万元，占本年财政拨款支出5.92%；住房保障支出1585.88万元，占本年财政拨款支出11.49%。</w:t>
      </w:r>
    </w:p>
    <w:p w14:paraId="594C97B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8101B3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年度年初预算9363.85万元，202</w:t>
      </w:r>
      <w:r>
        <w:rPr>
          <w:rFonts w:hint="eastAsia" w:ascii="仿宋_GB2312" w:eastAsia="仿宋_GB2312"/>
          <w:sz w:val="28"/>
          <w:szCs w:val="28"/>
          <w:lang w:val="en-US" w:eastAsia="zh-CN"/>
        </w:rPr>
        <w:t>4</w:t>
      </w:r>
      <w:r>
        <w:rPr>
          <w:rFonts w:hint="eastAsia" w:ascii="仿宋_GB2312" w:eastAsia="仿宋_GB2312"/>
          <w:sz w:val="28"/>
          <w:szCs w:val="28"/>
        </w:rPr>
        <w:t>年度决算9679.47万元，</w:t>
      </w:r>
      <w:r>
        <w:rPr>
          <w:rFonts w:hint="eastAsia" w:ascii="仿宋_GB2312" w:eastAsia="仿宋_GB2312"/>
          <w:sz w:val="28"/>
          <w:szCs w:val="28"/>
          <w:lang w:eastAsia="zh-CN"/>
        </w:rPr>
        <w:t>完成年初预算的</w:t>
      </w:r>
      <w:r>
        <w:rPr>
          <w:rFonts w:hint="eastAsia" w:ascii="仿宋_GB2312" w:eastAsia="仿宋_GB2312"/>
          <w:sz w:val="28"/>
          <w:szCs w:val="28"/>
        </w:rPr>
        <w:t>103.37%。</w:t>
      </w:r>
    </w:p>
    <w:p w14:paraId="2596B5E8">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1B2036DB">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“普通教育”202</w:t>
      </w:r>
      <w:r>
        <w:rPr>
          <w:rFonts w:hint="eastAsia" w:ascii="仿宋_GB2312" w:eastAsia="仿宋_GB2312"/>
          <w:sz w:val="28"/>
          <w:szCs w:val="28"/>
          <w:lang w:val="en-US" w:eastAsia="zh-CN"/>
        </w:rPr>
        <w:t>4</w:t>
      </w:r>
      <w:r>
        <w:rPr>
          <w:rFonts w:hint="eastAsia" w:ascii="仿宋_GB2312" w:eastAsia="仿宋_GB2312"/>
          <w:sz w:val="28"/>
          <w:szCs w:val="28"/>
        </w:rPr>
        <w:t>年度年初预算9264.86万元，202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w:t>
      </w:r>
      <w:r>
        <w:rPr>
          <w:rFonts w:hint="eastAsia" w:ascii="仿宋_GB2312" w:eastAsia="仿宋_GB2312"/>
          <w:sz w:val="28"/>
          <w:szCs w:val="28"/>
        </w:rPr>
        <w:t>9650.36万元，</w:t>
      </w:r>
      <w:r>
        <w:rPr>
          <w:rFonts w:hint="eastAsia" w:ascii="仿宋_GB2312" w:eastAsia="仿宋_GB2312"/>
          <w:sz w:val="28"/>
          <w:szCs w:val="28"/>
          <w:lang w:eastAsia="zh-CN"/>
        </w:rPr>
        <w:t>完成年初预算的</w:t>
      </w:r>
      <w:r>
        <w:rPr>
          <w:rFonts w:hint="eastAsia" w:ascii="仿宋_GB2312" w:eastAsia="仿宋_GB2312"/>
          <w:sz w:val="28"/>
          <w:szCs w:val="28"/>
        </w:rPr>
        <w:t>104.16%。主要原因：本年在职人员五险一金缴费基数均有所增加，工资福利支出相应增加；同时，本年补发退休人员一次性补贴，因此人员经费全年收入较上年相比增加。日常公用经费收入方面，第一，本年学生人数增加，公用经费中生均定额部分的全年收入相应增加；第二，随着工资福利增加，工会经费全年收入相应增加；第三，本年福利费标准调标，较上年相比增长，因此公用经费全年收入较上年相比增长。综上，“普通教育”2024年度决算较年初预算相比增加了。</w:t>
      </w:r>
    </w:p>
    <w:p w14:paraId="3DE52116">
      <w:pPr>
        <w:spacing w:line="580" w:lineRule="exact"/>
        <w:ind w:firstLine="560" w:firstLineChars="200"/>
        <w:rPr>
          <w:rFonts w:ascii="仿宋_GB2312" w:eastAsia="仿宋_GB2312"/>
          <w:sz w:val="28"/>
          <w:szCs w:val="28"/>
        </w:rPr>
      </w:pPr>
      <w:r>
        <w:rPr>
          <w:rFonts w:hint="eastAsia" w:ascii="仿宋_GB2312" w:eastAsia="仿宋_GB2312"/>
          <w:sz w:val="28"/>
          <w:szCs w:val="28"/>
        </w:rPr>
        <w:t>“特殊教育”202</w:t>
      </w:r>
      <w:r>
        <w:rPr>
          <w:rFonts w:hint="eastAsia" w:ascii="仿宋_GB2312" w:eastAsia="仿宋_GB2312"/>
          <w:sz w:val="28"/>
          <w:szCs w:val="28"/>
          <w:lang w:val="en-US" w:eastAsia="zh-CN"/>
        </w:rPr>
        <w:t>4</w:t>
      </w:r>
      <w:r>
        <w:rPr>
          <w:rFonts w:hint="eastAsia" w:ascii="仿宋_GB2312" w:eastAsia="仿宋_GB2312"/>
          <w:sz w:val="28"/>
          <w:szCs w:val="28"/>
        </w:rPr>
        <w:t>年度年初预算8.33万元，202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w:t>
      </w:r>
      <w:r>
        <w:rPr>
          <w:rFonts w:hint="eastAsia" w:ascii="仿宋_GB2312" w:eastAsia="仿宋_GB2312"/>
          <w:sz w:val="28"/>
          <w:szCs w:val="28"/>
        </w:rPr>
        <w:t>8.33万元，</w:t>
      </w:r>
      <w:r>
        <w:rPr>
          <w:rFonts w:hint="eastAsia" w:ascii="仿宋_GB2312" w:eastAsia="仿宋_GB2312"/>
          <w:sz w:val="28"/>
          <w:szCs w:val="28"/>
          <w:lang w:eastAsia="zh-CN"/>
        </w:rPr>
        <w:t>完成年初预算的</w:t>
      </w:r>
      <w:r>
        <w:rPr>
          <w:rFonts w:hint="eastAsia" w:ascii="仿宋_GB2312" w:eastAsia="仿宋_GB2312"/>
          <w:sz w:val="28"/>
          <w:szCs w:val="28"/>
        </w:rPr>
        <w:t>10</w:t>
      </w:r>
      <w:r>
        <w:rPr>
          <w:rFonts w:hint="eastAsia" w:ascii="仿宋_GB2312" w:eastAsia="仿宋_GB2312"/>
          <w:sz w:val="28"/>
          <w:szCs w:val="28"/>
          <w:lang w:val="en-US" w:eastAsia="zh-CN"/>
        </w:rPr>
        <w:t>0.00</w:t>
      </w:r>
      <w:r>
        <w:rPr>
          <w:rFonts w:hint="eastAsia" w:ascii="仿宋_GB2312" w:eastAsia="仿宋_GB2312"/>
          <w:sz w:val="28"/>
          <w:szCs w:val="28"/>
        </w:rPr>
        <w:t>%。</w:t>
      </w:r>
    </w:p>
    <w:p w14:paraId="1A33254E">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年度年初预算21.36万元，202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w:t>
      </w:r>
      <w:r>
        <w:rPr>
          <w:rFonts w:hint="eastAsia" w:ascii="仿宋_GB2312" w:eastAsia="仿宋_GB2312"/>
          <w:sz w:val="28"/>
          <w:szCs w:val="28"/>
        </w:rPr>
        <w:t>20.78万元，</w:t>
      </w:r>
      <w:r>
        <w:rPr>
          <w:rFonts w:hint="eastAsia" w:ascii="仿宋_GB2312" w:eastAsia="仿宋_GB2312"/>
          <w:sz w:val="28"/>
          <w:szCs w:val="28"/>
          <w:lang w:eastAsia="zh-CN"/>
        </w:rPr>
        <w:t>完成年初预算的</w:t>
      </w:r>
      <w:r>
        <w:rPr>
          <w:rFonts w:hint="eastAsia" w:ascii="仿宋_GB2312" w:eastAsia="仿宋_GB2312"/>
          <w:sz w:val="28"/>
          <w:szCs w:val="28"/>
        </w:rPr>
        <w:t>97.29%。主要原因：学校厉行勤俭节约要求，依据实际需求支出，决算支出金额较年初预算相比减少了。</w:t>
      </w:r>
    </w:p>
    <w:p w14:paraId="76D11C0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“教育费附加安排的支出”202</w:t>
      </w:r>
      <w:r>
        <w:rPr>
          <w:rFonts w:hint="eastAsia" w:ascii="仿宋_GB2312" w:eastAsia="仿宋_GB2312"/>
          <w:sz w:val="28"/>
          <w:szCs w:val="28"/>
          <w:lang w:val="en-US" w:eastAsia="zh-CN"/>
        </w:rPr>
        <w:t>4</w:t>
      </w:r>
      <w:r>
        <w:rPr>
          <w:rFonts w:hint="eastAsia" w:ascii="仿宋_GB2312" w:eastAsia="仿宋_GB2312"/>
          <w:sz w:val="28"/>
          <w:szCs w:val="28"/>
        </w:rPr>
        <w:t>年度年初预算69.3万元，202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%。主要原因：项目年度内未实施，无支出。</w:t>
      </w:r>
    </w:p>
    <w:p w14:paraId="05B0CD82">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年度年初预算1645.43万元，202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算1712.18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104.06%</w:t>
      </w:r>
      <w:r>
        <w:rPr>
          <w:rFonts w:hint="eastAsia" w:ascii="仿宋_GB2312" w:eastAsia="仿宋_GB2312"/>
          <w:sz w:val="28"/>
          <w:szCs w:val="28"/>
        </w:rPr>
        <w:t>。其中：</w:t>
      </w:r>
    </w:p>
    <w:p w14:paraId="6AC8A873">
      <w:pPr>
        <w:spacing w:line="580" w:lineRule="exact"/>
        <w:ind w:firstLine="560" w:firstLineChars="200"/>
        <w:rPr>
          <w:rFonts w:ascii="仿宋_GB2312" w:eastAsia="仿宋_GB2312"/>
          <w:sz w:val="28"/>
          <w:szCs w:val="28"/>
        </w:rPr>
      </w:pPr>
      <w:r>
        <w:rPr>
          <w:rFonts w:hint="eastAsia" w:ascii="仿宋_GB2312" w:eastAsia="仿宋_GB2312"/>
          <w:sz w:val="28"/>
          <w:szCs w:val="28"/>
        </w:rPr>
        <w:t>“抚恤”202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算95.05</w:t>
      </w:r>
      <w:r>
        <w:rPr>
          <w:rFonts w:hint="eastAsia" w:ascii="仿宋_GB2312" w:eastAsia="仿宋_GB2312"/>
          <w:sz w:val="28"/>
          <w:szCs w:val="28"/>
        </w:rPr>
        <w:t>万元。主要原因：年度内发放去世人员抚恤金和丧葬费。</w:t>
      </w:r>
    </w:p>
    <w:p w14:paraId="2EF334C5">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年度年初预算1645.43万元，202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算1617.13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98.28%</w:t>
      </w:r>
      <w:r>
        <w:rPr>
          <w:rFonts w:hint="eastAsia" w:ascii="仿宋_GB2312" w:eastAsia="仿宋_GB2312"/>
          <w:sz w:val="28"/>
          <w:szCs w:val="28"/>
        </w:rPr>
        <w:t>。主要原因：依据实际情况缴纳在职人员基本养老保险和职业年金，支出决算金额低于年初预算金额。</w:t>
      </w:r>
    </w:p>
    <w:p w14:paraId="433C401C">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年度年初预算807.92万元，202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算816.92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101.11%</w:t>
      </w:r>
      <w:r>
        <w:rPr>
          <w:rFonts w:hint="eastAsia" w:ascii="仿宋_GB2312" w:eastAsia="仿宋_GB2312"/>
          <w:sz w:val="28"/>
          <w:szCs w:val="28"/>
        </w:rPr>
        <w:t>。其中：</w:t>
      </w:r>
    </w:p>
    <w:p w14:paraId="79744424">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年度年初预算807.92万元，202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算816.92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101.11%</w:t>
      </w:r>
      <w:r>
        <w:rPr>
          <w:rFonts w:hint="eastAsia" w:ascii="仿宋_GB2312" w:eastAsia="仿宋_GB2312"/>
          <w:sz w:val="28"/>
          <w:szCs w:val="28"/>
        </w:rPr>
        <w:t>。主要原因：依据实际情况缴纳在职人员医疗保险，不足金额年度内追加相关预算，支出决算金额高于年初预算金额。</w:t>
      </w:r>
    </w:p>
    <w:p w14:paraId="7C670E56">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年度年初预算1568.59万元，202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算1585.88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w:t>
      </w:r>
      <w:r>
        <w:rPr>
          <w:rFonts w:hint="eastAsia" w:ascii="仿宋_GB2312" w:eastAsia="仿宋_GB2312"/>
          <w:sz w:val="28"/>
          <w:szCs w:val="28"/>
        </w:rPr>
        <w:t>。其中：</w:t>
      </w:r>
    </w:p>
    <w:p w14:paraId="1B413EFB">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“住房改革支出”202</w:t>
      </w:r>
      <w:r>
        <w:rPr>
          <w:rFonts w:hint="eastAsia" w:ascii="仿宋_GB2312" w:eastAsia="仿宋_GB2312"/>
          <w:sz w:val="28"/>
          <w:szCs w:val="28"/>
          <w:lang w:val="en-US" w:eastAsia="zh-CN"/>
        </w:rPr>
        <w:t>4</w:t>
      </w:r>
      <w:r>
        <w:rPr>
          <w:rFonts w:hint="eastAsia" w:ascii="仿宋_GB2312" w:eastAsia="仿宋_GB2312"/>
          <w:sz w:val="28"/>
          <w:szCs w:val="28"/>
        </w:rPr>
        <w:t>年度年初预算1568.59万元，202</w:t>
      </w:r>
      <w:r>
        <w:rPr>
          <w:rFonts w:hint="eastAsia" w:ascii="仿宋_GB2312" w:eastAsia="仿宋_GB2312"/>
          <w:sz w:val="28"/>
          <w:szCs w:val="28"/>
          <w:lang w:val="en-US" w:eastAsia="zh-CN"/>
        </w:rPr>
        <w:t>4</w:t>
      </w:r>
      <w:r>
        <w:rPr>
          <w:rFonts w:hint="eastAsia" w:ascii="仿宋_GB2312" w:eastAsia="仿宋_GB2312"/>
          <w:sz w:val="28"/>
          <w:szCs w:val="28"/>
        </w:rPr>
        <w:t>年度决</w:t>
      </w:r>
      <w:r>
        <w:rPr>
          <w:rFonts w:hint="eastAsia" w:ascii="仿宋_GB2312" w:eastAsia="仿宋_GB2312"/>
          <w:sz w:val="28"/>
          <w:szCs w:val="28"/>
          <w:lang w:val="en-US" w:eastAsia="zh-CN"/>
        </w:rPr>
        <w:t>算1585.88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w:t>
      </w:r>
      <w:r>
        <w:rPr>
          <w:rFonts w:hint="eastAsia" w:ascii="仿宋_GB2312" w:eastAsia="仿宋_GB2312"/>
          <w:sz w:val="28"/>
          <w:szCs w:val="28"/>
        </w:rPr>
        <w:t>。主要原因：年度内一次性补发了新核定的无房在职人员的购房补贴。</w:t>
      </w:r>
    </w:p>
    <w:p w14:paraId="34F5679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1633B3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0637BB3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w:t>
      </w:r>
      <w:r>
        <w:rPr>
          <w:rFonts w:hint="eastAsia" w:ascii="仿宋_GB2312" w:eastAsia="仿宋_GB2312"/>
          <w:sz w:val="28"/>
          <w:szCs w:val="28"/>
          <w:lang w:val="en-US" w:eastAsia="zh-CN"/>
        </w:rPr>
        <w:t>.00</w:t>
      </w:r>
      <w:r>
        <w:rPr>
          <w:rFonts w:hint="eastAsia" w:ascii="仿宋_GB2312" w:eastAsia="仿宋_GB2312"/>
          <w:sz w:val="28"/>
          <w:szCs w:val="28"/>
        </w:rPr>
        <w:t>万元，主要用于以下方面（按大类）：其他支出3</w:t>
      </w:r>
      <w:r>
        <w:rPr>
          <w:rFonts w:hint="eastAsia" w:ascii="仿宋_GB2312" w:eastAsia="仿宋_GB2312"/>
          <w:sz w:val="28"/>
          <w:szCs w:val="28"/>
          <w:lang w:val="en-US" w:eastAsia="zh-CN"/>
        </w:rPr>
        <w:t>.00</w:t>
      </w:r>
      <w:r>
        <w:rPr>
          <w:rFonts w:hint="eastAsia" w:ascii="仿宋_GB2312" w:eastAsia="仿宋_GB2312"/>
          <w:sz w:val="28"/>
          <w:szCs w:val="28"/>
        </w:rPr>
        <w:t>万元，占本年财政拨款支出0.02%。。</w:t>
      </w:r>
    </w:p>
    <w:p w14:paraId="7570080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47F4DCD">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1、“其他支出”（类）202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4007867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“彩票公益金安排的支出”</w:t>
      </w:r>
      <w:r>
        <w:rPr>
          <w:rFonts w:hint="eastAsia" w:ascii="仿宋_GB2312" w:eastAsia="仿宋_GB2312"/>
          <w:sz w:val="28"/>
          <w:szCs w:val="28"/>
          <w:lang w:eastAsia="zh-CN"/>
        </w:rPr>
        <w:t>（</w:t>
      </w:r>
      <w:r>
        <w:rPr>
          <w:rFonts w:hint="eastAsia" w:ascii="仿宋_GB2312" w:eastAsia="仿宋_GB2312"/>
          <w:sz w:val="28"/>
          <w:szCs w:val="28"/>
        </w:rPr>
        <w:t>款</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p>
    <w:p w14:paraId="30E626B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2287932">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B5B621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CEDA54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2024年度使用一般公共预算财政拨款安排基本支出出</w:t>
      </w:r>
      <w:r>
        <w:rPr>
          <w:rFonts w:ascii="仿宋_GB2312" w:eastAsia="仿宋_GB2312"/>
          <w:sz w:val="28"/>
          <w:szCs w:val="28"/>
        </w:rPr>
        <w:t>12467.56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机关事业单位基本养老保险缴费、职业年金缴费、职工基本医疗保险缴费、其他</w:t>
      </w:r>
      <w:r>
        <w:rPr>
          <w:rFonts w:ascii="仿宋_GB2312" w:eastAsia="仿宋_GB2312"/>
          <w:sz w:val="28"/>
          <w:szCs w:val="28"/>
        </w:rPr>
        <w:t>社会保障缴费、</w:t>
      </w:r>
      <w:r>
        <w:rPr>
          <w:rFonts w:hint="eastAsia" w:ascii="仿宋_GB2312" w:eastAsia="仿宋_GB2312"/>
          <w:sz w:val="28"/>
          <w:szCs w:val="28"/>
        </w:rPr>
        <w:t>住房公积金；（2）商品和服务支出包括</w:t>
      </w:r>
      <w:r>
        <w:rPr>
          <w:rFonts w:ascii="仿宋_GB2312" w:eastAsia="仿宋_GB2312"/>
          <w:sz w:val="28"/>
          <w:szCs w:val="28"/>
        </w:rPr>
        <w:t>办公费、咨询费、水费、电费、邮电费、取暖费、物业管理费、差旅费、维修（护）费、会议费、培训费、专用材料费、劳务费、工会经费、福利费、公务用车运行维护费、其他交通费、其他商品和服务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B4A1D0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953A63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EAE5481">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38EE952">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ascii="仿宋_GB2312" w:eastAsia="仿宋_GB2312"/>
          <w:sz w:val="28"/>
          <w:szCs w:val="28"/>
        </w:rPr>
        <w:t>4.3</w:t>
      </w:r>
      <w:r>
        <w:rPr>
          <w:rFonts w:hint="eastAsia" w:ascii="仿宋_GB2312" w:eastAsia="仿宋_GB2312"/>
          <w:sz w:val="28"/>
          <w:szCs w:val="28"/>
        </w:rPr>
        <w:t>万元。其中：</w:t>
      </w:r>
    </w:p>
    <w:p w14:paraId="6F692DA4">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55EB4D17">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2.公务接待费。本单位无此项经费。</w:t>
      </w:r>
    </w:p>
    <w:p w14:paraId="192CD4F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5.4</w:t>
      </w:r>
      <w:r>
        <w:rPr>
          <w:rFonts w:hint="eastAsia" w:ascii="仿宋_GB2312" w:eastAsia="仿宋_GB2312"/>
          <w:sz w:val="28"/>
          <w:szCs w:val="28"/>
        </w:rPr>
        <w:t>万元减少</w:t>
      </w:r>
      <w:r>
        <w:rPr>
          <w:rFonts w:ascii="仿宋_GB2312" w:eastAsia="仿宋_GB2312"/>
          <w:sz w:val="28"/>
          <w:szCs w:val="28"/>
        </w:rPr>
        <w:t>4.3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w:t>
      </w:r>
      <w:r>
        <w:rPr>
          <w:rFonts w:hint="eastAsia" w:ascii="仿宋_GB2312" w:eastAsia="仿宋_GB2312"/>
          <w:sz w:val="28"/>
          <w:szCs w:val="28"/>
        </w:rPr>
        <w:t>万元，主要原因：学校</w:t>
      </w:r>
      <w:r>
        <w:rPr>
          <w:rFonts w:hint="eastAsia" w:ascii="仿宋_GB2312" w:eastAsia="仿宋_GB2312"/>
          <w:sz w:val="28"/>
          <w:szCs w:val="28"/>
          <w:lang w:val="en-US" w:eastAsia="zh-CN"/>
        </w:rPr>
        <w:t>严格</w:t>
      </w:r>
      <w:r>
        <w:rPr>
          <w:rFonts w:hint="eastAsia" w:ascii="仿宋_GB2312" w:eastAsia="仿宋_GB2312"/>
          <w:sz w:val="28"/>
          <w:szCs w:val="28"/>
        </w:rPr>
        <w:t>落实政府过紧日子的要求，厉行勤俭节约，大大减少了公务车的使用量。202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11F3129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F5707B8">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0343D821">
      <w:pPr>
        <w:ind w:left="540"/>
        <w:rPr>
          <w:rFonts w:hint="eastAsia" w:ascii="黑体" w:eastAsia="黑体"/>
          <w:sz w:val="28"/>
          <w:szCs w:val="28"/>
        </w:rPr>
      </w:pPr>
      <w:r>
        <w:rPr>
          <w:rFonts w:hint="eastAsia" w:ascii="黑体" w:eastAsia="黑体"/>
          <w:sz w:val="28"/>
          <w:szCs w:val="28"/>
        </w:rPr>
        <w:t>三、政府采购支出情况</w:t>
      </w:r>
    </w:p>
    <w:p w14:paraId="61FCFA9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524.85</w:t>
      </w:r>
      <w:r>
        <w:rPr>
          <w:rFonts w:hint="eastAsia" w:ascii="仿宋_GB2312" w:eastAsia="仿宋_GB2312"/>
          <w:sz w:val="28"/>
          <w:szCs w:val="28"/>
        </w:rPr>
        <w:t>万元，其中：政府采购货物支出</w:t>
      </w:r>
      <w:r>
        <w:rPr>
          <w:rFonts w:ascii="仿宋_GB2312" w:eastAsia="仿宋_GB2312"/>
          <w:sz w:val="28"/>
          <w:szCs w:val="28"/>
        </w:rPr>
        <w:t>46.47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478.38</w:t>
      </w:r>
      <w:r>
        <w:rPr>
          <w:rFonts w:hint="eastAsia" w:ascii="仿宋_GB2312" w:eastAsia="仿宋_GB2312"/>
          <w:sz w:val="28"/>
          <w:szCs w:val="28"/>
        </w:rPr>
        <w:t>万元。授予中小企业合同金额</w:t>
      </w:r>
      <w:r>
        <w:rPr>
          <w:rFonts w:ascii="仿宋_GB2312" w:eastAsia="仿宋_GB2312"/>
          <w:sz w:val="28"/>
          <w:szCs w:val="28"/>
        </w:rPr>
        <w:t>524.39</w:t>
      </w:r>
      <w:r>
        <w:rPr>
          <w:rFonts w:hint="eastAsia" w:ascii="仿宋_GB2312" w:eastAsia="仿宋_GB2312"/>
          <w:sz w:val="28"/>
          <w:szCs w:val="28"/>
        </w:rPr>
        <w:t>万元，占政府采购支出总额的</w:t>
      </w:r>
      <w:r>
        <w:rPr>
          <w:rFonts w:hint="eastAsia" w:ascii="仿宋_GB2312" w:eastAsia="仿宋_GB2312"/>
          <w:sz w:val="28"/>
          <w:szCs w:val="28"/>
          <w:lang w:eastAsia="zh-CN"/>
        </w:rPr>
        <w:t>99.91</w:t>
      </w:r>
      <w:r>
        <w:rPr>
          <w:rFonts w:hint="eastAsia" w:ascii="仿宋_GB2312" w:eastAsia="仿宋_GB2312"/>
          <w:sz w:val="28"/>
          <w:szCs w:val="28"/>
        </w:rPr>
        <w:t>%，其中：授予小微企业合同金额</w:t>
      </w:r>
      <w:r>
        <w:rPr>
          <w:rFonts w:ascii="仿宋_GB2312" w:eastAsia="仿宋_GB2312"/>
          <w:sz w:val="28"/>
          <w:szCs w:val="28"/>
        </w:rPr>
        <w:t>524.39</w:t>
      </w:r>
      <w:r>
        <w:rPr>
          <w:rFonts w:hint="eastAsia" w:ascii="仿宋_GB2312" w:eastAsia="仿宋_GB2312"/>
          <w:sz w:val="28"/>
          <w:szCs w:val="28"/>
        </w:rPr>
        <w:t>万元，占政府采购支出总额的</w:t>
      </w:r>
      <w:r>
        <w:rPr>
          <w:rFonts w:ascii="仿宋_GB2312" w:eastAsia="仿宋_GB2312"/>
          <w:sz w:val="28"/>
          <w:szCs w:val="28"/>
        </w:rPr>
        <w:t>99.91</w:t>
      </w:r>
      <w:r>
        <w:rPr>
          <w:rFonts w:hint="eastAsia" w:ascii="仿宋_GB2312" w:eastAsia="仿宋_GB2312"/>
          <w:sz w:val="28"/>
          <w:szCs w:val="28"/>
        </w:rPr>
        <w:t>%。</w:t>
      </w:r>
    </w:p>
    <w:p w14:paraId="35108AA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8C55CC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12月31日，北京市西城区奋斗小学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069C897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62932E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ECF7DA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2FA80D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EE3240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6F396C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69A1AE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7B2529E">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9C550E8">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A740DF1">
      <w:pPr>
        <w:ind w:firstLine="420" w:firstLineChars="150"/>
        <w:rPr>
          <w:rFonts w:ascii="仿宋_GB2312" w:eastAsia="仿宋_GB2312"/>
          <w:sz w:val="28"/>
          <w:szCs w:val="28"/>
        </w:rPr>
      </w:pPr>
      <w:r>
        <w:rPr>
          <w:rFonts w:hint="eastAsia" w:ascii="仿宋_GB2312" w:eastAsia="仿宋_GB2312"/>
          <w:sz w:val="28"/>
          <w:szCs w:val="28"/>
        </w:rPr>
        <w:t>7.教育支出（类）普通教育（款）小学教育（项）：反映本部门举办的小学教育支出。</w:t>
      </w:r>
    </w:p>
    <w:p w14:paraId="0147BB8F">
      <w:pPr>
        <w:ind w:firstLine="420" w:firstLineChars="150"/>
        <w:rPr>
          <w:rFonts w:ascii="仿宋_GB2312" w:eastAsia="仿宋_GB2312"/>
          <w:sz w:val="28"/>
          <w:szCs w:val="28"/>
        </w:rPr>
      </w:pPr>
      <w:r>
        <w:rPr>
          <w:rFonts w:hint="eastAsia" w:ascii="仿宋_GB2312" w:eastAsia="仿宋_GB2312"/>
          <w:sz w:val="28"/>
          <w:szCs w:val="28"/>
        </w:rPr>
        <w:t>8.教育支出（类）进修及培训（款）培训支出（项）：反映本部门安排的用于培训的支出。</w:t>
      </w:r>
    </w:p>
    <w:p w14:paraId="37F30ABB">
      <w:pPr>
        <w:ind w:firstLine="420" w:firstLineChars="150"/>
        <w:rPr>
          <w:rFonts w:ascii="仿宋_GB2312" w:eastAsia="仿宋_GB2312"/>
          <w:sz w:val="28"/>
          <w:szCs w:val="28"/>
        </w:rPr>
      </w:pPr>
      <w:r>
        <w:rPr>
          <w:rFonts w:hint="eastAsia" w:ascii="仿宋_GB2312" w:eastAsia="仿宋_GB2312"/>
          <w:sz w:val="28"/>
          <w:szCs w:val="28"/>
        </w:rPr>
        <w:t>9.教育支出（类）教育费附加安排的支出（款）城市中小学校舍建设（项）：反映教育费附加安排用于城市中小学校舍新建、改建、修缮和维护的支出。</w:t>
      </w:r>
    </w:p>
    <w:p w14:paraId="01EF811B">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10.社会保障和就业支出（类）行政事业单位养老支出（款）事业单位离退休（项）：反映事业单位开支的离退休经费。</w:t>
      </w:r>
    </w:p>
    <w:p w14:paraId="5C38873A">
      <w:pPr>
        <w:ind w:firstLine="420" w:firstLineChars="150"/>
        <w:rPr>
          <w:rFonts w:ascii="仿宋_GB2312" w:eastAsia="仿宋_GB2312"/>
          <w:sz w:val="28"/>
          <w:szCs w:val="28"/>
        </w:rPr>
      </w:pPr>
      <w:r>
        <w:rPr>
          <w:rFonts w:hint="eastAsia"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p>
    <w:p w14:paraId="7FA8B288">
      <w:pPr>
        <w:ind w:firstLine="420" w:firstLineChars="150"/>
        <w:rPr>
          <w:rFonts w:ascii="仿宋_GB2312" w:eastAsia="仿宋_GB2312"/>
          <w:sz w:val="28"/>
          <w:szCs w:val="28"/>
        </w:rPr>
      </w:pPr>
      <w:r>
        <w:rPr>
          <w:rFonts w:hint="eastAsia" w:ascii="仿宋_GB2312" w:eastAsia="仿宋_GB2312"/>
          <w:sz w:val="28"/>
          <w:szCs w:val="28"/>
        </w:rPr>
        <w:t>12.社会保障和就业支出（类）行政事业单位养老支出（款）机关事业单位职业年金缴费支出（项）：反映机关事业单位实施养老保险制度由单位实际缴纳的职业年金支出。</w:t>
      </w:r>
    </w:p>
    <w:p w14:paraId="05D602EC">
      <w:pPr>
        <w:ind w:firstLine="420" w:firstLineChars="150"/>
        <w:rPr>
          <w:rFonts w:ascii="仿宋_GB2312" w:eastAsia="仿宋_GB2312"/>
          <w:sz w:val="28"/>
          <w:szCs w:val="28"/>
        </w:rPr>
      </w:pPr>
      <w:r>
        <w:rPr>
          <w:rFonts w:hint="eastAsia" w:ascii="仿宋_GB2312" w:eastAsia="仿宋_GB2312"/>
          <w:sz w:val="28"/>
          <w:szCs w:val="28"/>
        </w:rPr>
        <w:t>13.社会保障和就业支出（类）抚恤（款）死亡抚恤（项）：反映按规定用于烈士和牺牲、病故人员家属的一次性和定期抚恤金、丧葬补助费以及烈士褒扬金。</w:t>
      </w:r>
    </w:p>
    <w:p w14:paraId="7E3AC06B">
      <w:pPr>
        <w:ind w:firstLine="420" w:firstLineChars="150"/>
        <w:rPr>
          <w:rFonts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2EF4BAEA">
      <w:pPr>
        <w:ind w:firstLine="420" w:firstLineChars="150"/>
        <w:rPr>
          <w:rFonts w:ascii="仿宋_GB2312" w:eastAsia="仿宋_GB2312"/>
          <w:sz w:val="28"/>
          <w:szCs w:val="28"/>
        </w:rPr>
      </w:pPr>
      <w:r>
        <w:rPr>
          <w:rFonts w:hint="eastAsia" w:ascii="仿宋_GB2312" w:eastAsia="仿宋_GB2312"/>
          <w:sz w:val="28"/>
          <w:szCs w:val="28"/>
        </w:rPr>
        <w:t>15.住房保障支出（类）住房改革支出（款）住房公积金（项）：反映行政事业单位按人力资源和社会保障部、财政部规定的基本工资和津贴补贴以及规定比例为职工缴纳的住房公积金。</w:t>
      </w:r>
    </w:p>
    <w:p w14:paraId="7DB3682A">
      <w:pPr>
        <w:ind w:firstLine="420" w:firstLineChars="150"/>
        <w:rPr>
          <w:rFonts w:ascii="仿宋_GB2312" w:eastAsia="仿宋_GB2312"/>
          <w:sz w:val="28"/>
          <w:szCs w:val="28"/>
        </w:rPr>
      </w:pPr>
      <w:r>
        <w:rPr>
          <w:rFonts w:hint="eastAsia" w:ascii="仿宋_GB2312" w:eastAsia="仿宋_GB2312"/>
          <w:sz w:val="28"/>
          <w:szCs w:val="28"/>
        </w:rPr>
        <w:t>16.住房保障支出（类）住房改革支出（款）提租补贴（项）：反映按房改政策规定的标准，行政事业单位向职工（含离退休人员）发放的租金补助。</w:t>
      </w:r>
    </w:p>
    <w:p w14:paraId="66B00632">
      <w:pPr>
        <w:ind w:firstLine="420" w:firstLineChars="150"/>
        <w:rPr>
          <w:rFonts w:ascii="仿宋_GB2312" w:eastAsia="仿宋_GB2312"/>
          <w:sz w:val="28"/>
          <w:szCs w:val="28"/>
        </w:rPr>
      </w:pPr>
      <w:r>
        <w:rPr>
          <w:rFonts w:hint="eastAsia" w:ascii="仿宋_GB2312" w:eastAsia="仿宋_GB2312"/>
          <w:sz w:val="28"/>
          <w:szCs w:val="28"/>
        </w:rPr>
        <w:t>17.住房保障支出（类）住房改革支出（款）购房补贴（项）：反映按房改政策规定的标准，行政事业单位向符合条件职工（含离退休人员）发放的用于购买住房的补贴。</w:t>
      </w:r>
    </w:p>
    <w:p w14:paraId="09EA9E95">
      <w:pPr>
        <w:ind w:firstLine="420" w:firstLineChars="150"/>
        <w:rPr>
          <w:rFonts w:ascii="仿宋_GB2312" w:eastAsia="仿宋_GB2312"/>
          <w:sz w:val="28"/>
          <w:szCs w:val="28"/>
        </w:rPr>
      </w:pPr>
      <w:r>
        <w:rPr>
          <w:rFonts w:hint="eastAsia" w:ascii="仿宋_GB2312" w:eastAsia="仿宋_GB2312"/>
          <w:sz w:val="28"/>
          <w:szCs w:val="28"/>
        </w:rPr>
        <w:t>18.其他支出（类）彩票公益金安排的支出（款）用于体育事业的彩票公益金支出（项）：反映用于体育事业的彩票公益金支出。</w:t>
      </w:r>
    </w:p>
    <w:p w14:paraId="220A525E">
      <w:pPr>
        <w:pStyle w:val="2"/>
        <w:spacing w:before="0" w:beforeAutospacing="0" w:after="0" w:afterAutospacing="0"/>
        <w:rPr>
          <w:rFonts w:hint="eastAsia"/>
        </w:rPr>
      </w:pPr>
    </w:p>
    <w:p w14:paraId="70A4A606">
      <w:pPr>
        <w:jc w:val="both"/>
        <w:rPr>
          <w:rFonts w:hint="eastAsia" w:ascii="黑体" w:eastAsia="黑体"/>
          <w:sz w:val="32"/>
          <w:szCs w:val="32"/>
        </w:rPr>
      </w:pPr>
    </w:p>
    <w:p w14:paraId="3E8DC75B">
      <w:pPr>
        <w:ind w:firstLine="640" w:firstLineChars="200"/>
        <w:jc w:val="center"/>
        <w:rPr>
          <w:rFonts w:hint="eastAsia" w:ascii="黑体" w:eastAsia="黑体"/>
          <w:sz w:val="32"/>
          <w:szCs w:val="32"/>
        </w:rPr>
      </w:pPr>
    </w:p>
    <w:p w14:paraId="75C03CE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1303F4C">
      <w:pPr>
        <w:ind w:firstLine="560" w:firstLineChars="200"/>
        <w:rPr>
          <w:rFonts w:hint="eastAsia" w:ascii="黑体" w:eastAsia="黑体"/>
          <w:sz w:val="28"/>
          <w:szCs w:val="28"/>
          <w:highlight w:val="yellow"/>
        </w:rPr>
      </w:pPr>
    </w:p>
    <w:p w14:paraId="68E57E16">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p>
    <w:p w14:paraId="021E8428">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p>
    <w:p w14:paraId="5B05613D">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3C443AB6">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中央对北京转移支付预算执行情况绩效自评报告</w:t>
      </w:r>
      <w:bookmarkStart w:id="0" w:name="_GoBack"/>
      <w:bookmarkEnd w:id="0"/>
    </w:p>
    <w:p w14:paraId="010A583E">
      <w:pPr>
        <w:spacing w:line="240" w:lineRule="auto"/>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DFFD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74C21B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D933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09083A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BE20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A69B8B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NWU3YmEyYjZkZWQ2N2MxMzI3ZDdkYmZhNDAxYj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F41EDD"/>
    <w:rsid w:val="0234775A"/>
    <w:rsid w:val="02F120AB"/>
    <w:rsid w:val="032B5196"/>
    <w:rsid w:val="04C3537C"/>
    <w:rsid w:val="07065AAF"/>
    <w:rsid w:val="079004AC"/>
    <w:rsid w:val="0BA148CA"/>
    <w:rsid w:val="0C1165C4"/>
    <w:rsid w:val="0D6D544B"/>
    <w:rsid w:val="0DD136FE"/>
    <w:rsid w:val="0F8E2C57"/>
    <w:rsid w:val="1059665E"/>
    <w:rsid w:val="10AC13BA"/>
    <w:rsid w:val="145A6C1B"/>
    <w:rsid w:val="14B73493"/>
    <w:rsid w:val="167A2FF9"/>
    <w:rsid w:val="18581C69"/>
    <w:rsid w:val="1AEC0734"/>
    <w:rsid w:val="1DEF20B0"/>
    <w:rsid w:val="1FEA4269"/>
    <w:rsid w:val="214243FA"/>
    <w:rsid w:val="21AD613C"/>
    <w:rsid w:val="22467189"/>
    <w:rsid w:val="24130379"/>
    <w:rsid w:val="257A14F5"/>
    <w:rsid w:val="27196C26"/>
    <w:rsid w:val="29EF086F"/>
    <w:rsid w:val="2CCE1936"/>
    <w:rsid w:val="2EFFE297"/>
    <w:rsid w:val="301437CA"/>
    <w:rsid w:val="349D1F0A"/>
    <w:rsid w:val="34DD0473"/>
    <w:rsid w:val="3C684897"/>
    <w:rsid w:val="404E5414"/>
    <w:rsid w:val="421C6076"/>
    <w:rsid w:val="433E495C"/>
    <w:rsid w:val="45285E18"/>
    <w:rsid w:val="489F2FD7"/>
    <w:rsid w:val="4AC27CB3"/>
    <w:rsid w:val="4BF72BEF"/>
    <w:rsid w:val="4C424367"/>
    <w:rsid w:val="4FA90297"/>
    <w:rsid w:val="4FC41A43"/>
    <w:rsid w:val="51DB3C59"/>
    <w:rsid w:val="535F73A9"/>
    <w:rsid w:val="550C0952"/>
    <w:rsid w:val="55762E42"/>
    <w:rsid w:val="57A7B272"/>
    <w:rsid w:val="58470068"/>
    <w:rsid w:val="58747CAC"/>
    <w:rsid w:val="5A1720F9"/>
    <w:rsid w:val="5A242C58"/>
    <w:rsid w:val="5B9C37C2"/>
    <w:rsid w:val="5BA7C654"/>
    <w:rsid w:val="6048020D"/>
    <w:rsid w:val="60A54109"/>
    <w:rsid w:val="61D01CDF"/>
    <w:rsid w:val="639646C2"/>
    <w:rsid w:val="64C0607C"/>
    <w:rsid w:val="65756C86"/>
    <w:rsid w:val="674D385B"/>
    <w:rsid w:val="676F09E1"/>
    <w:rsid w:val="71793A80"/>
    <w:rsid w:val="7357290B"/>
    <w:rsid w:val="798524E4"/>
    <w:rsid w:val="7A7F1C49"/>
    <w:rsid w:val="7B5B7AE6"/>
    <w:rsid w:val="7B7B6628"/>
    <w:rsid w:val="7BA7071E"/>
    <w:rsid w:val="7BDF6DA8"/>
    <w:rsid w:val="7C7EDC1A"/>
    <w:rsid w:val="7CBA535D"/>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13797.46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673221026919435"/>
                  <c:y val="0.02162234062117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12467.56</c:v>
                </c:pt>
                <c:pt idx="1">
                  <c:v>1329.89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3441</Words>
  <Characters>3951</Characters>
  <Lines>44</Lines>
  <Paragraphs>12</Paragraphs>
  <TotalTime>0</TotalTime>
  <ScaleCrop>false</ScaleCrop>
  <LinksUpToDate>false</LinksUpToDate>
  <CharactersWithSpaces>3972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cp:lastModifiedBy>
  <cp:lastPrinted>2020-08-07T11:39:00Z</cp:lastPrinted>
  <dcterms:modified xsi:type="dcterms:W3CDTF">2025-08-27T08:45:43Z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