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89B" w:rsidRDefault="00EA689B">
      <w:pPr>
        <w:jc w:val="center"/>
        <w:rPr>
          <w:rFonts w:ascii="仿宋_GB2312" w:eastAsia="仿宋_GB2312"/>
          <w:b/>
          <w:sz w:val="32"/>
          <w:szCs w:val="32"/>
        </w:rPr>
      </w:pPr>
    </w:p>
    <w:p w:rsidR="00EA689B" w:rsidRDefault="00EA689B">
      <w:pPr>
        <w:jc w:val="center"/>
        <w:rPr>
          <w:rFonts w:ascii="黑体" w:eastAsia="黑体"/>
          <w:sz w:val="72"/>
          <w:szCs w:val="72"/>
        </w:rPr>
      </w:pPr>
    </w:p>
    <w:p w:rsidR="00EA689B" w:rsidRDefault="00EA689B">
      <w:pPr>
        <w:jc w:val="center"/>
        <w:rPr>
          <w:rFonts w:ascii="黑体" w:eastAsia="黑体"/>
          <w:sz w:val="72"/>
          <w:szCs w:val="72"/>
        </w:rPr>
      </w:pPr>
    </w:p>
    <w:p w:rsidR="00EA689B" w:rsidRDefault="00EA689B">
      <w:pPr>
        <w:jc w:val="center"/>
        <w:rPr>
          <w:rFonts w:ascii="黑体" w:eastAsia="黑体"/>
          <w:sz w:val="72"/>
          <w:szCs w:val="72"/>
        </w:rPr>
      </w:pPr>
    </w:p>
    <w:p w:rsidR="00EA689B" w:rsidRDefault="00EA689B">
      <w:pPr>
        <w:jc w:val="center"/>
        <w:rPr>
          <w:rFonts w:ascii="黑体" w:eastAsia="黑体"/>
          <w:sz w:val="72"/>
          <w:szCs w:val="72"/>
        </w:rPr>
      </w:pPr>
    </w:p>
    <w:p w:rsidR="00EA689B" w:rsidRDefault="007E6FED">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EA689B" w:rsidRDefault="00EA689B">
      <w:pPr>
        <w:jc w:val="center"/>
        <w:rPr>
          <w:rFonts w:ascii="黑体" w:eastAsia="黑体"/>
          <w:sz w:val="52"/>
          <w:szCs w:val="52"/>
        </w:rPr>
      </w:pPr>
    </w:p>
    <w:p w:rsidR="00EA689B" w:rsidRDefault="00EA689B">
      <w:pPr>
        <w:jc w:val="center"/>
        <w:rPr>
          <w:rFonts w:ascii="黑体" w:eastAsia="黑体"/>
          <w:sz w:val="52"/>
          <w:szCs w:val="52"/>
        </w:rPr>
      </w:pPr>
    </w:p>
    <w:p w:rsidR="00EA689B" w:rsidRDefault="00EA689B">
      <w:pPr>
        <w:jc w:val="center"/>
        <w:rPr>
          <w:rFonts w:ascii="黑体" w:eastAsia="黑体"/>
          <w:sz w:val="52"/>
          <w:szCs w:val="52"/>
        </w:rPr>
      </w:pPr>
    </w:p>
    <w:p w:rsidR="00EA689B" w:rsidRDefault="00EA689B">
      <w:pPr>
        <w:jc w:val="center"/>
        <w:rPr>
          <w:rFonts w:ascii="黑体" w:eastAsia="黑体"/>
          <w:sz w:val="52"/>
          <w:szCs w:val="52"/>
        </w:rPr>
      </w:pPr>
    </w:p>
    <w:p w:rsidR="00EA689B" w:rsidRDefault="00EA689B">
      <w:pPr>
        <w:jc w:val="center"/>
        <w:rPr>
          <w:rFonts w:ascii="黑体" w:eastAsia="黑体"/>
          <w:sz w:val="32"/>
          <w:szCs w:val="32"/>
        </w:rPr>
      </w:pPr>
    </w:p>
    <w:p w:rsidR="00EA689B" w:rsidRDefault="007E6FE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EA689B" w:rsidRDefault="00EA689B">
      <w:pPr>
        <w:spacing w:line="500" w:lineRule="exact"/>
        <w:ind w:firstLine="645"/>
        <w:jc w:val="center"/>
        <w:rPr>
          <w:rFonts w:ascii="宋体" w:hAnsi="宋体" w:cs="宋体"/>
          <w:b/>
          <w:bCs/>
          <w:kern w:val="0"/>
          <w:sz w:val="36"/>
          <w:szCs w:val="36"/>
        </w:rPr>
      </w:pPr>
    </w:p>
    <w:p w:rsidR="00EA689B" w:rsidRDefault="007E6F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EA689B" w:rsidRDefault="007E6FE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A689B" w:rsidRDefault="007E6F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EA689B" w:rsidRDefault="007E6F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EA689B" w:rsidRDefault="007E6FE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EA689B" w:rsidRDefault="007E6FE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EA689B" w:rsidRDefault="00EA689B">
      <w:pPr>
        <w:tabs>
          <w:tab w:val="center" w:pos="6979"/>
        </w:tabs>
        <w:spacing w:beforeLines="50" w:before="156" w:afterLines="50" w:after="156"/>
        <w:jc w:val="center"/>
        <w:rPr>
          <w:rFonts w:ascii="宋体" w:hAnsi="宋体" w:cs="宋体"/>
          <w:b/>
          <w:bCs/>
          <w:spacing w:val="40"/>
          <w:kern w:val="0"/>
          <w:sz w:val="32"/>
          <w:szCs w:val="32"/>
        </w:rPr>
      </w:pPr>
    </w:p>
    <w:p w:rsidR="00EA689B" w:rsidRDefault="00EA689B">
      <w:pPr>
        <w:tabs>
          <w:tab w:val="center" w:pos="6979"/>
        </w:tabs>
        <w:spacing w:beforeLines="50" w:before="156" w:afterLines="50" w:after="156"/>
        <w:jc w:val="center"/>
        <w:rPr>
          <w:rFonts w:ascii="宋体" w:hAnsi="宋体" w:cs="宋体"/>
          <w:b/>
          <w:bCs/>
          <w:spacing w:val="40"/>
          <w:kern w:val="0"/>
          <w:sz w:val="32"/>
          <w:szCs w:val="32"/>
        </w:rPr>
      </w:pPr>
    </w:p>
    <w:p w:rsidR="00EA689B" w:rsidRDefault="00EA689B">
      <w:pPr>
        <w:tabs>
          <w:tab w:val="center" w:pos="6979"/>
        </w:tabs>
        <w:spacing w:beforeLines="50" w:before="156" w:afterLines="50" w:after="156"/>
        <w:jc w:val="center"/>
        <w:rPr>
          <w:rFonts w:ascii="宋体" w:hAnsi="宋体" w:cs="宋体"/>
          <w:b/>
          <w:bCs/>
          <w:spacing w:val="40"/>
          <w:kern w:val="0"/>
          <w:sz w:val="32"/>
          <w:szCs w:val="32"/>
        </w:rPr>
      </w:pPr>
    </w:p>
    <w:p w:rsidR="00EA689B" w:rsidRDefault="00EA689B">
      <w:pPr>
        <w:tabs>
          <w:tab w:val="center" w:pos="6979"/>
        </w:tabs>
        <w:spacing w:beforeLines="50" w:before="156" w:afterLines="50" w:after="156"/>
        <w:jc w:val="center"/>
        <w:rPr>
          <w:rFonts w:ascii="宋体" w:hAnsi="宋体" w:cs="宋体"/>
          <w:b/>
          <w:bCs/>
          <w:spacing w:val="40"/>
          <w:kern w:val="0"/>
          <w:sz w:val="32"/>
          <w:szCs w:val="32"/>
        </w:rPr>
      </w:pPr>
    </w:p>
    <w:p w:rsidR="00EA689B" w:rsidRDefault="00EA689B">
      <w:pPr>
        <w:tabs>
          <w:tab w:val="center" w:pos="6979"/>
        </w:tabs>
        <w:spacing w:beforeLines="50" w:before="156" w:afterLines="50" w:after="156"/>
        <w:jc w:val="center"/>
        <w:rPr>
          <w:rFonts w:ascii="宋体" w:hAnsi="宋体" w:cs="宋体"/>
          <w:b/>
          <w:bCs/>
          <w:spacing w:val="40"/>
          <w:kern w:val="0"/>
          <w:sz w:val="32"/>
          <w:szCs w:val="32"/>
        </w:rPr>
      </w:pPr>
    </w:p>
    <w:p w:rsidR="00EA689B" w:rsidRDefault="007E6FE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EA689B" w:rsidRDefault="007E6FED">
      <w:pPr>
        <w:pStyle w:val="2"/>
        <w:rPr>
          <w:b w:val="0"/>
          <w:bCs w:val="0"/>
        </w:rPr>
        <w:sectPr w:rsidR="00EA689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A689B" w:rsidRDefault="007E6FE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EA689B" w:rsidRDefault="007E6FE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EA689B" w:rsidRDefault="007E6FE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北京第二实验小学分为三个校区，新文化街校区位于西城区新文化街</w:t>
      </w:r>
      <w:r>
        <w:rPr>
          <w:rFonts w:ascii="仿宋_GB2312" w:eastAsia="仿宋_GB2312" w:hint="eastAsia"/>
          <w:sz w:val="28"/>
          <w:szCs w:val="28"/>
        </w:rPr>
        <w:t>111</w:t>
      </w:r>
      <w:r>
        <w:rPr>
          <w:rFonts w:ascii="仿宋_GB2312" w:eastAsia="仿宋_GB2312" w:hint="eastAsia"/>
          <w:sz w:val="28"/>
          <w:szCs w:val="28"/>
        </w:rPr>
        <w:t>号，占地面积约为</w:t>
      </w:r>
      <w:r>
        <w:rPr>
          <w:rFonts w:ascii="仿宋_GB2312" w:eastAsia="仿宋_GB2312" w:hint="eastAsia"/>
          <w:sz w:val="28"/>
          <w:szCs w:val="28"/>
        </w:rPr>
        <w:t>21569</w:t>
      </w:r>
      <w:r>
        <w:rPr>
          <w:rFonts w:ascii="仿宋_GB2312" w:eastAsia="仿宋_GB2312" w:hint="eastAsia"/>
          <w:sz w:val="28"/>
          <w:szCs w:val="28"/>
        </w:rPr>
        <w:t>平方米，建筑面积</w:t>
      </w:r>
      <w:r>
        <w:rPr>
          <w:rFonts w:ascii="仿宋_GB2312" w:eastAsia="仿宋_GB2312" w:hint="eastAsia"/>
          <w:sz w:val="28"/>
          <w:szCs w:val="28"/>
        </w:rPr>
        <w:t>35728.63</w:t>
      </w:r>
      <w:r>
        <w:rPr>
          <w:rFonts w:ascii="仿宋_GB2312" w:eastAsia="仿宋_GB2312" w:hint="eastAsia"/>
          <w:sz w:val="28"/>
          <w:szCs w:val="28"/>
        </w:rPr>
        <w:t>平方米，有三栋四层教学楼和一栋生活楼及两座小四合院，其中四合院占地面积</w:t>
      </w:r>
      <w:r>
        <w:rPr>
          <w:rFonts w:ascii="仿宋_GB2312" w:eastAsia="仿宋_GB2312" w:hint="eastAsia"/>
          <w:sz w:val="28"/>
          <w:szCs w:val="28"/>
        </w:rPr>
        <w:t>4577</w:t>
      </w:r>
      <w:r>
        <w:rPr>
          <w:rFonts w:ascii="仿宋_GB2312" w:eastAsia="仿宋_GB2312" w:hint="eastAsia"/>
          <w:sz w:val="28"/>
          <w:szCs w:val="28"/>
        </w:rPr>
        <w:t>平方米，建筑面积</w:t>
      </w:r>
      <w:r>
        <w:rPr>
          <w:rFonts w:ascii="仿宋_GB2312" w:eastAsia="仿宋_GB2312" w:hint="eastAsia"/>
          <w:sz w:val="28"/>
          <w:szCs w:val="28"/>
        </w:rPr>
        <w:t>1440.80</w:t>
      </w:r>
      <w:r>
        <w:rPr>
          <w:rFonts w:ascii="仿宋_GB2312" w:eastAsia="仿宋_GB2312" w:hint="eastAsia"/>
          <w:sz w:val="28"/>
          <w:szCs w:val="28"/>
        </w:rPr>
        <w:t>平方米；王府校区位于西城区新文化街</w:t>
      </w:r>
      <w:r>
        <w:rPr>
          <w:rFonts w:ascii="仿宋_GB2312" w:eastAsia="仿宋_GB2312" w:hint="eastAsia"/>
          <w:sz w:val="28"/>
          <w:szCs w:val="28"/>
        </w:rPr>
        <w:t>53</w:t>
      </w:r>
      <w:r>
        <w:rPr>
          <w:rFonts w:ascii="仿宋_GB2312" w:eastAsia="仿宋_GB2312" w:hint="eastAsia"/>
          <w:sz w:val="28"/>
          <w:szCs w:val="28"/>
        </w:rPr>
        <w:t>号，占地面积约为</w:t>
      </w:r>
      <w:r>
        <w:rPr>
          <w:rFonts w:ascii="仿宋_GB2312" w:eastAsia="仿宋_GB2312" w:hint="eastAsia"/>
          <w:sz w:val="28"/>
          <w:szCs w:val="28"/>
        </w:rPr>
        <w:t>11378.81</w:t>
      </w:r>
      <w:r>
        <w:rPr>
          <w:rFonts w:ascii="仿宋_GB2312" w:eastAsia="仿宋_GB2312" w:hint="eastAsia"/>
          <w:sz w:val="28"/>
          <w:szCs w:val="28"/>
        </w:rPr>
        <w:t>平方米，建筑面积</w:t>
      </w:r>
      <w:r>
        <w:rPr>
          <w:rFonts w:ascii="仿宋_GB2312" w:eastAsia="仿宋_GB2312" w:hint="eastAsia"/>
          <w:sz w:val="28"/>
          <w:szCs w:val="28"/>
        </w:rPr>
        <w:t>12940.55</w:t>
      </w:r>
      <w:r>
        <w:rPr>
          <w:rFonts w:ascii="仿宋_GB2312" w:eastAsia="仿宋_GB2312" w:hint="eastAsia"/>
          <w:sz w:val="28"/>
          <w:szCs w:val="28"/>
        </w:rPr>
        <w:t>平方米，有三个平房院落，教学楼楼结构为地上二层，地下二层，其中东校区为三进院落国家级文物保护单位，占地面积</w:t>
      </w:r>
      <w:r>
        <w:rPr>
          <w:rFonts w:ascii="仿宋_GB2312" w:eastAsia="仿宋_GB2312" w:hint="eastAsia"/>
          <w:sz w:val="28"/>
          <w:szCs w:val="28"/>
        </w:rPr>
        <w:t>6900</w:t>
      </w:r>
      <w:r>
        <w:rPr>
          <w:rFonts w:ascii="仿宋_GB2312" w:eastAsia="仿宋_GB2312" w:hint="eastAsia"/>
          <w:sz w:val="28"/>
          <w:szCs w:val="28"/>
        </w:rPr>
        <w:t>平方米，建筑面积</w:t>
      </w:r>
      <w:r>
        <w:rPr>
          <w:rFonts w:ascii="仿宋_GB2312" w:eastAsia="仿宋_GB2312" w:hint="eastAsia"/>
          <w:sz w:val="28"/>
          <w:szCs w:val="28"/>
        </w:rPr>
        <w:t>3222</w:t>
      </w:r>
      <w:r>
        <w:rPr>
          <w:rFonts w:ascii="仿宋_GB2312" w:eastAsia="仿宋_GB2312" w:hint="eastAsia"/>
          <w:sz w:val="28"/>
          <w:szCs w:val="28"/>
        </w:rPr>
        <w:t>平方米；德胜校区位于西城区德外大街安德路</w:t>
      </w:r>
      <w:r>
        <w:rPr>
          <w:rFonts w:ascii="仿宋_GB2312" w:eastAsia="仿宋_GB2312" w:hint="eastAsia"/>
          <w:sz w:val="28"/>
          <w:szCs w:val="28"/>
        </w:rPr>
        <w:t>142</w:t>
      </w:r>
      <w:r>
        <w:rPr>
          <w:rFonts w:ascii="仿宋_GB2312" w:eastAsia="仿宋_GB2312" w:hint="eastAsia"/>
          <w:sz w:val="28"/>
          <w:szCs w:val="28"/>
        </w:rPr>
        <w:t>号，占地面积</w:t>
      </w:r>
      <w:r>
        <w:rPr>
          <w:rFonts w:ascii="仿宋_GB2312" w:eastAsia="仿宋_GB2312" w:hint="eastAsia"/>
          <w:sz w:val="28"/>
          <w:szCs w:val="28"/>
        </w:rPr>
        <w:t>15191</w:t>
      </w:r>
      <w:r>
        <w:rPr>
          <w:rFonts w:ascii="仿宋_GB2312" w:eastAsia="仿宋_GB2312" w:hint="eastAsia"/>
          <w:sz w:val="28"/>
          <w:szCs w:val="28"/>
        </w:rPr>
        <w:t>平米，建筑面积</w:t>
      </w:r>
      <w:r>
        <w:rPr>
          <w:rFonts w:ascii="仿宋_GB2312" w:eastAsia="仿宋_GB2312" w:hint="eastAsia"/>
          <w:sz w:val="28"/>
          <w:szCs w:val="28"/>
        </w:rPr>
        <w:t>16741</w:t>
      </w:r>
      <w:r>
        <w:rPr>
          <w:rFonts w:ascii="仿宋_GB2312" w:eastAsia="仿宋_GB2312" w:hint="eastAsia"/>
          <w:sz w:val="28"/>
          <w:szCs w:val="28"/>
        </w:rPr>
        <w:t>平米，教学楼结构为地上四层，地下二层。</w:t>
      </w:r>
    </w:p>
    <w:p w:rsidR="00EA689B" w:rsidRDefault="007E6FE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22566.02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581.77</w:t>
      </w:r>
      <w:r>
        <w:rPr>
          <w:rFonts w:ascii="仿宋_GB2312" w:eastAsia="仿宋_GB2312" w:hint="eastAsia"/>
          <w:sz w:val="28"/>
          <w:szCs w:val="28"/>
        </w:rPr>
        <w:t>万元，增长</w:t>
      </w:r>
      <w:r>
        <w:rPr>
          <w:rFonts w:ascii="仿宋_GB2312" w:eastAsia="仿宋_GB2312" w:hint="eastAsia"/>
          <w:sz w:val="28"/>
          <w:szCs w:val="28"/>
        </w:rPr>
        <w:t>2.65</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22566.02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621.02</w:t>
      </w:r>
      <w:r>
        <w:rPr>
          <w:rFonts w:ascii="仿宋_GB2312" w:eastAsia="仿宋_GB2312" w:hint="eastAsia"/>
          <w:sz w:val="28"/>
          <w:szCs w:val="28"/>
        </w:rPr>
        <w:t>万元，增长</w:t>
      </w:r>
      <w:r>
        <w:rPr>
          <w:rFonts w:ascii="仿宋_GB2312" w:eastAsia="仿宋_GB2312" w:hint="eastAsia"/>
          <w:sz w:val="28"/>
          <w:szCs w:val="28"/>
        </w:rPr>
        <w:t>2.83</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22566.02</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22563.02</w:t>
      </w:r>
      <w:r>
        <w:rPr>
          <w:rFonts w:ascii="仿宋_GB2312" w:eastAsia="仿宋_GB2312" w:hint="eastAsia"/>
          <w:sz w:val="28"/>
          <w:szCs w:val="28"/>
        </w:rPr>
        <w:t>万元，占收入合计的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3</w:t>
      </w:r>
      <w:r>
        <w:rPr>
          <w:rFonts w:ascii="仿宋_GB2312" w:eastAsia="仿宋_GB2312" w:hint="eastAsia"/>
          <w:sz w:val="28"/>
          <w:szCs w:val="28"/>
        </w:rPr>
        <w:t>万元，占收入合计的</w:t>
      </w:r>
      <w:r>
        <w:rPr>
          <w:rFonts w:ascii="仿宋_GB2312" w:eastAsia="仿宋_GB2312" w:hint="eastAsia"/>
          <w:sz w:val="28"/>
          <w:szCs w:val="28"/>
        </w:rPr>
        <w:t>0.01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EA689B" w:rsidRDefault="007E6FED">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689B" w:rsidRDefault="00EA689B">
      <w:pPr>
        <w:tabs>
          <w:tab w:val="center" w:pos="6979"/>
        </w:tabs>
        <w:spacing w:line="580" w:lineRule="exact"/>
        <w:ind w:firstLine="570"/>
        <w:rPr>
          <w:rFonts w:ascii="仿宋_GB2312" w:eastAsia="仿宋_GB2312"/>
          <w:sz w:val="28"/>
          <w:szCs w:val="28"/>
        </w:rPr>
      </w:pP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22566.02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621.02</w:t>
      </w:r>
      <w:r>
        <w:rPr>
          <w:rFonts w:ascii="仿宋_GB2312" w:eastAsia="仿宋_GB2312" w:hint="eastAsia"/>
          <w:sz w:val="28"/>
          <w:szCs w:val="28"/>
        </w:rPr>
        <w:t>万元，增长</w:t>
      </w:r>
      <w:r>
        <w:rPr>
          <w:rFonts w:ascii="仿宋_GB2312" w:eastAsia="仿宋_GB2312" w:hint="eastAsia"/>
          <w:sz w:val="28"/>
          <w:szCs w:val="28"/>
        </w:rPr>
        <w:t>2.83</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20802.46</w:t>
      </w:r>
      <w:r>
        <w:rPr>
          <w:rFonts w:ascii="仿宋_GB2312" w:eastAsia="仿宋_GB2312" w:hint="eastAsia"/>
          <w:sz w:val="28"/>
          <w:szCs w:val="28"/>
        </w:rPr>
        <w:t>万元，占支出合计的</w:t>
      </w:r>
      <w:r>
        <w:rPr>
          <w:rFonts w:ascii="仿宋_GB2312" w:eastAsia="仿宋_GB2312" w:hint="eastAsia"/>
          <w:sz w:val="28"/>
          <w:szCs w:val="28"/>
        </w:rPr>
        <w:t>92.18</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1763.56</w:t>
      </w:r>
      <w:r>
        <w:rPr>
          <w:rFonts w:ascii="仿宋_GB2312" w:eastAsia="仿宋_GB2312" w:hint="eastAsia"/>
          <w:sz w:val="28"/>
          <w:szCs w:val="28"/>
        </w:rPr>
        <w:t>万元，占支出合计的</w:t>
      </w:r>
      <w:r>
        <w:rPr>
          <w:rFonts w:ascii="仿宋_GB2312" w:eastAsia="仿宋_GB2312" w:hint="eastAsia"/>
          <w:sz w:val="28"/>
          <w:szCs w:val="28"/>
        </w:rPr>
        <w:t>7.82</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w:t>
      </w:r>
      <w:r>
        <w:rPr>
          <w:rFonts w:ascii="仿宋_GB2312" w:eastAsia="仿宋_GB2312" w:hint="eastAsia"/>
          <w:sz w:val="28"/>
          <w:szCs w:val="28"/>
        </w:rPr>
        <w:lastRenderedPageBreak/>
        <w:t>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EA689B" w:rsidRDefault="007E6FED">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EA689B" w:rsidRDefault="007E6FE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A689B" w:rsidRDefault="007E6FE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22566.02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581.77</w:t>
      </w:r>
      <w:r>
        <w:rPr>
          <w:rFonts w:ascii="仿宋_GB2312" w:eastAsia="仿宋_GB2312" w:hint="eastAsia"/>
          <w:sz w:val="28"/>
          <w:szCs w:val="28"/>
        </w:rPr>
        <w:t>万元，增长</w:t>
      </w:r>
      <w:r>
        <w:rPr>
          <w:rFonts w:ascii="仿宋_GB2312" w:eastAsia="仿宋_GB2312" w:hint="eastAsia"/>
          <w:sz w:val="28"/>
          <w:szCs w:val="28"/>
        </w:rPr>
        <w:t>2.65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年在职人员绩效工资、社保及退休人员经费增加；中小学生实践活动经费生均标准提高，新增购置食堂设备专项以及更新礼堂音频设备专项等项目支出增加。</w:t>
      </w:r>
    </w:p>
    <w:p w:rsidR="00EA689B" w:rsidRDefault="007E6FED">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四、一般公共预算财政拨款支出决算情况说明</w:t>
      </w:r>
    </w:p>
    <w:p w:rsidR="00EA689B" w:rsidRDefault="007E6F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22563.02</w:t>
      </w:r>
      <w:r>
        <w:rPr>
          <w:rFonts w:ascii="仿宋_GB2312" w:eastAsia="仿宋_GB2312" w:hint="eastAsia"/>
          <w:sz w:val="28"/>
          <w:szCs w:val="28"/>
        </w:rPr>
        <w:t>万元，主要用于以下方面（按大类）：</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15394.29</w:t>
      </w:r>
      <w:r>
        <w:rPr>
          <w:rFonts w:ascii="仿宋_GB2312" w:eastAsia="仿宋_GB2312" w:hint="eastAsia"/>
          <w:sz w:val="28"/>
          <w:szCs w:val="28"/>
        </w:rPr>
        <w:t>万元，占本年财政拨款支出</w:t>
      </w:r>
      <w:r>
        <w:rPr>
          <w:rFonts w:ascii="仿宋_GB2312" w:eastAsia="仿宋_GB2312" w:hint="eastAsia"/>
          <w:sz w:val="28"/>
          <w:szCs w:val="28"/>
        </w:rPr>
        <w:t>68.23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社会保障和就业支出</w:t>
      </w:r>
      <w:r>
        <w:rPr>
          <w:rFonts w:ascii="仿宋_GB2312" w:eastAsia="仿宋_GB2312" w:hint="eastAsia"/>
          <w:sz w:val="28"/>
          <w:szCs w:val="28"/>
        </w:rPr>
        <w:t>3179.76</w:t>
      </w:r>
      <w:r>
        <w:rPr>
          <w:rFonts w:ascii="仿宋_GB2312" w:eastAsia="仿宋_GB2312" w:hint="eastAsia"/>
          <w:sz w:val="28"/>
          <w:szCs w:val="28"/>
        </w:rPr>
        <w:t>万元，占本年财政拨款支出</w:t>
      </w:r>
      <w:r>
        <w:rPr>
          <w:rFonts w:ascii="仿宋_GB2312" w:eastAsia="仿宋_GB2312" w:hint="eastAsia"/>
          <w:sz w:val="28"/>
          <w:szCs w:val="28"/>
        </w:rPr>
        <w:t>14.09%</w:t>
      </w:r>
      <w:r>
        <w:rPr>
          <w:rFonts w:ascii="仿宋_GB2312" w:eastAsia="仿宋_GB2312" w:hint="eastAsia"/>
          <w:sz w:val="28"/>
          <w:szCs w:val="28"/>
        </w:rPr>
        <w:t>；卫生健康支出</w:t>
      </w:r>
      <w:r>
        <w:rPr>
          <w:rFonts w:ascii="仿宋_GB2312" w:eastAsia="仿宋_GB2312" w:hint="eastAsia"/>
          <w:sz w:val="28"/>
          <w:szCs w:val="28"/>
        </w:rPr>
        <w:t>1286.11</w:t>
      </w:r>
      <w:r>
        <w:rPr>
          <w:rFonts w:ascii="仿宋_GB2312" w:eastAsia="仿宋_GB2312" w:hint="eastAsia"/>
          <w:sz w:val="28"/>
          <w:szCs w:val="28"/>
        </w:rPr>
        <w:t>万元，占本年财政拨</w:t>
      </w:r>
      <w:r>
        <w:rPr>
          <w:rFonts w:ascii="仿宋_GB2312" w:eastAsia="仿宋_GB2312" w:hint="eastAsia"/>
          <w:sz w:val="28"/>
          <w:szCs w:val="28"/>
        </w:rPr>
        <w:t>款支出</w:t>
      </w:r>
      <w:r>
        <w:rPr>
          <w:rFonts w:ascii="仿宋_GB2312" w:eastAsia="仿宋_GB2312" w:hint="eastAsia"/>
          <w:sz w:val="28"/>
          <w:szCs w:val="28"/>
        </w:rPr>
        <w:t>5.70%</w:t>
      </w:r>
      <w:r>
        <w:rPr>
          <w:rFonts w:ascii="仿宋_GB2312" w:eastAsia="仿宋_GB2312" w:hint="eastAsia"/>
          <w:sz w:val="28"/>
          <w:szCs w:val="28"/>
        </w:rPr>
        <w:t>；住房保障支出</w:t>
      </w:r>
      <w:r>
        <w:rPr>
          <w:rFonts w:ascii="仿宋_GB2312" w:eastAsia="仿宋_GB2312" w:hint="eastAsia"/>
          <w:sz w:val="28"/>
          <w:szCs w:val="28"/>
        </w:rPr>
        <w:t>2658.96</w:t>
      </w:r>
      <w:r>
        <w:rPr>
          <w:rFonts w:ascii="仿宋_GB2312" w:eastAsia="仿宋_GB2312" w:hint="eastAsia"/>
          <w:sz w:val="28"/>
          <w:szCs w:val="28"/>
        </w:rPr>
        <w:t>万元，占本年财政拨款支出</w:t>
      </w:r>
      <w:r>
        <w:rPr>
          <w:rFonts w:ascii="仿宋_GB2312" w:eastAsia="仿宋_GB2312" w:hint="eastAsia"/>
          <w:sz w:val="28"/>
          <w:szCs w:val="28"/>
        </w:rPr>
        <w:t>11.78%</w:t>
      </w:r>
      <w:r>
        <w:rPr>
          <w:rFonts w:ascii="仿宋_GB2312" w:eastAsia="仿宋_GB2312" w:hint="eastAsia"/>
          <w:sz w:val="28"/>
          <w:szCs w:val="28"/>
        </w:rPr>
        <w:t>；科学技术支出</w:t>
      </w:r>
      <w:r>
        <w:rPr>
          <w:rFonts w:ascii="仿宋_GB2312" w:eastAsia="仿宋_GB2312" w:hint="eastAsia"/>
          <w:sz w:val="28"/>
          <w:szCs w:val="28"/>
        </w:rPr>
        <w:t>43.90</w:t>
      </w:r>
      <w:r>
        <w:rPr>
          <w:rFonts w:ascii="仿宋_GB2312" w:eastAsia="仿宋_GB2312" w:hint="eastAsia"/>
          <w:sz w:val="28"/>
          <w:szCs w:val="28"/>
        </w:rPr>
        <w:t>万元，占本年财政拨款支出</w:t>
      </w:r>
      <w:r>
        <w:rPr>
          <w:rFonts w:ascii="仿宋_GB2312" w:eastAsia="仿宋_GB2312" w:hint="eastAsia"/>
          <w:sz w:val="28"/>
          <w:szCs w:val="28"/>
        </w:rPr>
        <w:t>0.19%</w:t>
      </w:r>
      <w:r>
        <w:rPr>
          <w:rFonts w:ascii="仿宋_GB2312" w:eastAsia="仿宋_GB2312" w:hint="eastAsia"/>
          <w:sz w:val="28"/>
          <w:szCs w:val="28"/>
        </w:rPr>
        <w:t>。</w:t>
      </w:r>
    </w:p>
    <w:p w:rsidR="00EA689B" w:rsidRDefault="007E6F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EA689B" w:rsidRDefault="007E6F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教育</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14406.77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15394.29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106.85</w:t>
      </w:r>
      <w:r>
        <w:rPr>
          <w:rFonts w:ascii="仿宋_GB2312" w:eastAsia="仿宋_GB2312" w:hint="eastAsia"/>
          <w:sz w:val="28"/>
          <w:szCs w:val="28"/>
        </w:rPr>
        <w:t>%</w:t>
      </w:r>
      <w:r>
        <w:rPr>
          <w:rFonts w:ascii="仿宋_GB2312" w:eastAsia="仿宋_GB2312" w:hint="eastAsia"/>
          <w:sz w:val="28"/>
          <w:szCs w:val="28"/>
        </w:rPr>
        <w:t>。</w:t>
      </w:r>
    </w:p>
    <w:p w:rsidR="00EA689B" w:rsidRDefault="007E6FE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EA689B" w:rsidRDefault="007E6F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14313.78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15307.58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106.94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年在职人员绩效工资、社保及退休人员经费增加；中小学生实践活动经费生均标准提高，新增购置食堂设备专项以及更新礼堂音频设备专项等项目支出增加。</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特殊教育</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13.09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13.09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按照特需生的分配的公用经费执行预算</w:t>
      </w:r>
      <w:r>
        <w:rPr>
          <w:rFonts w:ascii="仿宋_GB2312" w:eastAsia="仿宋_GB2312" w:hint="eastAsia"/>
          <w:sz w:val="28"/>
          <w:szCs w:val="28"/>
        </w:rPr>
        <w:t>。</w:t>
      </w:r>
    </w:p>
    <w:p w:rsidR="00EA689B" w:rsidRDefault="007E6FED">
      <w:pPr>
        <w:spacing w:line="580" w:lineRule="exact"/>
        <w:ind w:firstLineChars="200" w:firstLine="420"/>
        <w:rPr>
          <w:rFonts w:ascii="仿宋_GB2312" w:eastAsia="仿宋_GB2312"/>
          <w:sz w:val="28"/>
          <w:szCs w:val="28"/>
        </w:rPr>
      </w:pPr>
      <w:r>
        <w:rPr>
          <w:rFonts w:eastAsia="仿宋_GB2312" w:hint="eastAsia"/>
        </w:rPr>
        <w:t xml:space="preserve"> </w:t>
      </w: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34.40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28.13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81.76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按照财政厉行节约要求，减少培训支出。</w:t>
      </w:r>
    </w:p>
    <w:p w:rsidR="00EA689B" w:rsidRDefault="007E6FED">
      <w:pPr>
        <w:spacing w:line="580" w:lineRule="exact"/>
        <w:ind w:firstLineChars="200" w:firstLine="420"/>
        <w:rPr>
          <w:rFonts w:ascii="仿宋_GB2312" w:eastAsia="仿宋_GB2312"/>
          <w:sz w:val="28"/>
          <w:szCs w:val="28"/>
        </w:rPr>
      </w:pPr>
      <w:r>
        <w:rPr>
          <w:rFonts w:eastAsia="仿宋_GB2312" w:hint="eastAsia"/>
        </w:rPr>
        <w:t xml:space="preserve"> </w:t>
      </w:r>
      <w:r>
        <w:rPr>
          <w:rFonts w:ascii="仿宋_GB2312" w:eastAsia="仿宋_GB2312" w:hint="eastAsia"/>
          <w:sz w:val="28"/>
          <w:szCs w:val="28"/>
        </w:rPr>
        <w:t>“</w:t>
      </w:r>
      <w:r>
        <w:rPr>
          <w:rFonts w:ascii="仿宋_GB2312" w:eastAsia="仿宋_GB2312" w:hint="eastAsia"/>
          <w:sz w:val="28"/>
          <w:szCs w:val="28"/>
        </w:rPr>
        <w:t>教育费附加安排的支出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45.50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45.50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lastRenderedPageBreak/>
        <w:t>主要原因：</w:t>
      </w:r>
      <w:r>
        <w:rPr>
          <w:rFonts w:ascii="仿宋_GB2312" w:eastAsia="仿宋_GB2312" w:hint="eastAsia"/>
          <w:sz w:val="28"/>
          <w:szCs w:val="28"/>
        </w:rPr>
        <w:t>按计划进行燃气和热力管线相关专项支出</w:t>
      </w:r>
      <w:r>
        <w:rPr>
          <w:rFonts w:ascii="仿宋_GB2312" w:eastAsia="仿宋_GB2312" w:hint="eastAsia"/>
          <w:sz w:val="28"/>
          <w:szCs w:val="28"/>
        </w:rPr>
        <w:t>。</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2882.57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3179.76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110.31</w:t>
      </w:r>
      <w:r>
        <w:rPr>
          <w:rFonts w:ascii="仿宋_GB2312" w:eastAsia="仿宋_GB2312" w:hint="eastAsia"/>
          <w:sz w:val="28"/>
          <w:szCs w:val="28"/>
        </w:rPr>
        <w:t>%</w:t>
      </w:r>
      <w:r>
        <w:rPr>
          <w:rFonts w:ascii="仿宋_GB2312" w:eastAsia="仿宋_GB2312" w:hint="eastAsia"/>
          <w:sz w:val="28"/>
          <w:szCs w:val="28"/>
        </w:rPr>
        <w:t>。其中：</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行政事业单位养老支出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2882.57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3041.49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105.51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追加一次性退休补贴和离休干部护理费。</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抚恤</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138.06</w:t>
      </w:r>
      <w:r>
        <w:rPr>
          <w:rFonts w:ascii="仿宋_GB2312" w:eastAsia="仿宋_GB2312" w:hint="eastAsia"/>
          <w:sz w:val="28"/>
          <w:szCs w:val="28"/>
        </w:rPr>
        <w:t>万元。主要原因：</w:t>
      </w:r>
      <w:r>
        <w:rPr>
          <w:rFonts w:ascii="仿宋_GB2312" w:eastAsia="仿宋_GB2312" w:hint="eastAsia"/>
          <w:sz w:val="28"/>
          <w:szCs w:val="28"/>
        </w:rPr>
        <w:t>有新去世的退休教师</w:t>
      </w:r>
      <w:r>
        <w:rPr>
          <w:rFonts w:ascii="仿宋_GB2312" w:eastAsia="仿宋_GB2312" w:hint="eastAsia"/>
          <w:sz w:val="28"/>
          <w:szCs w:val="28"/>
        </w:rPr>
        <w:t>。</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其他生活救助</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0.21</w:t>
      </w:r>
      <w:r>
        <w:rPr>
          <w:rFonts w:ascii="仿宋_GB2312" w:eastAsia="仿宋_GB2312" w:hint="eastAsia"/>
          <w:sz w:val="28"/>
          <w:szCs w:val="28"/>
        </w:rPr>
        <w:t>万元。主要原因：</w:t>
      </w:r>
      <w:r>
        <w:rPr>
          <w:rFonts w:ascii="仿宋_GB2312" w:eastAsia="仿宋_GB2312" w:hint="eastAsia"/>
          <w:sz w:val="28"/>
          <w:szCs w:val="28"/>
        </w:rPr>
        <w:t>记账口径与预算的差异。</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1328.41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1286.11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96.82</w:t>
      </w:r>
      <w:r>
        <w:rPr>
          <w:rFonts w:ascii="仿宋_GB2312" w:eastAsia="仿宋_GB2312" w:hint="eastAsia"/>
          <w:sz w:val="28"/>
          <w:szCs w:val="28"/>
        </w:rPr>
        <w:t>%</w:t>
      </w:r>
      <w:r>
        <w:rPr>
          <w:rFonts w:ascii="仿宋_GB2312" w:eastAsia="仿宋_GB2312" w:hint="eastAsia"/>
          <w:sz w:val="28"/>
          <w:szCs w:val="28"/>
        </w:rPr>
        <w:t>。其中：</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行政事业单位医疗</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1328.41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128</w:t>
      </w:r>
      <w:r>
        <w:rPr>
          <w:rFonts w:ascii="仿宋_GB2312" w:eastAsia="仿宋_GB2312" w:hint="eastAsia"/>
          <w:sz w:val="28"/>
          <w:szCs w:val="28"/>
        </w:rPr>
        <w:t>6.11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96.82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有离休人员去世导致离休医保减少，在职人员的增减也会导致和预算金额不同</w:t>
      </w:r>
      <w:r>
        <w:rPr>
          <w:rFonts w:ascii="仿宋_GB2312" w:eastAsia="仿宋_GB2312" w:hint="eastAsia"/>
          <w:sz w:val="28"/>
          <w:szCs w:val="28"/>
        </w:rPr>
        <w:t>。</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2645.68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2658.96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100.50</w:t>
      </w:r>
      <w:r>
        <w:rPr>
          <w:rFonts w:ascii="仿宋_GB2312" w:eastAsia="仿宋_GB2312" w:hint="eastAsia"/>
          <w:sz w:val="28"/>
          <w:szCs w:val="28"/>
        </w:rPr>
        <w:t>%</w:t>
      </w:r>
      <w:r>
        <w:rPr>
          <w:rFonts w:ascii="仿宋_GB2312" w:eastAsia="仿宋_GB2312" w:hint="eastAsia"/>
          <w:sz w:val="28"/>
          <w:szCs w:val="28"/>
        </w:rPr>
        <w:t>。其中：</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住房改革支出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2645.68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2658.96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100.50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追加住房补贴经费</w:t>
      </w:r>
      <w:r>
        <w:rPr>
          <w:rFonts w:ascii="仿宋_GB2312" w:eastAsia="仿宋_GB2312" w:hint="eastAsia"/>
          <w:sz w:val="28"/>
          <w:szCs w:val="28"/>
        </w:rPr>
        <w:t>。</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hint="eastAsia"/>
          <w:sz w:val="28"/>
          <w:szCs w:val="28"/>
        </w:rPr>
        <w:t>、“</w:t>
      </w:r>
      <w:r>
        <w:rPr>
          <w:rFonts w:ascii="仿宋_GB2312" w:eastAsia="仿宋_GB2312" w:hint="eastAsia"/>
          <w:sz w:val="28"/>
          <w:szCs w:val="28"/>
        </w:rPr>
        <w:t>科学技术支出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43.90</w:t>
      </w:r>
      <w:r>
        <w:rPr>
          <w:rFonts w:ascii="仿宋_GB2312" w:eastAsia="仿宋_GB2312" w:hint="eastAsia"/>
          <w:sz w:val="28"/>
          <w:szCs w:val="28"/>
        </w:rPr>
        <w:t>万元。其中：</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科技条件与服务</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43.90</w:t>
      </w:r>
      <w:r>
        <w:rPr>
          <w:rFonts w:ascii="仿宋_GB2312" w:eastAsia="仿宋_GB2312" w:hint="eastAsia"/>
          <w:sz w:val="28"/>
          <w:szCs w:val="28"/>
        </w:rPr>
        <w:t>万元。主要原因：</w:t>
      </w:r>
      <w:r>
        <w:rPr>
          <w:rFonts w:ascii="仿宋_GB2312" w:eastAsia="仿宋_GB2312" w:hint="eastAsia"/>
          <w:sz w:val="28"/>
          <w:szCs w:val="28"/>
        </w:rPr>
        <w:t>新增人工智能物联网科普实验室建设项目</w:t>
      </w:r>
      <w:r>
        <w:rPr>
          <w:rFonts w:ascii="仿宋_GB2312" w:eastAsia="仿宋_GB2312" w:hint="eastAsia"/>
          <w:sz w:val="28"/>
          <w:szCs w:val="28"/>
        </w:rPr>
        <w:t>。</w:t>
      </w:r>
    </w:p>
    <w:p w:rsidR="00EA689B" w:rsidRDefault="007E6FE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A689B" w:rsidRDefault="007E6F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EA689B" w:rsidRDefault="007E6F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w:t>
      </w:r>
      <w:r>
        <w:rPr>
          <w:rFonts w:ascii="仿宋_GB2312" w:eastAsia="仿宋_GB2312" w:hint="eastAsia"/>
          <w:sz w:val="28"/>
          <w:szCs w:val="28"/>
        </w:rPr>
        <w:t>其他</w:t>
      </w:r>
      <w:r>
        <w:rPr>
          <w:rFonts w:ascii="仿宋_GB2312" w:eastAsia="仿宋_GB2312" w:hint="eastAsia"/>
          <w:sz w:val="28"/>
          <w:szCs w:val="28"/>
        </w:rPr>
        <w:t>支出</w:t>
      </w:r>
      <w:r>
        <w:rPr>
          <w:rFonts w:ascii="仿宋_GB2312" w:eastAsia="仿宋_GB2312" w:hint="eastAsia"/>
          <w:sz w:val="28"/>
          <w:szCs w:val="28"/>
        </w:rPr>
        <w:t>3.00</w:t>
      </w:r>
      <w:r>
        <w:rPr>
          <w:rFonts w:ascii="仿宋_GB2312" w:eastAsia="仿宋_GB2312" w:hint="eastAsia"/>
          <w:sz w:val="28"/>
          <w:szCs w:val="28"/>
        </w:rPr>
        <w:t>万元，占本年财政拨款支出</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w:t>
      </w:r>
    </w:p>
    <w:p w:rsidR="00EA689B" w:rsidRDefault="007E6F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EA689B" w:rsidRDefault="007E6FED">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其他</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99.96</w:t>
      </w:r>
      <w:r>
        <w:rPr>
          <w:rFonts w:ascii="仿宋_GB2312" w:eastAsia="仿宋_GB2312" w:hint="eastAsia"/>
          <w:sz w:val="28"/>
          <w:szCs w:val="28"/>
        </w:rPr>
        <w:t>%</w:t>
      </w:r>
      <w:r>
        <w:rPr>
          <w:rFonts w:ascii="仿宋_GB2312" w:eastAsia="仿宋_GB2312" w:hint="eastAsia"/>
          <w:sz w:val="28"/>
          <w:szCs w:val="28"/>
        </w:rPr>
        <w:t>。其中：</w:t>
      </w:r>
    </w:p>
    <w:p w:rsidR="00EA689B" w:rsidRDefault="007E6F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彩票公益金安排的支出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99.96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由于市场价格变动导致与预算有微小偏差</w:t>
      </w:r>
      <w:r>
        <w:rPr>
          <w:rFonts w:ascii="仿宋_GB2312" w:eastAsia="仿宋_GB2312" w:hint="eastAsia"/>
          <w:sz w:val="28"/>
          <w:szCs w:val="28"/>
        </w:rPr>
        <w:t>。</w:t>
      </w:r>
    </w:p>
    <w:p w:rsidR="00EA689B" w:rsidRDefault="00EA689B">
      <w:pPr>
        <w:spacing w:line="580" w:lineRule="exact"/>
        <w:ind w:firstLineChars="200" w:firstLine="560"/>
        <w:rPr>
          <w:rFonts w:ascii="仿宋_GB2312" w:eastAsia="仿宋_GB2312"/>
          <w:sz w:val="28"/>
          <w:szCs w:val="28"/>
        </w:rPr>
      </w:pPr>
    </w:p>
    <w:p w:rsidR="00EA689B" w:rsidRDefault="00EA689B">
      <w:pPr>
        <w:spacing w:line="580" w:lineRule="exact"/>
        <w:ind w:firstLineChars="200" w:firstLine="562"/>
        <w:rPr>
          <w:rFonts w:ascii="黑体" w:eastAsia="黑体"/>
          <w:b/>
          <w:sz w:val="28"/>
          <w:szCs w:val="28"/>
        </w:rPr>
      </w:pPr>
    </w:p>
    <w:p w:rsidR="00EA689B" w:rsidRDefault="007E6FE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A689B" w:rsidRDefault="007E6FED">
      <w:pPr>
        <w:ind w:firstLineChars="192" w:firstLine="538"/>
        <w:rPr>
          <w:rFonts w:ascii="仿宋_GB2312" w:eastAsia="仿宋_GB2312"/>
          <w:sz w:val="28"/>
          <w:szCs w:val="28"/>
        </w:rPr>
      </w:pPr>
      <w:r>
        <w:rPr>
          <w:rFonts w:ascii="仿宋_GB2312" w:eastAsia="仿宋_GB2312" w:hint="eastAsia"/>
          <w:sz w:val="28"/>
          <w:szCs w:val="28"/>
        </w:rPr>
        <w:t>本单位无此项经费</w:t>
      </w:r>
      <w:r>
        <w:rPr>
          <w:rFonts w:ascii="仿宋_GB2312" w:eastAsia="仿宋_GB2312" w:hint="eastAsia"/>
          <w:sz w:val="28"/>
          <w:szCs w:val="28"/>
        </w:rPr>
        <w:t>。</w:t>
      </w:r>
    </w:p>
    <w:p w:rsidR="00EA689B" w:rsidRDefault="007E6FE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A689B" w:rsidRDefault="007E6FE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20802.46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EA689B" w:rsidRDefault="007E6FE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EA689B" w:rsidRDefault="007E6FE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w:t>
      </w:r>
      <w:r>
        <w:rPr>
          <w:rFonts w:ascii="宋体" w:hAnsi="宋体" w:hint="eastAsia"/>
          <w:b/>
          <w:spacing w:val="40"/>
          <w:sz w:val="32"/>
          <w:szCs w:val="32"/>
        </w:rPr>
        <w:t>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EA689B" w:rsidRDefault="007E6FE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A689B" w:rsidRDefault="007E6FED">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1.86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3.54</w:t>
      </w:r>
      <w:r>
        <w:rPr>
          <w:rFonts w:ascii="仿宋_GB2312" w:eastAsia="仿宋_GB2312" w:hint="eastAsia"/>
          <w:sz w:val="28"/>
          <w:szCs w:val="28"/>
        </w:rPr>
        <w:t>万元。其中：</w:t>
      </w:r>
    </w:p>
    <w:p w:rsidR="00EA689B" w:rsidRDefault="007E6FED">
      <w:pPr>
        <w:spacing w:line="560" w:lineRule="exact"/>
        <w:ind w:firstLineChars="200" w:firstLine="560"/>
        <w:rPr>
          <w:rFonts w:eastAsia="仿宋_GB2312"/>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p>
    <w:p w:rsidR="00EA689B" w:rsidRDefault="007E6FED">
      <w:pPr>
        <w:spacing w:line="560" w:lineRule="exact"/>
        <w:ind w:firstLineChars="200" w:firstLine="560"/>
        <w:rPr>
          <w:rFonts w:eastAsia="仿宋_GB2312"/>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p>
    <w:p w:rsidR="00EA689B" w:rsidRDefault="007E6FED">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1.86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3.54</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1.86</w:t>
      </w:r>
      <w:r>
        <w:rPr>
          <w:rFonts w:ascii="仿宋_GB2312" w:eastAsia="仿宋_GB2312" w:hint="eastAsia"/>
          <w:sz w:val="28"/>
          <w:szCs w:val="28"/>
        </w:rPr>
        <w:lastRenderedPageBreak/>
        <w:t>万元，</w:t>
      </w:r>
      <w:r>
        <w:rPr>
          <w:rFonts w:ascii="仿宋_GB2312" w:eastAsia="仿宋_GB2312" w:hint="eastAsia"/>
          <w:sz w:val="28"/>
          <w:szCs w:val="28"/>
        </w:rPr>
        <w:t>用于公务用车的加油费、停车费和保险及检测费。</w:t>
      </w:r>
      <w:r>
        <w:rPr>
          <w:rFonts w:ascii="仿宋_GB2312" w:eastAsia="仿宋_GB2312" w:hint="eastAsia"/>
          <w:sz w:val="28"/>
          <w:szCs w:val="28"/>
        </w:rPr>
        <w:t>主要原因：</w:t>
      </w:r>
      <w:r>
        <w:rPr>
          <w:rFonts w:ascii="仿宋_GB2312" w:eastAsia="仿宋_GB2312" w:hint="eastAsia"/>
          <w:sz w:val="28"/>
          <w:szCs w:val="28"/>
        </w:rPr>
        <w:t>响应财政厉行节约要求减少公务车出行导致</w:t>
      </w:r>
      <w:r>
        <w:rPr>
          <w:rFonts w:ascii="仿宋_GB2312" w:eastAsia="仿宋_GB2312" w:hint="eastAsia"/>
          <w:sz w:val="28"/>
          <w:szCs w:val="28"/>
        </w:rPr>
        <w:t>。</w:t>
      </w:r>
      <w:bookmarkStart w:id="0" w:name="_GoBack"/>
      <w:bookmarkEnd w:id="0"/>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2</w:t>
      </w:r>
      <w:r>
        <w:rPr>
          <w:rFonts w:ascii="仿宋_GB2312" w:eastAsia="仿宋_GB2312" w:hint="eastAsia"/>
          <w:sz w:val="28"/>
          <w:szCs w:val="28"/>
        </w:rPr>
        <w:t>辆。</w:t>
      </w:r>
    </w:p>
    <w:p w:rsidR="00EA689B" w:rsidRDefault="007E6FE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A689B" w:rsidRDefault="007E6FED">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r>
        <w:rPr>
          <w:rFonts w:ascii="仿宋_GB2312" w:eastAsia="仿宋_GB2312" w:hint="eastAsia"/>
          <w:sz w:val="28"/>
          <w:szCs w:val="28"/>
        </w:rPr>
        <w:t>。</w:t>
      </w:r>
    </w:p>
    <w:p w:rsidR="00EA689B" w:rsidRDefault="007E6FED">
      <w:pPr>
        <w:ind w:left="540"/>
        <w:rPr>
          <w:rFonts w:ascii="黑体" w:eastAsia="黑体"/>
          <w:sz w:val="28"/>
          <w:szCs w:val="28"/>
        </w:rPr>
      </w:pPr>
      <w:r>
        <w:rPr>
          <w:rFonts w:ascii="黑体" w:eastAsia="黑体" w:hint="eastAsia"/>
          <w:sz w:val="28"/>
          <w:szCs w:val="28"/>
        </w:rPr>
        <w:t>三、政府采购支出情况</w:t>
      </w:r>
    </w:p>
    <w:p w:rsidR="00EA689B" w:rsidRDefault="007E6FED">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1049.54</w:t>
      </w:r>
      <w:r>
        <w:rPr>
          <w:rFonts w:ascii="仿宋_GB2312" w:eastAsia="仿宋_GB2312" w:hint="eastAsia"/>
          <w:sz w:val="28"/>
          <w:szCs w:val="28"/>
        </w:rPr>
        <w:t>万元，其中：政府采购货物支出</w:t>
      </w:r>
      <w:r>
        <w:rPr>
          <w:rFonts w:ascii="仿宋_GB2312" w:eastAsia="仿宋_GB2312"/>
          <w:sz w:val="28"/>
          <w:szCs w:val="28"/>
        </w:rPr>
        <w:t>23.77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1025.76</w:t>
      </w:r>
      <w:r>
        <w:rPr>
          <w:rFonts w:ascii="仿宋_GB2312" w:eastAsia="仿宋_GB2312" w:hint="eastAsia"/>
          <w:sz w:val="28"/>
          <w:szCs w:val="28"/>
        </w:rPr>
        <w:t>万元。授予中小企业合同金额</w:t>
      </w:r>
      <w:r>
        <w:rPr>
          <w:rFonts w:ascii="仿宋_GB2312" w:eastAsia="仿宋_GB2312"/>
          <w:sz w:val="28"/>
          <w:szCs w:val="28"/>
        </w:rPr>
        <w:t>817.17</w:t>
      </w:r>
      <w:r>
        <w:rPr>
          <w:rFonts w:ascii="仿宋_GB2312" w:eastAsia="仿宋_GB2312" w:hint="eastAsia"/>
          <w:sz w:val="28"/>
          <w:szCs w:val="28"/>
        </w:rPr>
        <w:t>万元，占政府采购支出总额的</w:t>
      </w:r>
      <w:r>
        <w:rPr>
          <w:rFonts w:ascii="仿宋_GB2312" w:eastAsia="仿宋_GB2312" w:hint="eastAsia"/>
          <w:sz w:val="28"/>
          <w:szCs w:val="28"/>
        </w:rPr>
        <w:t>77.86</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786.77</w:t>
      </w:r>
      <w:r>
        <w:rPr>
          <w:rFonts w:ascii="仿宋_GB2312" w:eastAsia="仿宋_GB2312" w:hint="eastAsia"/>
          <w:sz w:val="28"/>
          <w:szCs w:val="28"/>
        </w:rPr>
        <w:t>万元，占政府采购支出总额的</w:t>
      </w:r>
      <w:r>
        <w:rPr>
          <w:rFonts w:ascii="仿宋_GB2312" w:eastAsia="仿宋_GB2312"/>
          <w:sz w:val="28"/>
          <w:szCs w:val="28"/>
        </w:rPr>
        <w:t>74.96</w:t>
      </w:r>
      <w:r>
        <w:rPr>
          <w:rFonts w:ascii="仿宋_GB2312" w:eastAsia="仿宋_GB2312" w:hint="eastAsia"/>
          <w:sz w:val="28"/>
          <w:szCs w:val="28"/>
        </w:rPr>
        <w:t>%</w:t>
      </w:r>
      <w:r>
        <w:rPr>
          <w:rFonts w:ascii="仿宋_GB2312" w:eastAsia="仿宋_GB2312" w:hint="eastAsia"/>
          <w:sz w:val="28"/>
          <w:szCs w:val="28"/>
        </w:rPr>
        <w:t>。</w:t>
      </w:r>
    </w:p>
    <w:p w:rsidR="00EA689B" w:rsidRDefault="007E6FE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EA689B" w:rsidRDefault="007E6FED">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日，北京第二实验小学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2</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EA689B" w:rsidRDefault="007E6FE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A689B" w:rsidRDefault="007E6FED">
      <w:pPr>
        <w:ind w:firstLineChars="200" w:firstLine="560"/>
        <w:jc w:val="left"/>
        <w:rPr>
          <w:rFonts w:ascii="仿宋_GB2312" w:eastAsia="仿宋_GB2312"/>
          <w:sz w:val="28"/>
          <w:szCs w:val="28"/>
        </w:rPr>
      </w:pPr>
      <w:r>
        <w:rPr>
          <w:rFonts w:ascii="仿宋_GB2312" w:eastAsia="仿宋_GB2312" w:hint="eastAsia"/>
          <w:sz w:val="28"/>
          <w:szCs w:val="28"/>
        </w:rPr>
        <w:t>本单位无此项支出。</w:t>
      </w:r>
    </w:p>
    <w:p w:rsidR="00EA689B" w:rsidRDefault="007E6FE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A689B" w:rsidRDefault="007E6FED">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EA689B" w:rsidRDefault="007E6FED">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EA689B" w:rsidRDefault="007E6FED">
      <w:pPr>
        <w:ind w:firstLineChars="200" w:firstLine="560"/>
        <w:rPr>
          <w:rFonts w:ascii="仿宋_GB2312" w:eastAsia="仿宋_GB2312" w:hAnsi="宋体"/>
          <w:sz w:val="28"/>
          <w:szCs w:val="28"/>
        </w:rPr>
      </w:pPr>
      <w:r>
        <w:rPr>
          <w:rFonts w:ascii="仿宋_GB2312" w:eastAsia="仿宋_GB2312" w:hint="eastAsia"/>
          <w:sz w:val="28"/>
          <w:szCs w:val="28"/>
        </w:rPr>
        <w:lastRenderedPageBreak/>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EA689B" w:rsidRDefault="007E6FED">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A689B" w:rsidRDefault="007E6FE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EA689B" w:rsidRDefault="007E6FED">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A689B" w:rsidRDefault="007E6FED">
      <w:pPr>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教育支出（类）特殊教育（款）特殊学校教育（项）：反映本部门举办盲童学校、聋哑学校、智力落后儿童学校、其他生理缺陷儿童学校的支出。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教育支出（类）进修及培训（款）培训支出（项）：反映本部门安排的用于培训的支出。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lastRenderedPageBreak/>
        <w:t>10.</w:t>
      </w:r>
      <w:r>
        <w:rPr>
          <w:rFonts w:ascii="仿宋_GB2312" w:eastAsia="仿宋_GB2312" w:hint="eastAsia"/>
          <w:sz w:val="28"/>
          <w:szCs w:val="28"/>
        </w:rPr>
        <w:t>教育支出</w:t>
      </w:r>
      <w:r>
        <w:rPr>
          <w:rFonts w:ascii="仿宋_GB2312" w:eastAsia="仿宋_GB2312" w:hint="eastAsia"/>
          <w:sz w:val="28"/>
          <w:szCs w:val="28"/>
        </w:rPr>
        <w:t>（类）教育费附加安排的支出（款）城市中小学校舍建设（项）：反映教育费附加安排用于城市中小学校舍新建、改建、修缮和维护的支出。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科学技术支出（类）科学条件与服务（款）科技条件专项（项）：反映国家用于完善科技条件的支出，包括科技文献信息、网络环境支撑等科技条件专项支出等。</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社会保障和就业支出（类）行政事业单位养老支出（款）事业单位离退休（项）：反映事业单位开支的离退休经费。</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lastRenderedPageBreak/>
        <w:t>17.</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卫生健康支出（类）行政事业单位医疗（款）其他行政事业单位医疗支出（项）：反映除上述项目</w:t>
      </w:r>
      <w:r>
        <w:rPr>
          <w:rFonts w:ascii="仿宋_GB2312" w:eastAsia="仿宋_GB2312" w:hint="eastAsia"/>
          <w:sz w:val="28"/>
          <w:szCs w:val="28"/>
        </w:rPr>
        <w:t>以外的其他用于行政事业单位医疗方面的支出。</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20.</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21.</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EA689B" w:rsidRDefault="007E6FED">
      <w:pPr>
        <w:pStyle w:val="ae"/>
        <w:ind w:left="0" w:firstLineChars="200" w:firstLine="560"/>
        <w:rPr>
          <w:rFonts w:ascii="仿宋_GB2312" w:eastAsia="仿宋_GB2312"/>
          <w:sz w:val="28"/>
          <w:szCs w:val="28"/>
        </w:rPr>
      </w:pPr>
      <w:r>
        <w:rPr>
          <w:rFonts w:ascii="仿宋_GB2312" w:eastAsia="仿宋_GB2312" w:hint="eastAsia"/>
          <w:sz w:val="28"/>
          <w:szCs w:val="28"/>
        </w:rPr>
        <w:t>22.</w:t>
      </w:r>
      <w:r>
        <w:rPr>
          <w:rFonts w:ascii="仿宋_GB2312" w:eastAsia="仿宋_GB2312" w:hint="eastAsia"/>
          <w:sz w:val="28"/>
          <w:szCs w:val="28"/>
        </w:rPr>
        <w:t>其他</w:t>
      </w:r>
      <w:r>
        <w:rPr>
          <w:rFonts w:ascii="仿宋_GB2312" w:eastAsia="仿宋_GB2312" w:hint="eastAsia"/>
          <w:sz w:val="28"/>
          <w:szCs w:val="28"/>
        </w:rPr>
        <w:t>支出（类）彩票公益金安排的支出（款）用于体育事业的彩票公益金支出（项）：反映用于体育事业的彩票公益金支出。</w:t>
      </w:r>
    </w:p>
    <w:p w:rsidR="00EA689B" w:rsidRDefault="00EA689B">
      <w:pPr>
        <w:tabs>
          <w:tab w:val="center" w:pos="6979"/>
        </w:tabs>
        <w:spacing w:line="380" w:lineRule="exact"/>
        <w:rPr>
          <w:rFonts w:ascii="宋体" w:hAnsi="宋体" w:cs="宋体"/>
          <w:b/>
          <w:bCs/>
          <w:kern w:val="0"/>
          <w:sz w:val="28"/>
          <w:szCs w:val="28"/>
        </w:rPr>
      </w:pPr>
    </w:p>
    <w:p w:rsidR="00EA689B" w:rsidRDefault="00EA689B">
      <w:pPr>
        <w:tabs>
          <w:tab w:val="center" w:pos="6979"/>
        </w:tabs>
        <w:spacing w:line="380" w:lineRule="exact"/>
        <w:jc w:val="center"/>
        <w:rPr>
          <w:rFonts w:ascii="宋体" w:hAnsi="宋体" w:cs="宋体"/>
          <w:b/>
          <w:bCs/>
          <w:kern w:val="0"/>
          <w:sz w:val="28"/>
          <w:szCs w:val="28"/>
        </w:rPr>
      </w:pPr>
    </w:p>
    <w:p w:rsidR="00EA689B" w:rsidRDefault="00EA689B">
      <w:pPr>
        <w:rPr>
          <w:rFonts w:ascii="黑体" w:eastAsia="黑体"/>
          <w:sz w:val="32"/>
          <w:szCs w:val="32"/>
        </w:rPr>
      </w:pPr>
    </w:p>
    <w:p w:rsidR="00EA689B" w:rsidRDefault="00EA689B">
      <w:pPr>
        <w:ind w:firstLineChars="200" w:firstLine="640"/>
        <w:jc w:val="center"/>
        <w:rPr>
          <w:rFonts w:ascii="黑体" w:eastAsia="黑体"/>
          <w:sz w:val="32"/>
          <w:szCs w:val="32"/>
        </w:rPr>
      </w:pPr>
    </w:p>
    <w:p w:rsidR="00EA689B" w:rsidRDefault="007E6FED">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EA689B" w:rsidRDefault="00EA689B">
      <w:pPr>
        <w:ind w:firstLineChars="200" w:firstLine="560"/>
        <w:rPr>
          <w:rFonts w:ascii="黑体" w:eastAsia="黑体"/>
          <w:sz w:val="28"/>
          <w:szCs w:val="28"/>
          <w:highlight w:val="yellow"/>
        </w:rPr>
      </w:pPr>
    </w:p>
    <w:p w:rsidR="00EA689B" w:rsidRDefault="007E6FED">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EA689B" w:rsidRDefault="007E6FED">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EA689B" w:rsidRDefault="007E6FED">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EA689B" w:rsidRDefault="007E6FED">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EA689B" w:rsidRDefault="007E6FED">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EA689B" w:rsidRDefault="00EA689B">
      <w:pPr>
        <w:spacing w:line="480" w:lineRule="exact"/>
        <w:rPr>
          <w:rFonts w:ascii="仿宋_GB2312" w:eastAsia="仿宋_GB2312" w:hAnsi="仿宋_GB2312" w:cs="仿宋_GB2312"/>
          <w:sz w:val="32"/>
          <w:szCs w:val="32"/>
        </w:rPr>
      </w:pPr>
    </w:p>
    <w:p w:rsidR="00EA689B" w:rsidRDefault="00EA689B">
      <w:pPr>
        <w:spacing w:line="480" w:lineRule="exact"/>
      </w:pPr>
    </w:p>
    <w:sectPr w:rsidR="00EA689B">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E6FED">
      <w:r>
        <w:separator/>
      </w:r>
    </w:p>
  </w:endnote>
  <w:endnote w:type="continuationSeparator" w:id="0">
    <w:p w:rsidR="00000000" w:rsidRDefault="007E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89B" w:rsidRDefault="007E6F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EA689B" w:rsidRDefault="00EA68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89B" w:rsidRDefault="007E6F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EA689B" w:rsidRDefault="00EA689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89B" w:rsidRDefault="007E6F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EA689B" w:rsidRDefault="00EA68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E6FED">
      <w:r>
        <w:separator/>
      </w:r>
    </w:p>
  </w:footnote>
  <w:footnote w:type="continuationSeparator" w:id="0">
    <w:p w:rsidR="00000000" w:rsidRDefault="007E6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6FED"/>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689B"/>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3C301D"/>
    <w:rsid w:val="079004AC"/>
    <w:rsid w:val="0BA148CA"/>
    <w:rsid w:val="0C1165C4"/>
    <w:rsid w:val="0D6D544B"/>
    <w:rsid w:val="0DD136FE"/>
    <w:rsid w:val="0F8E2C57"/>
    <w:rsid w:val="100D649D"/>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1D84F3-4A07-46AE-9D11-7A1BA61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C7B-48B5-84E4-5160D862B560}"/>
              </c:ext>
            </c:extLst>
          </c:dPt>
          <c:dPt>
            <c:idx val="1"/>
            <c:bubble3D val="0"/>
            <c:extLst>
              <c:ext xmlns:c16="http://schemas.microsoft.com/office/drawing/2014/chart" uri="{C3380CC4-5D6E-409C-BE32-E72D297353CC}">
                <c16:uniqueId val="{00000001-BC7B-48B5-84E4-5160D862B560}"/>
              </c:ext>
            </c:extLst>
          </c:dPt>
          <c:dPt>
            <c:idx val="2"/>
            <c:bubble3D val="0"/>
            <c:extLst>
              <c:ext xmlns:c16="http://schemas.microsoft.com/office/drawing/2014/chart" uri="{C3380CC4-5D6E-409C-BE32-E72D297353CC}">
                <c16:uniqueId val="{00000002-BC7B-48B5-84E4-5160D862B560}"/>
              </c:ext>
            </c:extLst>
          </c:dPt>
          <c:dPt>
            <c:idx val="3"/>
            <c:bubble3D val="0"/>
            <c:extLst>
              <c:ext xmlns:c16="http://schemas.microsoft.com/office/drawing/2014/chart" uri="{C3380CC4-5D6E-409C-BE32-E72D297353CC}">
                <c16:uniqueId val="{00000003-BC7B-48B5-84E4-5160D862B560}"/>
              </c:ext>
            </c:extLst>
          </c:dPt>
          <c:dPt>
            <c:idx val="4"/>
            <c:bubble3D val="0"/>
            <c:extLst>
              <c:ext xmlns:c16="http://schemas.microsoft.com/office/drawing/2014/chart" uri="{C3380CC4-5D6E-409C-BE32-E72D297353CC}">
                <c16:uniqueId val="{00000004-BC7B-48B5-84E4-5160D862B560}"/>
              </c:ext>
            </c:extLst>
          </c:dPt>
          <c:dPt>
            <c:idx val="5"/>
            <c:bubble3D val="0"/>
            <c:extLst>
              <c:ext xmlns:c16="http://schemas.microsoft.com/office/drawing/2014/chart" uri="{C3380CC4-5D6E-409C-BE32-E72D297353CC}">
                <c16:uniqueId val="{00000005-BC7B-48B5-84E4-5160D862B560}"/>
              </c:ext>
            </c:extLst>
          </c:dPt>
          <c:dLbls>
            <c:dLbl>
              <c:idx val="0"/>
              <c:layout>
                <c:manualLayout>
                  <c:x val="0.20292512138931201"/>
                  <c:y val="-5.43105153243245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C7B-48B5-84E4-5160D862B560}"/>
                </c:ext>
              </c:extLst>
            </c:dLbl>
            <c:dLbl>
              <c:idx val="1"/>
              <c:layout>
                <c:manualLayout>
                  <c:x val="-9.4384143463898104E-2"/>
                  <c:y val="-4.499590946277610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C7B-48B5-84E4-5160D862B560}"/>
                </c:ext>
              </c:extLst>
            </c:dLbl>
            <c:dLbl>
              <c:idx val="2"/>
              <c:delete val="1"/>
              <c:extLst>
                <c:ext xmlns:c15="http://schemas.microsoft.com/office/drawing/2012/chart" uri="{CE6537A1-D6FC-4f65-9D91-7224C49458BB}"/>
                <c:ext xmlns:c16="http://schemas.microsoft.com/office/drawing/2014/chart" uri="{C3380CC4-5D6E-409C-BE32-E72D297353CC}">
                  <c16:uniqueId val="{00000002-BC7B-48B5-84E4-5160D862B560}"/>
                </c:ext>
              </c:extLst>
            </c:dLbl>
            <c:dLbl>
              <c:idx val="3"/>
              <c:delete val="1"/>
              <c:extLst>
                <c:ext xmlns:c15="http://schemas.microsoft.com/office/drawing/2012/chart" uri="{CE6537A1-D6FC-4f65-9D91-7224C49458BB}"/>
                <c:ext xmlns:c16="http://schemas.microsoft.com/office/drawing/2014/chart" uri="{C3380CC4-5D6E-409C-BE32-E72D297353CC}">
                  <c16:uniqueId val="{00000003-BC7B-48B5-84E4-5160D862B560}"/>
                </c:ext>
              </c:extLst>
            </c:dLbl>
            <c:dLbl>
              <c:idx val="4"/>
              <c:delete val="1"/>
              <c:extLst>
                <c:ext xmlns:c15="http://schemas.microsoft.com/office/drawing/2012/chart" uri="{CE6537A1-D6FC-4f65-9D91-7224C49458BB}"/>
                <c:ext xmlns:c16="http://schemas.microsoft.com/office/drawing/2014/chart" uri="{C3380CC4-5D6E-409C-BE32-E72D297353CC}">
                  <c16:uniqueId val="{00000004-BC7B-48B5-84E4-5160D862B560}"/>
                </c:ext>
              </c:extLst>
            </c:dLbl>
            <c:dLbl>
              <c:idx val="5"/>
              <c:delete val="1"/>
              <c:extLst>
                <c:ext xmlns:c15="http://schemas.microsoft.com/office/drawing/2012/chart" uri="{CE6537A1-D6FC-4f65-9D91-7224C49458BB}"/>
                <c:ext xmlns:c16="http://schemas.microsoft.com/office/drawing/2014/chart" uri="{C3380CC4-5D6E-409C-BE32-E72D297353CC}">
                  <c16:uniqueId val="{00000005-BC7B-48B5-84E4-5160D862B560}"/>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22566.02</c:v>
                </c:pt>
                <c:pt idx="1">
                  <c:v>0</c:v>
                </c:pt>
                <c:pt idx="2">
                  <c:v>0</c:v>
                </c:pt>
                <c:pt idx="3">
                  <c:v>0</c:v>
                </c:pt>
                <c:pt idx="4">
                  <c:v>0</c:v>
                </c:pt>
                <c:pt idx="5">
                  <c:v>0</c:v>
                </c:pt>
              </c:numCache>
            </c:numRef>
          </c:val>
          <c:extLst>
            <c:ext xmlns:c16="http://schemas.microsoft.com/office/drawing/2014/chart" uri="{C3380CC4-5D6E-409C-BE32-E72D297353CC}">
              <c16:uniqueId val="{00000006-BC7B-48B5-84E4-5160D862B56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6f6d5bd4-051b-48ed-a361-dd05173dedf6}"/>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19BD-4CCF-A0A3-B6EF1A19583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19BD-4CCF-A0A3-B6EF1A19583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19BD-4CCF-A0A3-B6EF1A19583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19BD-4CCF-A0A3-B6EF1A19583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19BD-4CCF-A0A3-B6EF1A195835}"/>
              </c:ext>
            </c:extLst>
          </c:dPt>
          <c:dLbls>
            <c:dLbl>
              <c:idx val="1"/>
              <c:layout>
                <c:manualLayout>
                  <c:x val="-0.15462653386074901"/>
                  <c:y val="2.91766173526093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9BD-4CCF-A0A3-B6EF1A195835}"/>
                </c:ext>
              </c:extLst>
            </c:dLbl>
            <c:dLbl>
              <c:idx val="2"/>
              <c:layout>
                <c:manualLayout>
                  <c:x val="-9.1087062734483304E-2"/>
                  <c:y val="-1.2311745278101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9BD-4CCF-A0A3-B6EF1A195835}"/>
                </c:ext>
              </c:extLst>
            </c:dLbl>
            <c:dLbl>
              <c:idx val="3"/>
              <c:layout>
                <c:manualLayout>
                  <c:x val="1.6666666666666701E-2"/>
                  <c:y val="-4.513888888888890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9BD-4CCF-A0A3-B6EF1A195835}"/>
                </c:ext>
              </c:extLst>
            </c:dLbl>
            <c:dLbl>
              <c:idx val="4"/>
              <c:layout>
                <c:manualLayout>
                  <c:x val="0.25565543602527702"/>
                  <c:y val="7.0390072878400703E-3"/>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8.9444444444444396E-2"/>
                      <c:h val="9.2592592592592601E-2"/>
                    </c:manualLayout>
                  </c15:layout>
                </c:ext>
                <c:ext xmlns:c16="http://schemas.microsoft.com/office/drawing/2014/chart" uri="{C3380CC4-5D6E-409C-BE32-E72D297353CC}">
                  <c16:uniqueId val="{00000009-19BD-4CCF-A0A3-B6EF1A19583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20802.46</c:v>
                </c:pt>
                <c:pt idx="1">
                  <c:v>1763.56</c:v>
                </c:pt>
                <c:pt idx="2">
                  <c:v>0</c:v>
                </c:pt>
                <c:pt idx="3">
                  <c:v>0</c:v>
                </c:pt>
                <c:pt idx="4">
                  <c:v>0</c:v>
                </c:pt>
              </c:numCache>
            </c:numRef>
          </c:val>
          <c:extLst>
            <c:ext xmlns:c16="http://schemas.microsoft.com/office/drawing/2014/chart" uri="{C3380CC4-5D6E-409C-BE32-E72D297353CC}">
              <c16:uniqueId val="{0000000A-19BD-4CCF-A0A3-B6EF1A19583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2cc5ed10-61cb-4031-81f3-c358c8eeef9f}"/>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904</Words>
  <Characters>5159</Characters>
  <Application>Microsoft Office Word</Application>
  <DocSecurity>0</DocSecurity>
  <Lines>42</Lines>
  <Paragraphs>12</Paragraphs>
  <ScaleCrop>false</ScaleCrop>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868AAA559ECA42BAB4D6D01D04F410ED_13</vt:lpwstr>
  </property>
  <property fmtid="{D5CDD505-2E9C-101B-9397-08002B2CF9AE}" pid="4" name="KSOTemplateDocerSaveRecord">
    <vt:lpwstr>eyJoZGlkIjoiNmQ5NDA0ZmQ1ZDYyMmYwMTMxMjQwMDg0NjA1MTllYmYifQ==</vt:lpwstr>
  </property>
</Properties>
</file>